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Goal:</w:t>
      </w:r>
      <w:r w:rsidDel="00000000" w:rsidR="00000000" w:rsidRPr="00000000">
        <w:rPr>
          <w:rtl w:val="0"/>
        </w:rPr>
        <w:t xml:space="preserve"> Learn discriminative shape representations from 3D vertebra meshes that support supervised prediction of species and spinal position, with hierarchical taxonomic evaluation.</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will build upon the existing work done using DeepSDF and NSM to train a model for the classification of lizard vertebrae. Specifically, the model will be able to predict the top five species for a given specimen, the spinal position of the fossil, and any other relevant phylogenetic information.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Planned Steps</w:t>
      </w:r>
    </w:p>
    <w:p w:rsidR="00000000" w:rsidDel="00000000" w:rsidP="00000000" w:rsidRDefault="00000000" w:rsidRPr="00000000" w14:paraId="00000004">
      <w:pPr>
        <w:spacing w:after="240" w:before="240" w:lineRule="auto"/>
        <w:rPr/>
      </w:pPr>
      <w:r w:rsidDel="00000000" w:rsidR="00000000" w:rsidRPr="00000000">
        <w:rPr>
          <w:rtl w:val="0"/>
        </w:rPr>
        <w:t xml:space="preserve">The first critical step will be to establish the baseline. Familiarize myself with the current approach, understand its limitations, and assess its performance.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Breakdown the architecture of the implementation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Measure its accuracy in classification tasks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Note its limitations in understanding size, taxonomy, etc.</w:t>
      </w:r>
    </w:p>
    <w:p w:rsidR="00000000" w:rsidDel="00000000" w:rsidP="00000000" w:rsidRDefault="00000000" w:rsidRPr="00000000" w14:paraId="00000008">
      <w:pPr>
        <w:spacing w:after="240" w:before="240" w:lineRule="auto"/>
        <w:rPr/>
      </w:pPr>
      <w:r w:rsidDel="00000000" w:rsidR="00000000" w:rsidRPr="00000000">
        <w:rPr>
          <w:rtl w:val="0"/>
        </w:rPr>
        <w:t xml:space="preserve">From there, I will search for novel ways to improve the approach. The following list of areas for improvement will serve as a starting point and is non-exhaustive.</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Scaling: It’s been mentioned that size and scale of the specimen is not currently accounted for. An investigation needs to be done on how and where this can be incorporated. Preprocessing on the input meshes? On the encoding? etc. Some fundamental questions:</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should size and scale be an invariant?</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should size and scale be a predictive feature?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should size and scale be predicted variable? (probably not)</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are size and scale useful, or just noise?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Fine-tune the latent encoding: what work can be done to improve the quality and results of the encodings? I will experiment with cosine and Euclidean distance metrics and measure how they affect down-stream performance of the model. Is there a way to dynamically decide a threshold value?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Can we do some sort of learned classifier on top of the latent space? I will experiment with this and compare to other classifier methods (kNN, logsitic, etc.)</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Is it possible to learn a multi-task classifier? For example, a shared representation that can output species and spinal region? I will experiment with methods to achieve this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Experiment with metric learning on the output of DeepSDF/NSM to improve classification performance.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treat same species as closer, different species further</w:t>
      </w:r>
    </w:p>
    <w:p w:rsidR="00000000" w:rsidDel="00000000" w:rsidP="00000000" w:rsidRDefault="00000000" w:rsidRPr="00000000" w14:paraId="00000013">
      <w:pPr>
        <w:numPr>
          <w:ilvl w:val="1"/>
          <w:numId w:val="5"/>
        </w:numPr>
        <w:spacing w:after="240" w:before="0" w:beforeAutospacing="0" w:lineRule="auto"/>
        <w:ind w:left="1440" w:hanging="360"/>
      </w:pPr>
      <w:r w:rsidDel="00000000" w:rsidR="00000000" w:rsidRPr="00000000">
        <w:rPr>
          <w:rtl w:val="0"/>
        </w:rPr>
        <w:t xml:space="preserve">nearby spinal positions closer distant ones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Possible Extension Areas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Hierarchy-aware loss. Can we somehow measure taxonomic distance into training/evaluation to inform when the model correctly identifies genus but not species (example)? Done correctly, this should reduce the severity of mistakes.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Confidence scores.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Can we provide some sort of interactive solution, either via a Jupyter Notebook or a custom UI, that allows users to try the model themselves?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Metrics for Success / Evaluation Plan</w:t>
      </w:r>
    </w:p>
    <w:p w:rsidR="00000000" w:rsidDel="00000000" w:rsidP="00000000" w:rsidRDefault="00000000" w:rsidRPr="00000000" w14:paraId="00000019">
      <w:pPr>
        <w:spacing w:after="240" w:before="240" w:lineRule="auto"/>
        <w:rPr/>
      </w:pPr>
      <w:r w:rsidDel="00000000" w:rsidR="00000000" w:rsidRPr="00000000">
        <w:rPr>
          <w:rtl w:val="0"/>
        </w:rPr>
        <w:t xml:space="preserve">I will assess how additions/changes (metric learning, multi-task learning, etc.) affect metrics such as: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Accuracy vs baseline in classification tasks</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top-5 accuracy</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spinal position prediction</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taxonomy</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Training time for new specimen</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since NSM is an auto decoder, new examples have to be inference at evaluation time. Do any add-ons I make affect this step? Dramatically increasing compute time here would be negative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Confusion Matrices:</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Are there any insights or patterns from what the model gets wrong?</w:t>
      </w:r>
    </w:p>
    <w:p w:rsidR="00000000" w:rsidDel="00000000" w:rsidP="00000000" w:rsidRDefault="00000000" w:rsidRPr="00000000" w14:paraId="00000022">
      <w:pPr>
        <w:numPr>
          <w:ilvl w:val="1"/>
          <w:numId w:val="6"/>
        </w:numPr>
        <w:spacing w:after="240" w:before="0" w:beforeAutospacing="0" w:lineRule="auto"/>
        <w:ind w:left="1440" w:hanging="360"/>
      </w:pPr>
      <w:r w:rsidDel="00000000" w:rsidR="00000000" w:rsidRPr="00000000">
        <w:rPr>
          <w:rtl w:val="0"/>
        </w:rPr>
        <w:t xml:space="preserve">What sort of granularity can we have with this? Would like to have confusion matrices at multiple levels in the taxonomy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Relevant Literature:</w:t>
      </w:r>
    </w:p>
    <w:p w:rsidR="00000000" w:rsidDel="00000000" w:rsidP="00000000" w:rsidRDefault="00000000" w:rsidRPr="00000000" w14:paraId="00000024">
      <w:pPr>
        <w:spacing w:after="240" w:before="240" w:lineRule="auto"/>
        <w:rPr/>
      </w:pPr>
      <w:r w:rsidDel="00000000" w:rsidR="00000000" w:rsidRPr="00000000">
        <w:rPr>
          <w:rtl w:val="0"/>
        </w:rPr>
        <w:t xml:space="preserve">Provided Resources: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Review - Deep learning for 3D object recognition:</w:t>
      </w:r>
    </w:p>
    <w:p w:rsidR="00000000" w:rsidDel="00000000" w:rsidP="00000000" w:rsidRDefault="00000000" w:rsidRPr="00000000" w14:paraId="00000026">
      <w:pPr>
        <w:numPr>
          <w:ilvl w:val="1"/>
          <w:numId w:val="3"/>
        </w:numPr>
        <w:spacing w:after="0" w:afterAutospacing="0" w:before="0" w:beforeAutospacing="0" w:lineRule="auto"/>
        <w:ind w:left="1440" w:hanging="360"/>
      </w:pPr>
      <w:hyperlink r:id="rId6">
        <w:r w:rsidDel="00000000" w:rsidR="00000000" w:rsidRPr="00000000">
          <w:rPr>
            <w:color w:val="1155cc"/>
            <w:u w:val="single"/>
            <w:rtl w:val="0"/>
          </w:rPr>
          <w:t xml:space="preserve">https://doi.org/10.1016/j.neucom.2024.128436</w:t>
        </w:r>
      </w:hyperlink>
      <w:r w:rsidDel="00000000" w:rsidR="00000000" w:rsidRPr="00000000">
        <w:rPr>
          <w:rtl w:val="0"/>
        </w:rPr>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Review - Neural 3D shape classification:</w:t>
      </w:r>
    </w:p>
    <w:p w:rsidR="00000000" w:rsidDel="00000000" w:rsidP="00000000" w:rsidRDefault="00000000" w:rsidRPr="00000000" w14:paraId="00000028">
      <w:pPr>
        <w:numPr>
          <w:ilvl w:val="1"/>
          <w:numId w:val="3"/>
        </w:numPr>
        <w:spacing w:after="0" w:afterAutospacing="0" w:before="0" w:beforeAutospacing="0" w:lineRule="auto"/>
        <w:ind w:left="1440" w:hanging="360"/>
      </w:pPr>
      <w:hyperlink r:id="rId7">
        <w:r w:rsidDel="00000000" w:rsidR="00000000" w:rsidRPr="00000000">
          <w:rPr>
            <w:color w:val="1155cc"/>
            <w:u w:val="single"/>
            <w:rtl w:val="0"/>
          </w:rPr>
          <w:t xml:space="preserve">https://doi.org/10.1109/TPAMI.2021.3102676</w:t>
        </w:r>
      </w:hyperlink>
      <w:r w:rsidDel="00000000" w:rsidR="00000000" w:rsidRPr="00000000">
        <w:rPr>
          <w:rtl w:val="0"/>
        </w:rPr>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Integrating cartesian coordinates and feature vectors:</w:t>
      </w:r>
    </w:p>
    <w:p w:rsidR="00000000" w:rsidDel="00000000" w:rsidP="00000000" w:rsidRDefault="00000000" w:rsidRPr="00000000" w14:paraId="0000002A">
      <w:pPr>
        <w:numPr>
          <w:ilvl w:val="1"/>
          <w:numId w:val="3"/>
        </w:numPr>
        <w:spacing w:after="0" w:afterAutospacing="0" w:before="0" w:beforeAutospacing="0" w:lineRule="auto"/>
        <w:ind w:left="1440" w:hanging="360"/>
      </w:pPr>
      <w:hyperlink r:id="rId8">
        <w:r w:rsidDel="00000000" w:rsidR="00000000" w:rsidRPr="00000000">
          <w:rPr>
            <w:color w:val="1155cc"/>
            <w:u w:val="single"/>
            <w:rtl w:val="0"/>
          </w:rPr>
          <w:t xml:space="preserve">https://doi.org/10.3390/rs15010061</w:t>
        </w:r>
      </w:hyperlink>
      <w:r w:rsidDel="00000000" w:rsidR="00000000" w:rsidRPr="00000000">
        <w:rPr>
          <w:rtl w:val="0"/>
        </w:rPr>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Blackburn et al. 2024, BioScience.</w:t>
      </w:r>
    </w:p>
    <w:p w:rsidR="00000000" w:rsidDel="00000000" w:rsidP="00000000" w:rsidRDefault="00000000" w:rsidRPr="00000000" w14:paraId="0000002C">
      <w:pPr>
        <w:numPr>
          <w:ilvl w:val="1"/>
          <w:numId w:val="3"/>
        </w:numPr>
        <w:spacing w:after="0" w:afterAutospacing="0" w:before="0" w:beforeAutospacing="0" w:lineRule="auto"/>
        <w:ind w:left="1440" w:hanging="360"/>
      </w:pPr>
      <w:hyperlink r:id="rId9">
        <w:r w:rsidDel="00000000" w:rsidR="00000000" w:rsidRPr="00000000">
          <w:rPr>
            <w:color w:val="1155cc"/>
            <w:u w:val="single"/>
            <w:rtl w:val="0"/>
          </w:rPr>
          <w:t xml:space="preserve">https://doi.org/10.1093/biosci/biad120</w:t>
        </w:r>
      </w:hyperlink>
      <w:r w:rsidDel="00000000" w:rsidR="00000000" w:rsidRPr="00000000">
        <w:rPr>
          <w:rtl w:val="0"/>
        </w:rPr>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Gatti et al. 2025, IEEE TMI.</w:t>
      </w:r>
    </w:p>
    <w:p w:rsidR="00000000" w:rsidDel="00000000" w:rsidP="00000000" w:rsidRDefault="00000000" w:rsidRPr="00000000" w14:paraId="0000002E">
      <w:pPr>
        <w:numPr>
          <w:ilvl w:val="1"/>
          <w:numId w:val="3"/>
        </w:numPr>
        <w:spacing w:after="0" w:afterAutospacing="0" w:before="0" w:beforeAutospacing="0" w:lineRule="auto"/>
        <w:ind w:left="1440" w:hanging="360"/>
      </w:pPr>
      <w:hyperlink r:id="rId10">
        <w:r w:rsidDel="00000000" w:rsidR="00000000" w:rsidRPr="00000000">
          <w:rPr>
            <w:color w:val="1155cc"/>
            <w:u w:val="single"/>
            <w:rtl w:val="0"/>
          </w:rPr>
          <w:t xml:space="preserve">https://doi.org/10.1109/tmi.2024.3485613</w:t>
        </w:r>
      </w:hyperlink>
      <w:r w:rsidDel="00000000" w:rsidR="00000000" w:rsidRPr="00000000">
        <w:rPr>
          <w:rtl w:val="0"/>
        </w:rPr>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Park et al. 2019, CVPR.</w:t>
      </w:r>
    </w:p>
    <w:p w:rsidR="00000000" w:rsidDel="00000000" w:rsidP="00000000" w:rsidRDefault="00000000" w:rsidRPr="00000000" w14:paraId="00000030">
      <w:pPr>
        <w:numPr>
          <w:ilvl w:val="1"/>
          <w:numId w:val="3"/>
        </w:numPr>
        <w:spacing w:after="0" w:afterAutospacing="0" w:before="0" w:beforeAutospacing="0" w:lineRule="auto"/>
        <w:ind w:left="1440" w:hanging="360"/>
      </w:pPr>
      <w:hyperlink r:id="rId11">
        <w:r w:rsidDel="00000000" w:rsidR="00000000" w:rsidRPr="00000000">
          <w:rPr>
            <w:color w:val="1155cc"/>
            <w:u w:val="single"/>
            <w:rtl w:val="0"/>
          </w:rPr>
          <w:t xml:space="preserve">https://doi.org/10.48550/arXiv.1901.05103</w:t>
        </w:r>
      </w:hyperlink>
      <w:r w:rsidDel="00000000" w:rsidR="00000000" w:rsidRPr="00000000">
        <w:rPr>
          <w:rtl w:val="0"/>
        </w:rPr>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Porto et al. 2026, in prep.</w:t>
      </w:r>
    </w:p>
    <w:p w:rsidR="00000000" w:rsidDel="00000000" w:rsidP="00000000" w:rsidRDefault="00000000" w:rsidRPr="00000000" w14:paraId="00000032">
      <w:pPr>
        <w:numPr>
          <w:ilvl w:val="1"/>
          <w:numId w:val="3"/>
        </w:numPr>
        <w:spacing w:after="240" w:before="0" w:beforeAutospacing="0" w:lineRule="auto"/>
        <w:ind w:left="1440" w:hanging="360"/>
      </w:pPr>
      <w:hyperlink r:id="rId12">
        <w:r w:rsidDel="00000000" w:rsidR="00000000" w:rsidRPr="00000000">
          <w:rPr>
            <w:color w:val="1155cc"/>
            <w:u w:val="single"/>
            <w:rtl w:val="0"/>
          </w:rPr>
          <w:t xml:space="preserve">https://github.com/agporto/ATLAS</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Self Discovery:</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Urbani et al. 2024, “Harnessing Superclasses for Learning Hierarchical Databases”</w:t>
      </w:r>
    </w:p>
    <w:p w:rsidR="00000000" w:rsidDel="00000000" w:rsidP="00000000" w:rsidRDefault="00000000" w:rsidRPr="00000000" w14:paraId="00000035">
      <w:pPr>
        <w:numPr>
          <w:ilvl w:val="1"/>
          <w:numId w:val="1"/>
        </w:numPr>
        <w:spacing w:after="0" w:afterAutospacing="0" w:before="0" w:beforeAutospacing="0" w:lineRule="auto"/>
        <w:ind w:left="1440" w:hanging="360"/>
      </w:pPr>
      <w:hyperlink r:id="rId13">
        <w:r w:rsidDel="00000000" w:rsidR="00000000" w:rsidRPr="00000000">
          <w:rPr>
            <w:color w:val="1155cc"/>
            <w:u w:val="single"/>
            <w:rtl w:val="0"/>
          </w:rPr>
          <w:t xml:space="preserve">https://doi.org/10.48550/arXiv.2411.16438</w:t>
        </w:r>
      </w:hyperlink>
      <w:r w:rsidDel="00000000" w:rsidR="00000000" w:rsidRPr="00000000">
        <w:rPr>
          <w:rtl w:val="0"/>
        </w:rPr>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Possibly relevant in handling the phylogeny tree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Garg et al. 2022, “Learning Hierarchy Aware Features for Reducing Mistake Severity”</w:t>
      </w:r>
    </w:p>
    <w:p w:rsidR="00000000" w:rsidDel="00000000" w:rsidP="00000000" w:rsidRDefault="00000000" w:rsidRPr="00000000" w14:paraId="00000038">
      <w:pPr>
        <w:numPr>
          <w:ilvl w:val="1"/>
          <w:numId w:val="1"/>
        </w:numPr>
        <w:spacing w:after="0" w:afterAutospacing="0" w:before="0" w:beforeAutospacing="0" w:lineRule="auto"/>
        <w:ind w:left="1440" w:hanging="360"/>
      </w:pPr>
      <w:hyperlink r:id="rId14">
        <w:r w:rsidDel="00000000" w:rsidR="00000000" w:rsidRPr="00000000">
          <w:rPr>
            <w:color w:val="1155cc"/>
            <w:u w:val="single"/>
            <w:rtl w:val="0"/>
          </w:rPr>
          <w:t xml:space="preserve">https://doi.org/10.48550/arXiv.2207.12646</w:t>
        </w:r>
      </w:hyperlink>
      <w:r w:rsidDel="00000000" w:rsidR="00000000" w:rsidRPr="00000000">
        <w:rPr>
          <w:rtl w:val="0"/>
        </w:rPr>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Also may be helpful in handling taxonomy tree and/or phylogeny</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Also addresses existing approaches to leveraging hierarchical taxonomy for classification tasks.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Metric Learning: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https://contrib.scikit-learn.org/metric-learn/introduction.html</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8550/arXiv.1901.05103" TargetMode="External"/><Relationship Id="rId10" Type="http://schemas.openxmlformats.org/officeDocument/2006/relationships/hyperlink" Target="https://doi.org/10.1109/tmi.2024.3485613" TargetMode="External"/><Relationship Id="rId13" Type="http://schemas.openxmlformats.org/officeDocument/2006/relationships/hyperlink" Target="https://doi.org/10.48550/arXiv.2411.16438" TargetMode="External"/><Relationship Id="rId12" Type="http://schemas.openxmlformats.org/officeDocument/2006/relationships/hyperlink" Target="https://github.com/agporto/AT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biosci/biad120" TargetMode="External"/><Relationship Id="rId15" Type="http://schemas.openxmlformats.org/officeDocument/2006/relationships/hyperlink" Target="https://contrib.scikit-learn.org/metric-learn/introduction.html" TargetMode="External"/><Relationship Id="rId14" Type="http://schemas.openxmlformats.org/officeDocument/2006/relationships/hyperlink" Target="https://doi.org/10.48550/arXiv.2207.12646" TargetMode="External"/><Relationship Id="rId16" Type="http://schemas.openxmlformats.org/officeDocument/2006/relationships/hyperlink" Target="https://contrib.scikit-learn.org/metric-learn/introduction.html" TargetMode="External"/><Relationship Id="rId5" Type="http://schemas.openxmlformats.org/officeDocument/2006/relationships/styles" Target="styles.xml"/><Relationship Id="rId6" Type="http://schemas.openxmlformats.org/officeDocument/2006/relationships/hyperlink" Target="https://doi.org/10.1016/j.neucom.2024.128436" TargetMode="External"/><Relationship Id="rId7" Type="http://schemas.openxmlformats.org/officeDocument/2006/relationships/hyperlink" Target="https://doi.org/10.1109/TPAMI.2021.3102676" TargetMode="External"/><Relationship Id="rId8" Type="http://schemas.openxmlformats.org/officeDocument/2006/relationships/hyperlink" Target="https://doi.org/10.3390/rs15010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