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DE9DE" w14:textId="77777777" w:rsidR="00C953A4" w:rsidRDefault="00C953A4" w:rsidP="00C953A4">
      <w:pPr>
        <w:spacing w:after="159"/>
        <w:rPr>
          <w:lang w:val="en-CH"/>
        </w:rPr>
      </w:pPr>
      <w:r>
        <w:rPr>
          <w:rFonts w:ascii="Calibri" w:hAnsi="Calibri" w:cs="Calibri"/>
          <w:b/>
          <w:bCs/>
          <w:color w:val="000000"/>
          <w:sz w:val="28"/>
          <w:szCs w:val="28"/>
        </w:rPr>
        <w:t>Background and Motivation</w:t>
      </w:r>
    </w:p>
    <w:p w14:paraId="74F1C775" w14:textId="77777777" w:rsidR="00C953A4" w:rsidRDefault="00C953A4" w:rsidP="00C953A4">
      <w:pPr>
        <w:pStyle w:val="NormalWeb"/>
        <w:spacing w:before="0" w:beforeAutospacing="0" w:after="159" w:afterAutospacing="0"/>
        <w:jc w:val="both"/>
      </w:pPr>
      <w:r>
        <w:rPr>
          <w:color w:val="000000"/>
        </w:rPr>
        <w:t xml:space="preserve">In the beginning of 2020, a new viral outbreak originating from China established itself as one of the world’s biggest threats. In December 2019 a viral pneumonia of unknown aetiology was identified in Wuhan, Hubei, China (H. Lu et al., 2020).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w:t>
      </w:r>
      <w:proofErr w:type="spellStart"/>
      <w:r>
        <w:rPr>
          <w:color w:val="000000"/>
        </w:rPr>
        <w:t>betacoronavirus</w:t>
      </w:r>
      <w:proofErr w:type="spellEnd"/>
      <w:r>
        <w:rPr>
          <w:color w:val="000000"/>
        </w:rPr>
        <w:t xml:space="preserve"> belonging to the </w:t>
      </w:r>
      <w:proofErr w:type="spellStart"/>
      <w:r>
        <w:rPr>
          <w:i/>
          <w:iCs/>
          <w:color w:val="000000"/>
        </w:rPr>
        <w:t>Coronavirinae</w:t>
      </w:r>
      <w:proofErr w:type="spellEnd"/>
      <w:r>
        <w:rPr>
          <w:color w:val="000000"/>
        </w:rPr>
        <w:t xml:space="preserve"> subfamily, part of the </w:t>
      </w:r>
      <w:proofErr w:type="spellStart"/>
      <w:r>
        <w:rPr>
          <w:i/>
          <w:iCs/>
          <w:color w:val="000000"/>
        </w:rPr>
        <w:t>Coronaviridae</w:t>
      </w:r>
      <w:proofErr w:type="spellEnd"/>
      <w:r>
        <w:rPr>
          <w:color w:val="000000"/>
        </w:rPr>
        <w:t xml:space="preserve"> family (</w:t>
      </w:r>
      <w:proofErr w:type="spellStart"/>
      <w:r>
        <w:rPr>
          <w:color w:val="000000"/>
        </w:rPr>
        <w:t>Sohrabi</w:t>
      </w:r>
      <w:proofErr w:type="spellEnd"/>
      <w:r>
        <w:rPr>
          <w:color w:val="000000"/>
        </w:rPr>
        <w:t xml:space="preserve"> et al., 2020). Its genome presents 8 conserved SARS-</w:t>
      </w:r>
      <w:proofErr w:type="spellStart"/>
      <w:r>
        <w:rPr>
          <w:color w:val="000000"/>
        </w:rPr>
        <w:t>CoV</w:t>
      </w:r>
      <w:proofErr w:type="spellEnd"/>
      <w:r>
        <w:rPr>
          <w:color w:val="000000"/>
        </w:rPr>
        <w:t xml:space="preserve"> amino acids responsible for interaction with human angiotensin-converting enzyme 2 (Fehr &amp; Perlman, 2015). SARS-</w:t>
      </w:r>
      <w:proofErr w:type="spellStart"/>
      <w:r>
        <w:rPr>
          <w:color w:val="000000"/>
        </w:rPr>
        <w:t>CoV</w:t>
      </w:r>
      <w:proofErr w:type="spellEnd"/>
      <w:r>
        <w:rPr>
          <w:color w:val="000000"/>
        </w:rPr>
        <w:t xml:space="preserve"> is a previously identified coronavirus strain which caused the 2003 SARS outbreak (R. Lu et al., 2020). COVID-19 is an acute resolved respiratory disease that can lead to death, with a reported 2 % fatality rate (</w:t>
      </w:r>
      <w:proofErr w:type="spellStart"/>
      <w:r>
        <w:rPr>
          <w:color w:val="000000"/>
        </w:rPr>
        <w:t>Bassetti</w:t>
      </w:r>
      <w:proofErr w:type="spellEnd"/>
      <w:r>
        <w:rPr>
          <w:color w:val="000000"/>
        </w:rPr>
        <w:t xml:space="preserve"> et al., 2020; Chan et al., 2020; Huang et al., 2020). Symptoms present themselves usually after an incubation period of approximately 5.2 days (</w:t>
      </w:r>
      <w:proofErr w:type="spellStart"/>
      <w:r>
        <w:rPr>
          <w:color w:val="000000"/>
        </w:rPr>
        <w:t>Rothan</w:t>
      </w:r>
      <w:proofErr w:type="spellEnd"/>
      <w:r>
        <w:rPr>
          <w:color w:val="000000"/>
        </w:rPr>
        <w:t xml:space="preserve"> &amp; </w:t>
      </w:r>
      <w:proofErr w:type="spellStart"/>
      <w:r>
        <w:rPr>
          <w:color w:val="000000"/>
        </w:rPr>
        <w:t>Byrareddy</w:t>
      </w:r>
      <w:proofErr w:type="spellEnd"/>
      <w:r>
        <w:rPr>
          <w:color w:val="000000"/>
        </w:rPr>
        <w:t>, 2020). The person-to-person transmission of COVID-19 occurs through direct contact or through droplets derived from coughing or sneezing of infected patients (</w:t>
      </w:r>
      <w:proofErr w:type="spellStart"/>
      <w:r>
        <w:rPr>
          <w:color w:val="000000"/>
        </w:rPr>
        <w:t>Rothan</w:t>
      </w:r>
      <w:proofErr w:type="spellEnd"/>
      <w:r>
        <w:rPr>
          <w:color w:val="000000"/>
        </w:rPr>
        <w:t xml:space="preserve"> &amp; </w:t>
      </w:r>
      <w:proofErr w:type="spellStart"/>
      <w:r>
        <w:rPr>
          <w:color w:val="000000"/>
        </w:rPr>
        <w:t>Byrareddy</w:t>
      </w:r>
      <w:proofErr w:type="spellEnd"/>
      <w:r>
        <w:rPr>
          <w:color w:val="000000"/>
        </w:rPr>
        <w:t xml:space="preserve">, 2020). </w:t>
      </w:r>
    </w:p>
    <w:p w14:paraId="7A7DBD39" w14:textId="77777777" w:rsidR="00C953A4" w:rsidRDefault="00C953A4" w:rsidP="00C953A4">
      <w:pPr>
        <w:pStyle w:val="NormalWeb"/>
        <w:spacing w:before="0" w:beforeAutospacing="0" w:after="159" w:afterAutospacing="0"/>
        <w:jc w:val="both"/>
      </w:pPr>
      <w:r>
        <w:rPr>
          <w:color w:val="000000"/>
        </w:rPr>
        <w:t>On the 30th of January 2020 the WHO declared COVID-19 a Public Health Emergency of International Concern (</w:t>
      </w:r>
      <w:proofErr w:type="spellStart"/>
      <w:r>
        <w:rPr>
          <w:color w:val="000000"/>
        </w:rPr>
        <w:t>Sohrabi</w:t>
      </w:r>
      <w:proofErr w:type="spellEnd"/>
      <w:r>
        <w:rPr>
          <w:color w:val="000000"/>
        </w:rPr>
        <w:t xml:space="preserve"> et al., 2020; World Health Organization, 11 February 2020). After cases in multiple countries such as Italy, France, Germany, Spain, South Korea, Iran, USA, and evidence of local person-to-person transmission of the disease, on the 13th of March 2020 the WHO declared COVID-19 a pandemic (World Health Organization, 13 March 2020). The classification of COVID-19 as a pandemic resulted in the implementation of multiple mitigation measures by the affected countries, in order to control the outbreak. This is especially important in the first phases of the outbreak as SARS-CoV-2 has a reported average R</w:t>
      </w:r>
      <w:r>
        <w:rPr>
          <w:color w:val="000000"/>
          <w:vertAlign w:val="subscript"/>
        </w:rPr>
        <w:t>0</w:t>
      </w:r>
      <w:r>
        <w:rPr>
          <w:color w:val="000000"/>
        </w:rPr>
        <w:t xml:space="preserve"> of 3.28 (Liu et al., 2020). Usually as the epidemic progresses the reproductive number of a virus declines steadily until it reaches a value lower than 1 and decays (Anderson et al., 2020). This is due to lack of susceptible individuals or because of the effect of implementation of multiple mitigation measures. This is supported by simulation studies on COVID-19 transmission using SEIR models (Fang et al., 2020). The main objectives of mitigation measures are minimizing morbidity and mortality, avoiding or shifting in time epidemic peaks to avoid overwhelming the health-care system and to flatten the epidemic curve (Anderson et al., 2020).</w:t>
      </w:r>
    </w:p>
    <w:p w14:paraId="44D13F4C" w14:textId="77777777" w:rsidR="00C953A4" w:rsidRDefault="00C953A4" w:rsidP="00C953A4">
      <w:pPr>
        <w:pStyle w:val="NormalWeb"/>
        <w:spacing w:before="0" w:beforeAutospacing="0" w:after="160" w:afterAutospacing="0" w:line="235" w:lineRule="atLeast"/>
        <w:jc w:val="both"/>
      </w:pPr>
      <w:r>
        <w:rPr>
          <w:color w:val="000000"/>
        </w:rPr>
        <w:t>As COVID-19 has evolved to a global pandemic discussion about it has been continuing through the past year and on numerous platforms. Probably the largest amount of discussing about the pandemic has happened on social media, especially by the general public (Pastor, 2020). Due its enormous usage social media is considered one of the global centres of big data (</w:t>
      </w:r>
      <w:proofErr w:type="spellStart"/>
      <w:r>
        <w:rPr>
          <w:color w:val="000000"/>
        </w:rPr>
        <w:t>DeNardis</w:t>
      </w:r>
      <w:proofErr w:type="spellEnd"/>
      <w:r>
        <w:rPr>
          <w:color w:val="000000"/>
        </w:rPr>
        <w:t xml:space="preserve"> &amp; Hackl, 2015). The amount of information and the length of time spent on social media by users has been shown to have an influence on the users’ behaviour (</w:t>
      </w:r>
      <w:proofErr w:type="spellStart"/>
      <w:r>
        <w:rPr>
          <w:color w:val="000000"/>
        </w:rPr>
        <w:t>Alamoodi</w:t>
      </w:r>
      <w:proofErr w:type="spellEnd"/>
      <w:r>
        <w:rPr>
          <w:color w:val="000000"/>
        </w:rPr>
        <w:t xml:space="preserve"> et al., 2021). This is influence has an effect not only on the users themselves but is also essential to governmental decision making as it is a direct catalogue of public opinion (Chung et al., 2015). One of the ways of extracting information from social media data is sentiment analysis as it can contribute to the understanding of human emotions through the users’ engagement with social media (Ji et al., 2016). A sentiment-based approach to analysing the COVID-19 pandemic has already shown good results in both prediction and inference of the general public’s opinion on both mitigation measures and the pandemic as a whole (</w:t>
      </w:r>
      <w:proofErr w:type="spellStart"/>
      <w:r>
        <w:rPr>
          <w:color w:val="000000"/>
        </w:rPr>
        <w:t>Aljameel</w:t>
      </w:r>
      <w:proofErr w:type="spellEnd"/>
      <w:r>
        <w:rPr>
          <w:color w:val="000000"/>
        </w:rPr>
        <w:t xml:space="preserve"> et al., </w:t>
      </w:r>
      <w:r>
        <w:rPr>
          <w:color w:val="000000"/>
        </w:rPr>
        <w:lastRenderedPageBreak/>
        <w:t xml:space="preserve">2021; </w:t>
      </w:r>
      <w:proofErr w:type="spellStart"/>
      <w:r>
        <w:rPr>
          <w:color w:val="000000"/>
        </w:rPr>
        <w:t>Alomari</w:t>
      </w:r>
      <w:proofErr w:type="spellEnd"/>
      <w:r>
        <w:rPr>
          <w:color w:val="000000"/>
        </w:rPr>
        <w:t xml:space="preserve"> et al., 2021; </w:t>
      </w:r>
      <w:proofErr w:type="spellStart"/>
      <w:r>
        <w:rPr>
          <w:color w:val="000000"/>
        </w:rPr>
        <w:t>Gilardi</w:t>
      </w:r>
      <w:proofErr w:type="spellEnd"/>
      <w:r>
        <w:rPr>
          <w:color w:val="000000"/>
        </w:rPr>
        <w:t xml:space="preserve"> et al., 2021; Wang et al., 2020). Not many studies have tried to measure the direct effect that social media has on a government’s ability to take difficult decisions such as those needed in the fight against COVID-19. A Swiss study on this issue has though found that social media does influence the ability and ease of discussion about mitigation measures by politicians (</w:t>
      </w:r>
      <w:proofErr w:type="spellStart"/>
      <w:r>
        <w:rPr>
          <w:color w:val="000000"/>
        </w:rPr>
        <w:t>Gilardi</w:t>
      </w:r>
      <w:proofErr w:type="spellEnd"/>
      <w:r>
        <w:rPr>
          <w:color w:val="000000"/>
        </w:rPr>
        <w:t xml:space="preserve"> et al., 2021). </w:t>
      </w:r>
    </w:p>
    <w:p w14:paraId="2A762FBC" w14:textId="77777777" w:rsidR="00C953A4" w:rsidRDefault="00C953A4" w:rsidP="00C953A4">
      <w:pPr>
        <w:pStyle w:val="NormalWeb"/>
        <w:spacing w:before="0" w:beforeAutospacing="0" w:after="0" w:afterAutospacing="0"/>
        <w:jc w:val="both"/>
      </w:pPr>
      <w:r>
        <w:rPr>
          <w:color w:val="000000"/>
        </w:rPr>
        <w:t>The pressures from both the daily scientific data about the pandemic’s course and the general public’s opinion must have an influence on governmental decisions and policy making, but the effect that both have on the strictness of decisions remains unclear.</w:t>
      </w:r>
    </w:p>
    <w:p w14:paraId="13121312" w14:textId="77777777" w:rsidR="00C953A4" w:rsidRDefault="00C953A4" w:rsidP="00C953A4">
      <w:pPr>
        <w:pStyle w:val="NormalWeb"/>
        <w:spacing w:before="0" w:beforeAutospacing="0" w:after="0" w:afterAutospacing="0"/>
      </w:pPr>
      <w:r>
        <w:t> </w:t>
      </w:r>
    </w:p>
    <w:p w14:paraId="5559316C" w14:textId="77777777" w:rsidR="00DE4301" w:rsidRDefault="00DE4301" w:rsidP="00DE4301">
      <w:pPr>
        <w:rPr>
          <w:lang w:val="en-CH"/>
        </w:rPr>
      </w:pPr>
      <w:r>
        <w:rPr>
          <w:rFonts w:ascii="Calibri" w:hAnsi="Calibri" w:cs="Calibri"/>
          <w:b/>
          <w:bCs/>
          <w:color w:val="000000"/>
          <w:sz w:val="28"/>
          <w:szCs w:val="28"/>
        </w:rPr>
        <w:t>Data</w:t>
      </w:r>
    </w:p>
    <w:p w14:paraId="59C9DA45" w14:textId="77777777" w:rsidR="00DE4301" w:rsidRDefault="00DE4301" w:rsidP="00DE4301">
      <w:pPr>
        <w:pStyle w:val="NormalWeb"/>
        <w:tabs>
          <w:tab w:val="left" w:pos="2972"/>
        </w:tabs>
        <w:spacing w:before="0" w:beforeAutospacing="0" w:after="0" w:afterAutospacing="0"/>
      </w:pPr>
      <w:r>
        <w:rPr>
          <w:rFonts w:ascii="Calibri" w:hAnsi="Calibri" w:cs="Calibri"/>
          <w:color w:val="000000"/>
        </w:rPr>
        <w:tab/>
      </w:r>
    </w:p>
    <w:p w14:paraId="2FC76155" w14:textId="77777777" w:rsidR="00DE4301" w:rsidRDefault="00DE4301" w:rsidP="00DE4301">
      <w:pPr>
        <w:pStyle w:val="NormalWeb"/>
        <w:spacing w:before="0" w:beforeAutospacing="0" w:after="0" w:afterAutospacing="0" w:line="208" w:lineRule="auto"/>
      </w:pPr>
      <w:r>
        <w:rPr>
          <w:rFonts w:ascii="Calibri" w:hAnsi="Calibri" w:cs="Calibri"/>
          <w:color w:val="000000"/>
        </w:rPr>
        <w:t xml:space="preserve">The data we will use for the COVID-19 cases measurement is </w:t>
      </w:r>
      <w:hyperlink w:history="1">
        <w:r>
          <w:rPr>
            <w:rStyle w:val="Hyperlink"/>
            <w:rFonts w:ascii="Calibri" w:hAnsi="Calibri" w:cs="Calibri"/>
            <w:color w:val="0563C1"/>
          </w:rPr>
          <w:t>https://www.kaggle.com/gpreda/coronavirus-2019ncov</w:t>
        </w:r>
      </w:hyperlink>
      <w:r>
        <w:rPr>
          <w:rFonts w:ascii="Calibri" w:hAnsi="Calibri" w:cs="Calibri"/>
          <w:color w:val="000000"/>
        </w:rPr>
        <w:t> where the COVID-19 measurements from beginning 2020 and updated daily were collected in terms of region, confirmed, recovered and dead. We will focus for the countries of England, Germany, Italy and Switzerland and combine it with Twitter datasets: </w:t>
      </w:r>
      <w:r>
        <w:rPr>
          <w:rFonts w:ascii="Calibri" w:hAnsi="Calibri" w:cs="Calibri"/>
          <w:color w:val="0070C0"/>
          <w:sz w:val="26"/>
          <w:szCs w:val="26"/>
          <w:u w:val="single"/>
        </w:rPr>
        <w:t>https://www.kaggle.com/smid80/coronavirus-covid19-tweets-late-april</w:t>
      </w:r>
      <w:r>
        <w:rPr>
          <w:rFonts w:ascii="Calibri" w:hAnsi="Calibri" w:cs="Calibri"/>
          <w:color w:val="000000"/>
          <w:sz w:val="26"/>
          <w:szCs w:val="26"/>
        </w:rPr>
        <w:t xml:space="preserve"> and </w:t>
      </w:r>
      <w:r>
        <w:rPr>
          <w:rFonts w:ascii="Calibri" w:hAnsi="Calibri" w:cs="Calibri"/>
          <w:color w:val="0070C0"/>
          <w:sz w:val="26"/>
          <w:szCs w:val="26"/>
          <w:u w:val="single"/>
        </w:rPr>
        <w:t>https://www.kaggle.com/smid80/coronavirus-covid19-tweets-early-april</w:t>
      </w:r>
      <w:r>
        <w:rPr>
          <w:rFonts w:ascii="Calibri" w:hAnsi="Calibri" w:cs="Calibri"/>
          <w:color w:val="000000"/>
        </w:rPr>
        <w:t xml:space="preserve"> for April and </w:t>
      </w:r>
      <w:hyperlink w:history="1">
        <w:r>
          <w:rPr>
            <w:rStyle w:val="Hyperlink"/>
            <w:rFonts w:ascii="Calibri" w:hAnsi="Calibri" w:cs="Calibri"/>
            <w:color w:val="0563C1"/>
          </w:rPr>
          <w:t>https://www.kaggle.com/gpreda/covid19-tweets</w:t>
        </w:r>
      </w:hyperlink>
      <w:r>
        <w:rPr>
          <w:rFonts w:ascii="Segoe UI" w:hAnsi="Segoe UI" w:cs="Segoe UI"/>
          <w:color w:val="000000"/>
          <w:sz w:val="18"/>
          <w:szCs w:val="18"/>
        </w:rPr>
        <w:t> </w:t>
      </w:r>
      <w:r>
        <w:rPr>
          <w:rFonts w:ascii="Calibri" w:hAnsi="Calibri" w:cs="Calibri"/>
          <w:color w:val="000000"/>
        </w:rPr>
        <w:t>for the duration of end July till end of August 2020. These three datasets contain different variables, but all contain the tweet text, the country from which the tweet was made, and the date of the tweet. These are the three variables we are interested in for our analysis.</w:t>
      </w:r>
    </w:p>
    <w:p w14:paraId="0EEDD2AC" w14:textId="77777777" w:rsidR="00DE4301" w:rsidRDefault="00DE4301" w:rsidP="00DE4301">
      <w:pPr>
        <w:pStyle w:val="NormalWeb"/>
        <w:spacing w:before="0" w:beforeAutospacing="0" w:after="0" w:afterAutospacing="0" w:line="120" w:lineRule="auto"/>
      </w:pPr>
      <w:r>
        <w:rPr>
          <w:rFonts w:ascii="Calibri" w:hAnsi="Calibri" w:cs="Calibri"/>
          <w:color w:val="000000"/>
        </w:rPr>
        <w:t> </w:t>
      </w:r>
    </w:p>
    <w:p w14:paraId="54B7CD53" w14:textId="77777777" w:rsidR="00DE4301" w:rsidRDefault="00DE4301" w:rsidP="00DE4301">
      <w:pPr>
        <w:pStyle w:val="NormalWeb"/>
        <w:spacing w:before="0" w:beforeAutospacing="0" w:after="0" w:afterAutospacing="0"/>
      </w:pPr>
      <w:r>
        <w:rPr>
          <w:rFonts w:ascii="Calibri" w:hAnsi="Calibri" w:cs="Calibri"/>
          <w:color w:val="000000"/>
        </w:rPr>
        <w:t>Variables in both data sets:  </w:t>
      </w:r>
    </w:p>
    <w:p w14:paraId="2A4CD5E0" w14:textId="77777777" w:rsidR="00DE4301" w:rsidRDefault="00DE4301" w:rsidP="00DE4301">
      <w:pPr>
        <w:pStyle w:val="NormalWeb"/>
        <w:numPr>
          <w:ilvl w:val="0"/>
          <w:numId w:val="37"/>
        </w:numPr>
        <w:tabs>
          <w:tab w:val="left" w:pos="720"/>
        </w:tabs>
        <w:spacing w:before="0" w:beforeAutospacing="0" w:after="0" w:afterAutospacing="0"/>
        <w:ind w:left="1065"/>
      </w:pPr>
      <w:r>
        <w:rPr>
          <w:rFonts w:ascii="Calibri" w:hAnsi="Calibri" w:cs="Calibri"/>
          <w:color w:val="000000"/>
        </w:rPr>
        <w:t>Country (Germany, Italy, Switzerland, England)  </w:t>
      </w:r>
    </w:p>
    <w:p w14:paraId="60B5BB5A" w14:textId="77777777" w:rsidR="00DE4301" w:rsidRDefault="00DE4301" w:rsidP="00DE4301">
      <w:pPr>
        <w:pStyle w:val="NormalWeb"/>
        <w:numPr>
          <w:ilvl w:val="0"/>
          <w:numId w:val="37"/>
        </w:numPr>
        <w:tabs>
          <w:tab w:val="left" w:pos="720"/>
        </w:tabs>
        <w:spacing w:before="0" w:beforeAutospacing="0" w:after="0" w:afterAutospacing="0"/>
        <w:ind w:left="1065"/>
      </w:pPr>
      <w:r>
        <w:rPr>
          <w:rFonts w:ascii="Calibri" w:hAnsi="Calibri" w:cs="Calibri"/>
          <w:color w:val="000000"/>
        </w:rPr>
        <w:t xml:space="preserve">Region (in certain datasets this indicates the region of that country; for example NY </w:t>
      </w:r>
      <w:r>
        <w:rPr>
          <w:rFonts w:ascii="Calibri" w:hAnsi="Calibri" w:cs="Calibri"/>
          <w:color w:val="000000"/>
        </w:rPr>
        <w:tab/>
      </w:r>
      <w:r>
        <w:rPr>
          <w:rFonts w:ascii="Calibri" w:hAnsi="Calibri" w:cs="Calibri"/>
          <w:color w:val="000000"/>
        </w:rPr>
        <w:tab/>
        <w:t>                     for USA)</w:t>
      </w:r>
    </w:p>
    <w:p w14:paraId="36E168C0" w14:textId="77777777" w:rsidR="00DE4301" w:rsidRDefault="00DE4301" w:rsidP="00DE4301">
      <w:pPr>
        <w:pStyle w:val="NormalWeb"/>
        <w:numPr>
          <w:ilvl w:val="0"/>
          <w:numId w:val="37"/>
        </w:numPr>
        <w:tabs>
          <w:tab w:val="left" w:pos="720"/>
        </w:tabs>
        <w:spacing w:before="0" w:beforeAutospacing="0" w:after="0" w:afterAutospacing="0"/>
        <w:ind w:left="1065"/>
      </w:pPr>
      <w:r>
        <w:rPr>
          <w:rFonts w:ascii="Calibri" w:hAnsi="Calibri" w:cs="Calibri"/>
          <w:color w:val="000000"/>
        </w:rPr>
        <w:t>Date</w:t>
      </w:r>
    </w:p>
    <w:p w14:paraId="007C6DAA" w14:textId="77777777" w:rsidR="00DE4301" w:rsidRDefault="00DE4301" w:rsidP="00DE4301">
      <w:pPr>
        <w:pStyle w:val="NormalWeb"/>
        <w:spacing w:before="0" w:beforeAutospacing="0" w:after="0" w:afterAutospacing="0"/>
      </w:pPr>
      <w:r>
        <w:rPr>
          <w:rFonts w:ascii="Calibri" w:hAnsi="Calibri" w:cs="Calibri"/>
          <w:color w:val="000000"/>
        </w:rPr>
        <w:t>Variables of tweets: </w:t>
      </w:r>
    </w:p>
    <w:p w14:paraId="4087B30D" w14:textId="77777777" w:rsidR="00DE4301" w:rsidRDefault="00DE4301" w:rsidP="00DE4301">
      <w:pPr>
        <w:pStyle w:val="NormalWeb"/>
        <w:numPr>
          <w:ilvl w:val="0"/>
          <w:numId w:val="38"/>
        </w:numPr>
        <w:tabs>
          <w:tab w:val="left" w:pos="720"/>
        </w:tabs>
        <w:spacing w:before="0" w:beforeAutospacing="0" w:after="0" w:afterAutospacing="0"/>
        <w:ind w:left="1065"/>
      </w:pPr>
      <w:r>
        <w:rPr>
          <w:rFonts w:ascii="Calibri" w:hAnsi="Calibri" w:cs="Calibri"/>
          <w:color w:val="000000"/>
        </w:rPr>
        <w:t>Sentiment (neutral, positive, negative)  </w:t>
      </w:r>
    </w:p>
    <w:p w14:paraId="30ECDE94" w14:textId="77777777" w:rsidR="00DE4301" w:rsidRDefault="00DE4301" w:rsidP="00DE4301">
      <w:pPr>
        <w:pStyle w:val="NormalWeb"/>
        <w:spacing w:before="0" w:beforeAutospacing="0" w:after="0" w:afterAutospacing="0"/>
      </w:pPr>
      <w:r>
        <w:rPr>
          <w:rFonts w:ascii="Calibri" w:hAnsi="Calibri" w:cs="Calibri"/>
          <w:color w:val="000000"/>
        </w:rPr>
        <w:t> </w:t>
      </w:r>
    </w:p>
    <w:p w14:paraId="0A23A571" w14:textId="77777777" w:rsidR="00DE4301" w:rsidRDefault="00DE4301" w:rsidP="00DE4301">
      <w:pPr>
        <w:pStyle w:val="NormalWeb"/>
        <w:spacing w:before="0" w:beforeAutospacing="0" w:after="0" w:afterAutospacing="0"/>
      </w:pPr>
      <w:r>
        <w:rPr>
          <w:rFonts w:ascii="Calibri" w:hAnsi="Calibri" w:cs="Calibri"/>
          <w:color w:val="000000"/>
        </w:rPr>
        <w:t>Variables of COVID-19 daily cases: </w:t>
      </w:r>
    </w:p>
    <w:p w14:paraId="148E9314" w14:textId="77777777" w:rsidR="00DE4301" w:rsidRDefault="00DE4301" w:rsidP="00DE4301">
      <w:pPr>
        <w:pStyle w:val="NormalWeb"/>
        <w:numPr>
          <w:ilvl w:val="0"/>
          <w:numId w:val="39"/>
        </w:numPr>
        <w:tabs>
          <w:tab w:val="left" w:pos="720"/>
        </w:tabs>
        <w:spacing w:before="0" w:beforeAutospacing="0" w:after="0" w:afterAutospacing="0"/>
        <w:ind w:left="1065"/>
      </w:pPr>
      <w:r>
        <w:rPr>
          <w:rFonts w:ascii="Calibri" w:hAnsi="Calibri" w:cs="Calibri"/>
          <w:color w:val="000000"/>
        </w:rPr>
        <w:t>Recovered (number) </w:t>
      </w:r>
    </w:p>
    <w:p w14:paraId="3CAD347E" w14:textId="77777777" w:rsidR="00DE4301" w:rsidRDefault="00DE4301" w:rsidP="00DE4301">
      <w:pPr>
        <w:pStyle w:val="NormalWeb"/>
        <w:numPr>
          <w:ilvl w:val="0"/>
          <w:numId w:val="39"/>
        </w:numPr>
        <w:tabs>
          <w:tab w:val="left" w:pos="720"/>
        </w:tabs>
        <w:spacing w:before="0" w:beforeAutospacing="0" w:after="0" w:afterAutospacing="0"/>
        <w:ind w:left="1065"/>
      </w:pPr>
      <w:r>
        <w:rPr>
          <w:rFonts w:ascii="Calibri" w:hAnsi="Calibri" w:cs="Calibri"/>
          <w:color w:val="000000"/>
        </w:rPr>
        <w:t>Confirmed (number) </w:t>
      </w:r>
    </w:p>
    <w:p w14:paraId="5BC39186" w14:textId="77777777" w:rsidR="00DE4301" w:rsidRDefault="00DE4301" w:rsidP="00DE4301">
      <w:pPr>
        <w:pStyle w:val="NormalWeb"/>
        <w:numPr>
          <w:ilvl w:val="0"/>
          <w:numId w:val="39"/>
        </w:numPr>
        <w:tabs>
          <w:tab w:val="left" w:pos="720"/>
        </w:tabs>
        <w:spacing w:before="0" w:beforeAutospacing="0" w:after="0" w:afterAutospacing="0"/>
        <w:ind w:left="1065"/>
      </w:pPr>
      <w:r>
        <w:rPr>
          <w:rFonts w:ascii="Calibri" w:hAnsi="Calibri" w:cs="Calibri"/>
          <w:color w:val="000000"/>
        </w:rPr>
        <w:t>Death (number) </w:t>
      </w:r>
    </w:p>
    <w:p w14:paraId="78B2B404" w14:textId="77777777" w:rsidR="00DE4301" w:rsidRDefault="00DE4301" w:rsidP="00DE4301">
      <w:pPr>
        <w:pStyle w:val="NormalWeb"/>
        <w:spacing w:before="0" w:beforeAutospacing="0" w:after="0" w:afterAutospacing="0"/>
        <w:ind w:left="345"/>
      </w:pPr>
      <w:r>
        <w:t> </w:t>
      </w:r>
    </w:p>
    <w:p w14:paraId="7AB104B2" w14:textId="77777777" w:rsidR="00DE4301" w:rsidRDefault="00DE4301" w:rsidP="00DE4301">
      <w:pPr>
        <w:pStyle w:val="NormalWeb"/>
        <w:spacing w:before="0" w:beforeAutospacing="0" w:after="0" w:afterAutospacing="0"/>
      </w:pPr>
      <w:r>
        <w:rPr>
          <w:rFonts w:ascii="Calibri" w:hAnsi="Calibri" w:cs="Calibri"/>
          <w:color w:val="000000"/>
        </w:rPr>
        <w:t> </w:t>
      </w:r>
    </w:p>
    <w:p w14:paraId="740E1B9E" w14:textId="77777777" w:rsidR="00DE4301" w:rsidRDefault="00DE4301" w:rsidP="00DE4301">
      <w:pPr>
        <w:pStyle w:val="NormalWeb"/>
        <w:spacing w:before="0" w:beforeAutospacing="0" w:after="0" w:afterAutospacing="0"/>
      </w:pPr>
      <w:r>
        <w:rPr>
          <w:rFonts w:ascii="Calibri" w:hAnsi="Calibri" w:cs="Calibri"/>
          <w:b/>
          <w:bCs/>
          <w:color w:val="000000"/>
          <w:sz w:val="28"/>
          <w:szCs w:val="28"/>
        </w:rPr>
        <w:t>Research Questions</w:t>
      </w:r>
    </w:p>
    <w:p w14:paraId="5C467F72" w14:textId="77777777" w:rsidR="00DE4301" w:rsidRDefault="00DE4301" w:rsidP="00DE4301">
      <w:pPr>
        <w:pStyle w:val="NormalWeb"/>
        <w:spacing w:before="0" w:beforeAutospacing="0" w:after="0" w:afterAutospacing="0"/>
      </w:pPr>
      <w:r>
        <w:t> </w:t>
      </w:r>
    </w:p>
    <w:p w14:paraId="17942CC8" w14:textId="77777777" w:rsidR="00DE4301" w:rsidRDefault="00DE4301" w:rsidP="00DE4301">
      <w:pPr>
        <w:pStyle w:val="NormalWeb"/>
        <w:numPr>
          <w:ilvl w:val="0"/>
          <w:numId w:val="40"/>
        </w:numPr>
        <w:spacing w:before="0" w:beforeAutospacing="0" w:after="0" w:afterAutospacing="0"/>
        <w:ind w:left="1080"/>
      </w:pPr>
      <w:r>
        <w:rPr>
          <w:rFonts w:ascii="Calibri" w:hAnsi="Calibri" w:cs="Calibri"/>
          <w:color w:val="000000"/>
        </w:rPr>
        <w:t xml:space="preserve"> Is there any relationship between the sentiment of the general public about the </w:t>
      </w:r>
      <w:r>
        <w:rPr>
          <w:rFonts w:ascii="Calibri" w:hAnsi="Calibri" w:cs="Calibri"/>
          <w:color w:val="000000"/>
        </w:rPr>
        <w:tab/>
        <w:t xml:space="preserve">mitigation measures and the governments’ decision-making of these mitigation </w:t>
      </w:r>
      <w:r>
        <w:rPr>
          <w:rFonts w:ascii="Calibri" w:hAnsi="Calibri" w:cs="Calibri"/>
          <w:color w:val="000000"/>
        </w:rPr>
        <w:tab/>
        <w:t>measures?</w:t>
      </w:r>
    </w:p>
    <w:p w14:paraId="2A86AB81" w14:textId="77777777" w:rsidR="00DE4301" w:rsidRDefault="00DE4301" w:rsidP="00DE4301">
      <w:pPr>
        <w:pStyle w:val="NormalWeb"/>
        <w:tabs>
          <w:tab w:val="left" w:pos="720"/>
        </w:tabs>
        <w:spacing w:before="0" w:beforeAutospacing="0" w:after="0" w:afterAutospacing="0"/>
        <w:ind w:left="360"/>
      </w:pPr>
      <w:r>
        <w:t> </w:t>
      </w:r>
    </w:p>
    <w:p w14:paraId="0B6E4C35" w14:textId="77777777" w:rsidR="00DE4301" w:rsidRDefault="00DE4301" w:rsidP="00DE4301">
      <w:pPr>
        <w:pStyle w:val="NormalWeb"/>
        <w:numPr>
          <w:ilvl w:val="0"/>
          <w:numId w:val="41"/>
        </w:numPr>
        <w:spacing w:before="0" w:beforeAutospacing="0" w:after="0" w:afterAutospacing="0"/>
        <w:ind w:left="1429"/>
      </w:pPr>
      <w:r>
        <w:rPr>
          <w:rFonts w:ascii="Calibri" w:hAnsi="Calibri" w:cs="Calibri"/>
          <w:color w:val="000000"/>
        </w:rPr>
        <w:t>What is the effect of the sentiment of the general public and the course of the pandemic on the type of mitigation measure a government takes (strict, light, no measure, etc.)?</w:t>
      </w:r>
    </w:p>
    <w:p w14:paraId="216E46A7" w14:textId="77777777" w:rsidR="00DE4301" w:rsidRDefault="00DE4301" w:rsidP="00DE4301">
      <w:pPr>
        <w:pStyle w:val="NormalWeb"/>
        <w:tabs>
          <w:tab w:val="left" w:pos="720"/>
        </w:tabs>
        <w:spacing w:before="0" w:beforeAutospacing="0" w:after="0" w:afterAutospacing="0"/>
        <w:ind w:left="360"/>
      </w:pPr>
      <w:r>
        <w:t> </w:t>
      </w:r>
    </w:p>
    <w:p w14:paraId="1E992D64" w14:textId="77777777" w:rsidR="00DE4301" w:rsidRDefault="00DE4301" w:rsidP="00DE4301">
      <w:pPr>
        <w:pStyle w:val="NormalWeb"/>
        <w:numPr>
          <w:ilvl w:val="0"/>
          <w:numId w:val="42"/>
        </w:numPr>
        <w:spacing w:before="0" w:beforeAutospacing="0" w:after="0" w:afterAutospacing="0"/>
        <w:ind w:left="1080"/>
      </w:pPr>
      <w:r>
        <w:rPr>
          <w:rFonts w:ascii="Calibri" w:hAnsi="Calibri" w:cs="Calibri"/>
          <w:color w:val="000000"/>
        </w:rPr>
        <w:lastRenderedPageBreak/>
        <w:t xml:space="preserve">Is there any forecast possible for the mitigation measures taken by a government </w:t>
      </w:r>
      <w:r>
        <w:rPr>
          <w:rFonts w:ascii="Calibri" w:hAnsi="Calibri" w:cs="Calibri"/>
          <w:color w:val="000000"/>
        </w:rPr>
        <w:tab/>
        <w:t>and based on the pandemic’s course and general public sentiment? </w:t>
      </w:r>
    </w:p>
    <w:p w14:paraId="756F1C0F" w14:textId="77777777" w:rsidR="00DE4301" w:rsidRDefault="00DE4301" w:rsidP="00DE4301">
      <w:pPr>
        <w:pStyle w:val="NormalWeb"/>
        <w:tabs>
          <w:tab w:val="left" w:pos="720"/>
        </w:tabs>
        <w:spacing w:before="0" w:beforeAutospacing="0" w:after="0" w:afterAutospacing="0"/>
        <w:ind w:left="360"/>
      </w:pPr>
      <w:r>
        <w:rPr>
          <w:rFonts w:ascii="Calibri" w:hAnsi="Calibri" w:cs="Calibri"/>
          <w:color w:val="000000"/>
        </w:rPr>
        <w:t> </w:t>
      </w:r>
    </w:p>
    <w:p w14:paraId="42945745" w14:textId="77777777" w:rsidR="00DE4301" w:rsidRDefault="00DE4301" w:rsidP="00DE4301">
      <w:pPr>
        <w:pStyle w:val="NormalWeb"/>
        <w:numPr>
          <w:ilvl w:val="0"/>
          <w:numId w:val="43"/>
        </w:numPr>
        <w:spacing w:before="0" w:beforeAutospacing="0" w:after="0" w:afterAutospacing="0"/>
        <w:ind w:left="1080"/>
      </w:pPr>
      <w:r>
        <w:rPr>
          <w:rFonts w:ascii="Calibri" w:hAnsi="Calibri" w:cs="Calibri"/>
          <w:color w:val="000000"/>
        </w:rPr>
        <w:t>Is there a difference between the analysed countries?? </w:t>
      </w:r>
    </w:p>
    <w:p w14:paraId="4FE4DA97" w14:textId="77777777" w:rsidR="00DE4301" w:rsidRDefault="00DE4301" w:rsidP="00DE4301">
      <w:pPr>
        <w:pStyle w:val="NormalWeb"/>
        <w:tabs>
          <w:tab w:val="left" w:pos="720"/>
        </w:tabs>
        <w:spacing w:before="0" w:beforeAutospacing="0" w:after="0" w:afterAutospacing="0"/>
        <w:ind w:left="360"/>
      </w:pPr>
      <w:r>
        <w:t> </w:t>
      </w:r>
    </w:p>
    <w:p w14:paraId="19A2BB9C" w14:textId="77777777" w:rsidR="00DE4301" w:rsidRDefault="00DE4301" w:rsidP="00DE4301">
      <w:pPr>
        <w:pStyle w:val="NormalWeb"/>
        <w:numPr>
          <w:ilvl w:val="0"/>
          <w:numId w:val="44"/>
        </w:numPr>
        <w:spacing w:before="0" w:beforeAutospacing="0" w:after="0" w:afterAutospacing="0"/>
        <w:ind w:left="1080"/>
      </w:pPr>
      <w:r>
        <w:rPr>
          <w:rFonts w:ascii="Calibri" w:hAnsi="Calibri" w:cs="Calibri"/>
          <w:color w:val="000000"/>
        </w:rPr>
        <w:t>Is there a difference between time periods?</w:t>
      </w:r>
    </w:p>
    <w:p w14:paraId="1304009A" w14:textId="77777777" w:rsidR="00DE4301" w:rsidRDefault="00DE4301" w:rsidP="00DE4301">
      <w:pPr>
        <w:pStyle w:val="NormalWeb"/>
        <w:numPr>
          <w:ilvl w:val="0"/>
          <w:numId w:val="44"/>
        </w:numPr>
        <w:spacing w:before="0" w:beforeAutospacing="0" w:after="0" w:afterAutospacing="0"/>
        <w:ind w:left="1080"/>
      </w:pPr>
      <w:r>
        <w:t> </w:t>
      </w:r>
    </w:p>
    <w:p w14:paraId="1B97DEE0" w14:textId="77777777" w:rsidR="00DE4301" w:rsidRDefault="00DE4301" w:rsidP="00DE4301">
      <w:pPr>
        <w:pStyle w:val="NormalWeb"/>
        <w:spacing w:before="0" w:beforeAutospacing="0" w:after="0" w:afterAutospacing="0"/>
      </w:pPr>
      <w:r>
        <w:t> </w:t>
      </w:r>
    </w:p>
    <w:p w14:paraId="2C4E036E" w14:textId="77777777" w:rsidR="00DE4301" w:rsidRDefault="00DE4301" w:rsidP="00DE4301">
      <w:pPr>
        <w:pStyle w:val="NormalWeb"/>
        <w:spacing w:before="0" w:beforeAutospacing="0" w:after="0" w:afterAutospacing="0"/>
      </w:pPr>
      <w:r>
        <w:t> </w:t>
      </w:r>
    </w:p>
    <w:p w14:paraId="47E65473" w14:textId="77777777" w:rsidR="00DE4301" w:rsidRDefault="00DE4301" w:rsidP="00DE4301">
      <w:pPr>
        <w:pStyle w:val="NormalWeb"/>
        <w:spacing w:before="0" w:beforeAutospacing="0" w:after="0" w:afterAutospacing="0"/>
      </w:pPr>
      <w:r>
        <w:t> </w:t>
      </w:r>
    </w:p>
    <w:p w14:paraId="6A42902C" w14:textId="77777777" w:rsidR="00DE4301" w:rsidRDefault="00DE4301" w:rsidP="00DE4301">
      <w:pPr>
        <w:pStyle w:val="NormalWeb"/>
        <w:spacing w:before="0" w:beforeAutospacing="0" w:after="0" w:afterAutospacing="0"/>
      </w:pPr>
      <w:r>
        <w:rPr>
          <w:rFonts w:ascii="Calibri" w:hAnsi="Calibri" w:cs="Calibri"/>
          <w:b/>
          <w:bCs/>
          <w:color w:val="000000"/>
          <w:sz w:val="28"/>
          <w:szCs w:val="28"/>
        </w:rPr>
        <w:t>Data processing and analysis</w:t>
      </w:r>
    </w:p>
    <w:p w14:paraId="16A1E45E" w14:textId="77777777" w:rsidR="00DE4301" w:rsidRDefault="00DE4301" w:rsidP="00DE4301">
      <w:pPr>
        <w:pStyle w:val="NormalWeb"/>
        <w:spacing w:before="0" w:beforeAutospacing="0" w:after="0" w:afterAutospacing="0"/>
      </w:pPr>
      <w:r>
        <w:t> </w:t>
      </w:r>
    </w:p>
    <w:p w14:paraId="5BC2B1B4" w14:textId="77777777" w:rsidR="00DE4301" w:rsidRDefault="00DE4301" w:rsidP="00DE4301">
      <w:pPr>
        <w:pStyle w:val="NormalWeb"/>
        <w:spacing w:before="0" w:beforeAutospacing="0" w:after="0" w:afterAutospacing="0"/>
      </w:pPr>
      <w:r>
        <w:t> </w:t>
      </w:r>
    </w:p>
    <w:p w14:paraId="57283223" w14:textId="77777777" w:rsidR="00DE4301" w:rsidRDefault="00DE4301" w:rsidP="00DE4301">
      <w:pPr>
        <w:pStyle w:val="NormalWeb"/>
        <w:numPr>
          <w:ilvl w:val="0"/>
          <w:numId w:val="45"/>
        </w:numPr>
        <w:spacing w:before="0" w:beforeAutospacing="0" w:after="0" w:afterAutospacing="0"/>
        <w:ind w:left="1440"/>
      </w:pPr>
      <w:r>
        <w:rPr>
          <w:rFonts w:ascii="Calibri" w:hAnsi="Calibri" w:cs="Calibri"/>
          <w:color w:val="000000"/>
        </w:rPr>
        <w:t xml:space="preserve">Clean the dataset and filter for the three countries </w:t>
      </w:r>
    </w:p>
    <w:p w14:paraId="3C184A32" w14:textId="77777777" w:rsidR="00DE4301" w:rsidRDefault="00DE4301" w:rsidP="00DE4301">
      <w:pPr>
        <w:pStyle w:val="NormalWeb"/>
        <w:numPr>
          <w:ilvl w:val="0"/>
          <w:numId w:val="45"/>
        </w:numPr>
        <w:spacing w:before="0" w:beforeAutospacing="0" w:after="0" w:afterAutospacing="0"/>
        <w:ind w:left="1440"/>
      </w:pPr>
      <w:r>
        <w:rPr>
          <w:rFonts w:ascii="Calibri" w:hAnsi="Calibri" w:cs="Calibri"/>
          <w:color w:val="000000"/>
        </w:rPr>
        <w:t>Exploratory data analysis (EDA) to conduct summary statistics and check for correlation</w:t>
      </w:r>
    </w:p>
    <w:p w14:paraId="0AE34612" w14:textId="77777777" w:rsidR="00DE4301" w:rsidRDefault="00DE4301" w:rsidP="00DE4301">
      <w:pPr>
        <w:pStyle w:val="NormalWeb"/>
        <w:numPr>
          <w:ilvl w:val="0"/>
          <w:numId w:val="45"/>
        </w:numPr>
        <w:spacing w:before="0" w:beforeAutospacing="0" w:after="0" w:afterAutospacing="0"/>
        <w:ind w:left="1440"/>
      </w:pPr>
      <w:r>
        <w:rPr>
          <w:rFonts w:ascii="Calibri" w:hAnsi="Calibri" w:cs="Calibri"/>
          <w:color w:val="000000"/>
        </w:rPr>
        <w:t xml:space="preserve">Sentiment analysis &amp; modification of sentiment analysis for other languages (Italian and German): </w:t>
      </w:r>
    </w:p>
    <w:p w14:paraId="4C03D537" w14:textId="77777777" w:rsidR="00DE4301" w:rsidRDefault="00DE4301" w:rsidP="00DE4301">
      <w:pPr>
        <w:pStyle w:val="NormalWeb"/>
        <w:numPr>
          <w:ilvl w:val="0"/>
          <w:numId w:val="46"/>
        </w:numPr>
        <w:spacing w:before="0" w:beforeAutospacing="0" w:after="0" w:afterAutospacing="0"/>
        <w:ind w:left="2160"/>
      </w:pPr>
      <w:r>
        <w:rPr>
          <w:rFonts w:ascii="Calibri" w:hAnsi="Calibri" w:cs="Calibri"/>
          <w:color w:val="000000"/>
        </w:rPr>
        <w:t>Tokenization (segregation into words)</w:t>
      </w:r>
    </w:p>
    <w:p w14:paraId="4A176D0E" w14:textId="77777777" w:rsidR="00DE4301" w:rsidRDefault="00DE4301" w:rsidP="00DE4301">
      <w:pPr>
        <w:pStyle w:val="NormalWeb"/>
        <w:numPr>
          <w:ilvl w:val="0"/>
          <w:numId w:val="46"/>
        </w:numPr>
        <w:spacing w:before="0" w:beforeAutospacing="0" w:after="0" w:afterAutospacing="0"/>
        <w:ind w:left="2160"/>
      </w:pPr>
      <w:r>
        <w:rPr>
          <w:rFonts w:ascii="Calibri" w:hAnsi="Calibri" w:cs="Calibri"/>
          <w:color w:val="000000"/>
        </w:rPr>
        <w:t>Cleaning (removing the special characters)</w:t>
      </w:r>
    </w:p>
    <w:p w14:paraId="7FBF9643" w14:textId="77777777" w:rsidR="00DE4301" w:rsidRDefault="00DE4301" w:rsidP="00DE4301">
      <w:pPr>
        <w:pStyle w:val="NormalWeb"/>
        <w:numPr>
          <w:ilvl w:val="0"/>
          <w:numId w:val="46"/>
        </w:numPr>
        <w:spacing w:before="0" w:beforeAutospacing="0" w:after="0" w:afterAutospacing="0"/>
        <w:ind w:left="2160"/>
      </w:pPr>
      <w:r>
        <w:rPr>
          <w:rFonts w:ascii="Calibri" w:hAnsi="Calibri" w:cs="Calibri"/>
          <w:color w:val="000000"/>
        </w:rPr>
        <w:t xml:space="preserve">Removing Stop words (preposition, auxiliary verbs, etc.) </w:t>
      </w:r>
    </w:p>
    <w:p w14:paraId="73F482EB" w14:textId="77777777" w:rsidR="00DE4301" w:rsidRDefault="00DE4301" w:rsidP="00DE4301">
      <w:pPr>
        <w:pStyle w:val="NormalWeb"/>
        <w:numPr>
          <w:ilvl w:val="0"/>
          <w:numId w:val="46"/>
        </w:numPr>
        <w:spacing w:before="0" w:beforeAutospacing="0" w:after="0" w:afterAutospacing="0"/>
        <w:ind w:left="2160"/>
      </w:pPr>
      <w:r>
        <w:rPr>
          <w:rFonts w:ascii="Calibri" w:hAnsi="Calibri" w:cs="Calibri"/>
          <w:color w:val="000000"/>
        </w:rPr>
        <w:t>Classification of words (+1: positive, -1 negative, 0: neutral)</w:t>
      </w:r>
    </w:p>
    <w:p w14:paraId="064F77DF" w14:textId="77777777" w:rsidR="00DE4301" w:rsidRDefault="00DE4301" w:rsidP="00DE4301">
      <w:pPr>
        <w:pStyle w:val="NormalWeb"/>
        <w:numPr>
          <w:ilvl w:val="0"/>
          <w:numId w:val="46"/>
        </w:numPr>
        <w:spacing w:before="0" w:beforeAutospacing="0" w:after="0" w:afterAutospacing="0"/>
        <w:ind w:left="2160"/>
      </w:pPr>
      <w:r>
        <w:rPr>
          <w:rFonts w:ascii="Calibri" w:hAnsi="Calibri" w:cs="Calibri"/>
          <w:color w:val="000000"/>
        </w:rPr>
        <w:t>Apply supervised algorithm for classification (train model with word or lexicons, and test on the analysis statement)</w:t>
      </w:r>
    </w:p>
    <w:p w14:paraId="31B65B49" w14:textId="77777777" w:rsidR="00DE4301" w:rsidRDefault="00DE4301" w:rsidP="00DE4301">
      <w:pPr>
        <w:pStyle w:val="NormalWeb"/>
        <w:numPr>
          <w:ilvl w:val="0"/>
          <w:numId w:val="46"/>
        </w:numPr>
        <w:spacing w:before="0" w:beforeAutospacing="0" w:after="0" w:afterAutospacing="0"/>
        <w:ind w:left="2160"/>
      </w:pPr>
      <w:r>
        <w:rPr>
          <w:rFonts w:ascii="Calibri" w:hAnsi="Calibri" w:cs="Calibri"/>
          <w:color w:val="000000"/>
        </w:rPr>
        <w:t xml:space="preserve">Calculate sentiment of statement (look at polarity) </w:t>
      </w:r>
    </w:p>
    <w:p w14:paraId="3BD8DEFB" w14:textId="77777777" w:rsidR="00DE4301" w:rsidRDefault="00DE4301" w:rsidP="00DE4301">
      <w:pPr>
        <w:pStyle w:val="NormalWeb"/>
        <w:numPr>
          <w:ilvl w:val="0"/>
          <w:numId w:val="47"/>
        </w:numPr>
        <w:spacing w:before="0" w:beforeAutospacing="0" w:after="0" w:afterAutospacing="0"/>
        <w:ind w:left="1440"/>
      </w:pPr>
      <w:r>
        <w:rPr>
          <w:rFonts w:ascii="Calibri" w:hAnsi="Calibri" w:cs="Calibri"/>
          <w:color w:val="000000"/>
        </w:rPr>
        <w:t>Categorization of mitigation measures (response variable) into strict, medium, and light</w:t>
      </w:r>
    </w:p>
    <w:p w14:paraId="09EF0666" w14:textId="77777777" w:rsidR="00DE4301" w:rsidRDefault="00DE4301" w:rsidP="00DE4301">
      <w:pPr>
        <w:pStyle w:val="NormalWeb"/>
        <w:numPr>
          <w:ilvl w:val="0"/>
          <w:numId w:val="47"/>
        </w:numPr>
        <w:spacing w:before="0" w:beforeAutospacing="0" w:after="0" w:afterAutospacing="0"/>
        <w:ind w:left="1440"/>
      </w:pPr>
      <w:r>
        <w:rPr>
          <w:rFonts w:ascii="Calibri" w:hAnsi="Calibri" w:cs="Calibri"/>
          <w:color w:val="000000"/>
        </w:rPr>
        <w:t>Predictive modelling of mitigation measure based on sentiment and pandemic course</w:t>
      </w:r>
    </w:p>
    <w:p w14:paraId="31D527E9" w14:textId="77777777" w:rsidR="00DE4301" w:rsidRDefault="00DE4301" w:rsidP="00DE4301">
      <w:pPr>
        <w:pStyle w:val="NormalWeb"/>
        <w:numPr>
          <w:ilvl w:val="0"/>
          <w:numId w:val="48"/>
        </w:numPr>
        <w:spacing w:before="0" w:beforeAutospacing="0" w:after="0" w:afterAutospacing="0"/>
        <w:ind w:left="2160"/>
      </w:pPr>
      <w:r>
        <w:rPr>
          <w:rFonts w:ascii="Calibri" w:hAnsi="Calibri" w:cs="Calibri"/>
          <w:color w:val="000000"/>
        </w:rPr>
        <w:t>Importantly the response and predictors are polytomous variables (&gt;2 possible categories)</w:t>
      </w:r>
    </w:p>
    <w:p w14:paraId="5968D99A" w14:textId="77777777" w:rsidR="00DE4301" w:rsidRDefault="00DE4301" w:rsidP="00DE4301">
      <w:pPr>
        <w:pStyle w:val="NormalWeb"/>
        <w:numPr>
          <w:ilvl w:val="0"/>
          <w:numId w:val="48"/>
        </w:numPr>
        <w:spacing w:before="0" w:beforeAutospacing="0" w:after="0" w:afterAutospacing="0"/>
        <w:ind w:left="2160"/>
      </w:pPr>
      <w:r>
        <w:rPr>
          <w:rFonts w:ascii="Calibri" w:hAnsi="Calibri" w:cs="Calibri"/>
          <w:color w:val="000000"/>
        </w:rPr>
        <w:t xml:space="preserve">Possible machine learning models: </w:t>
      </w:r>
    </w:p>
    <w:p w14:paraId="2670DF7C" w14:textId="77777777" w:rsidR="00DE4301" w:rsidRDefault="00DE4301" w:rsidP="00DE4301">
      <w:pPr>
        <w:pStyle w:val="NormalWeb"/>
        <w:numPr>
          <w:ilvl w:val="0"/>
          <w:numId w:val="49"/>
        </w:numPr>
        <w:spacing w:before="0" w:beforeAutospacing="0" w:after="0" w:afterAutospacing="0"/>
        <w:ind w:left="2880" w:hanging="180"/>
      </w:pPr>
      <w:r>
        <w:rPr>
          <w:rFonts w:ascii="Calibri" w:hAnsi="Calibri" w:cs="Calibri"/>
          <w:color w:val="000000"/>
        </w:rPr>
        <w:t>Logistic regression</w:t>
      </w:r>
    </w:p>
    <w:p w14:paraId="533A5929" w14:textId="77777777" w:rsidR="00DE4301" w:rsidRDefault="00DE4301" w:rsidP="00DE4301">
      <w:pPr>
        <w:pStyle w:val="NormalWeb"/>
        <w:numPr>
          <w:ilvl w:val="0"/>
          <w:numId w:val="49"/>
        </w:numPr>
        <w:spacing w:before="0" w:beforeAutospacing="0" w:after="0" w:afterAutospacing="0"/>
        <w:ind w:left="2880" w:hanging="180"/>
      </w:pPr>
      <w:r>
        <w:rPr>
          <w:rFonts w:ascii="Calibri" w:hAnsi="Calibri" w:cs="Calibri"/>
          <w:color w:val="000000"/>
        </w:rPr>
        <w:t>Artificial neural network</w:t>
      </w:r>
    </w:p>
    <w:p w14:paraId="007B4DD2" w14:textId="77777777" w:rsidR="00DE4301" w:rsidRDefault="00DE4301" w:rsidP="00DE4301">
      <w:pPr>
        <w:pStyle w:val="NormalWeb"/>
        <w:numPr>
          <w:ilvl w:val="0"/>
          <w:numId w:val="50"/>
        </w:numPr>
        <w:spacing w:before="0" w:beforeAutospacing="0" w:after="0" w:afterAutospacing="0"/>
        <w:ind w:left="1440"/>
      </w:pPr>
      <w:r>
        <w:rPr>
          <w:rFonts w:ascii="Calibri" w:hAnsi="Calibri" w:cs="Calibri"/>
          <w:color w:val="000000"/>
        </w:rPr>
        <w:t xml:space="preserve">If time: temporal analysis of </w:t>
      </w:r>
      <w:proofErr w:type="spellStart"/>
      <w:r>
        <w:rPr>
          <w:rFonts w:ascii="Calibri" w:hAnsi="Calibri" w:cs="Calibri"/>
          <w:color w:val="000000"/>
        </w:rPr>
        <w:t>reponse</w:t>
      </w:r>
      <w:proofErr w:type="spellEnd"/>
      <w:r>
        <w:rPr>
          <w:rFonts w:ascii="Calibri" w:hAnsi="Calibri" w:cs="Calibri"/>
          <w:color w:val="000000"/>
        </w:rPr>
        <w:t xml:space="preserve"> changes (i.e., first wave, second wave) using the same predictors</w:t>
      </w: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4E2A835C" w14:textId="2205CB97" w:rsidR="000C2E52" w:rsidRPr="000C2E52" w:rsidRDefault="004C09BA" w:rsidP="000C2E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C2E52" w:rsidRPr="000C2E52">
        <w:rPr>
          <w:rFonts w:ascii="Calibri" w:hAnsi="Calibri" w:cs="Calibri"/>
          <w:noProof/>
          <w:szCs w:val="24"/>
        </w:rPr>
        <w:t xml:space="preserve">Alamoodi, A. H., Zaidan, B. B., Zaidan, A. A., Albahri, O. S., Mohammed, K. I., Malik, R. Q., Almahdi, E. M., Chyad, M. A., Tareq, Z., Albahri, A. S., Hameed, H., &amp; Alaa, M. (2021). Sentiment analysis and its applications in fighting COVID-19 and infectious diseases: A systematic review. </w:t>
      </w:r>
      <w:r w:rsidR="000C2E52" w:rsidRPr="000C2E52">
        <w:rPr>
          <w:rFonts w:ascii="Calibri" w:hAnsi="Calibri" w:cs="Calibri"/>
          <w:i/>
          <w:iCs/>
          <w:noProof/>
          <w:szCs w:val="24"/>
        </w:rPr>
        <w:t>Expert Systems with Applications</w:t>
      </w:r>
      <w:r w:rsidR="000C2E52" w:rsidRPr="000C2E52">
        <w:rPr>
          <w:rFonts w:ascii="Calibri" w:hAnsi="Calibri" w:cs="Calibri"/>
          <w:noProof/>
          <w:szCs w:val="24"/>
        </w:rPr>
        <w:t xml:space="preserve">, </w:t>
      </w:r>
      <w:r w:rsidR="000C2E52" w:rsidRPr="000C2E52">
        <w:rPr>
          <w:rFonts w:ascii="Calibri" w:hAnsi="Calibri" w:cs="Calibri"/>
          <w:i/>
          <w:iCs/>
          <w:noProof/>
          <w:szCs w:val="24"/>
        </w:rPr>
        <w:t>167</w:t>
      </w:r>
      <w:r w:rsidR="000C2E52" w:rsidRPr="000C2E52">
        <w:rPr>
          <w:rFonts w:ascii="Calibri" w:hAnsi="Calibri" w:cs="Calibri"/>
          <w:noProof/>
          <w:szCs w:val="24"/>
        </w:rPr>
        <w:t>, 114155. https://doi.org/10.1016/j.eswa.2020.114155</w:t>
      </w:r>
    </w:p>
    <w:p w14:paraId="4FFE3CF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Aljameel, S. S., Alabbad, D. A., Alzahrani, N. A., Alqarni, S. M., Alamoudi, F. A., Babili, L. M., Aljaafary, S. K., &amp; Alshamrani, F. M. (2021). A Sentiment Analysis Approach to Predict an Individual’s Awareness of the Precautionary Procedures to Prevent COVID-19 Outbreaks in Saudi Arabia.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218.</w:t>
      </w:r>
    </w:p>
    <w:p w14:paraId="6775695B"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Alomari, E., Katib, I., Albeshri, A., &amp; Mehmood, R. (2021). COVID-19: Detecting Government Pandemic Measures and Public Concerns from Twitter Arabic Data Using Distributed Machine Learning.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282.</w:t>
      </w:r>
    </w:p>
    <w:p w14:paraId="1E57A68C"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Anderson, R. M., Heesterbeek, H., Klinkenberg, D., &amp; Hollingsworth, T. D. (2020). </w:t>
      </w:r>
      <w:r w:rsidRPr="000C2E52">
        <w:rPr>
          <w:rFonts w:ascii="Calibri" w:hAnsi="Calibri" w:cs="Calibri"/>
          <w:i/>
          <w:iCs/>
          <w:noProof/>
          <w:szCs w:val="24"/>
        </w:rPr>
        <w:t>How will country-based mitigation measures influence the course of the COVID-19 epidemic ?</w:t>
      </w:r>
      <w:r w:rsidRPr="000C2E52">
        <w:rPr>
          <w:rFonts w:ascii="Calibri" w:hAnsi="Calibri" w:cs="Calibri"/>
          <w:noProof/>
          <w:szCs w:val="24"/>
        </w:rPr>
        <w:t xml:space="preserve"> </w:t>
      </w:r>
      <w:r w:rsidRPr="000C2E52">
        <w:rPr>
          <w:rFonts w:ascii="Calibri" w:hAnsi="Calibri" w:cs="Calibri"/>
          <w:i/>
          <w:iCs/>
          <w:noProof/>
          <w:szCs w:val="24"/>
        </w:rPr>
        <w:t>2019</w:t>
      </w:r>
      <w:r w:rsidRPr="000C2E52">
        <w:rPr>
          <w:rFonts w:ascii="Calibri" w:hAnsi="Calibri" w:cs="Calibri"/>
          <w:noProof/>
          <w:szCs w:val="24"/>
        </w:rPr>
        <w:t>(20), 931–934. https://doi.org/10.1016/S0140-6736(20)30567-5</w:t>
      </w:r>
    </w:p>
    <w:p w14:paraId="239CFE36"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Bassetti, M., Vena, A., &amp; Giacobbe, D. R. (2020). The novel Chinese coronavirus (2019-nCoV) infections: Challenges for fighting the storm. </w:t>
      </w:r>
      <w:r w:rsidRPr="000C2E52">
        <w:rPr>
          <w:rFonts w:ascii="Calibri" w:hAnsi="Calibri" w:cs="Calibri"/>
          <w:i/>
          <w:iCs/>
          <w:noProof/>
          <w:szCs w:val="24"/>
        </w:rPr>
        <w:t>European Journal of Clinical Investigation</w:t>
      </w:r>
      <w:r w:rsidRPr="000C2E52">
        <w:rPr>
          <w:rFonts w:ascii="Calibri" w:hAnsi="Calibri" w:cs="Calibri"/>
          <w:noProof/>
          <w:szCs w:val="24"/>
        </w:rPr>
        <w:t xml:space="preserve">, </w:t>
      </w:r>
      <w:r w:rsidRPr="000C2E52">
        <w:rPr>
          <w:rFonts w:ascii="Calibri" w:hAnsi="Calibri" w:cs="Calibri"/>
          <w:i/>
          <w:iCs/>
          <w:noProof/>
          <w:szCs w:val="24"/>
        </w:rPr>
        <w:t>50</w:t>
      </w:r>
      <w:r w:rsidRPr="000C2E52">
        <w:rPr>
          <w:rFonts w:ascii="Calibri" w:hAnsi="Calibri" w:cs="Calibri"/>
          <w:noProof/>
          <w:szCs w:val="24"/>
        </w:rPr>
        <w:t>(3), e13209. https://doi.org/10.1111/eci.13209</w:t>
      </w:r>
    </w:p>
    <w:p w14:paraId="58D11DA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514–523. https://doi.org/https://doi.org/10.1016/S0140-6736(20)30154-9</w:t>
      </w:r>
    </w:p>
    <w:p w14:paraId="696C81A9"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Chung, W., He, S., &amp; Zeng, D. (2015). </w:t>
      </w:r>
      <w:r w:rsidRPr="000C2E52">
        <w:rPr>
          <w:rFonts w:ascii="Calibri" w:hAnsi="Calibri" w:cs="Calibri"/>
          <w:i/>
          <w:iCs/>
          <w:noProof/>
          <w:szCs w:val="24"/>
        </w:rPr>
        <w:t>eMood: Modeling emotion for social media analytics on Ebola disease outbreak</w:t>
      </w:r>
      <w:r w:rsidRPr="000C2E52">
        <w:rPr>
          <w:rFonts w:ascii="Calibri" w:hAnsi="Calibri" w:cs="Calibri"/>
          <w:noProof/>
          <w:szCs w:val="24"/>
        </w:rPr>
        <w:t>.</w:t>
      </w:r>
    </w:p>
    <w:p w14:paraId="02B72E5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DeNardis, L., &amp; Hackl, A. M. (2015). Internet governance by social media platforms. </w:t>
      </w:r>
      <w:r w:rsidRPr="000C2E52">
        <w:rPr>
          <w:rFonts w:ascii="Calibri" w:hAnsi="Calibri" w:cs="Calibri"/>
          <w:i/>
          <w:iCs/>
          <w:noProof/>
          <w:szCs w:val="24"/>
        </w:rPr>
        <w:t>Telecommunications Policy</w:t>
      </w:r>
      <w:r w:rsidRPr="000C2E52">
        <w:rPr>
          <w:rFonts w:ascii="Calibri" w:hAnsi="Calibri" w:cs="Calibri"/>
          <w:noProof/>
          <w:szCs w:val="24"/>
        </w:rPr>
        <w:t xml:space="preserve">, </w:t>
      </w:r>
      <w:r w:rsidRPr="000C2E52">
        <w:rPr>
          <w:rFonts w:ascii="Calibri" w:hAnsi="Calibri" w:cs="Calibri"/>
          <w:i/>
          <w:iCs/>
          <w:noProof/>
          <w:szCs w:val="24"/>
        </w:rPr>
        <w:t>39</w:t>
      </w:r>
      <w:r w:rsidRPr="000C2E52">
        <w:rPr>
          <w:rFonts w:ascii="Calibri" w:hAnsi="Calibri" w:cs="Calibri"/>
          <w:noProof/>
          <w:szCs w:val="24"/>
        </w:rPr>
        <w:t xml:space="preserve">(9), 761–770. </w:t>
      </w:r>
      <w:r w:rsidRPr="000C2E52">
        <w:rPr>
          <w:rFonts w:ascii="Calibri" w:hAnsi="Calibri" w:cs="Calibri"/>
          <w:noProof/>
          <w:szCs w:val="24"/>
        </w:rPr>
        <w:lastRenderedPageBreak/>
        <w:t>https://doi.org/https://doi.org/10.1016/j.telpol.2015.04.003</w:t>
      </w:r>
    </w:p>
    <w:p w14:paraId="4879F32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Fang, Y., Nie, Y., &amp; Penny, M. (2020). Transmission dynamics of the COVID-19 outbreak and effectiveness of government interventions: A data-driven analysis.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(6), 645–659. https://doi.org/10.1002/jmv.25750</w:t>
      </w:r>
    </w:p>
    <w:p w14:paraId="0971414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Fehr, A. R., &amp; Perlman, S. (2015). </w:t>
      </w:r>
      <w:r w:rsidRPr="000C2E52">
        <w:rPr>
          <w:rFonts w:ascii="Calibri" w:hAnsi="Calibri" w:cs="Calibri"/>
          <w:i/>
          <w:iCs/>
          <w:noProof/>
          <w:szCs w:val="24"/>
        </w:rPr>
        <w:t>Coronaviruses: An Overview of Their Replication and Pathogenesis BT  - Coronaviruses: Methods and Protocols</w:t>
      </w:r>
      <w:r w:rsidRPr="000C2E52">
        <w:rPr>
          <w:rFonts w:ascii="Calibri" w:hAnsi="Calibri" w:cs="Calibri"/>
          <w:noProof/>
          <w:szCs w:val="24"/>
        </w:rPr>
        <w:t xml:space="preserve"> (H. J. Maier, E. Bickerton, &amp; P. Britton (eds.); pp. 1–23). Springer New York. https://doi.org/10.1007/978-1-4939-2438-7_1</w:t>
      </w:r>
    </w:p>
    <w:p w14:paraId="58E2678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Gilardi, F., Gessler, T., Kubli, M., &amp; Müller, S. (2021). </w:t>
      </w:r>
      <w:r w:rsidRPr="000C2E52">
        <w:rPr>
          <w:rFonts w:ascii="Calibri" w:hAnsi="Calibri" w:cs="Calibri"/>
          <w:i/>
          <w:iCs/>
          <w:noProof/>
          <w:szCs w:val="24"/>
        </w:rPr>
        <w:t>Social Media and Policy Responses to the COVID-19 Pandemic in Switzerland</w:t>
      </w:r>
      <w:r w:rsidRPr="000C2E52">
        <w:rPr>
          <w:rFonts w:ascii="Calibri" w:hAnsi="Calibri" w:cs="Calibri"/>
          <w:noProof/>
          <w:szCs w:val="24"/>
        </w:rPr>
        <w:t>.</w:t>
      </w:r>
    </w:p>
    <w:p w14:paraId="00A9C5D7"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497–506. https://doi.org/https://doi.org/10.1016/S0140-6736(20)30183-5</w:t>
      </w:r>
    </w:p>
    <w:p w14:paraId="0C1773E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Ji, X., Chun, S. A., &amp; Geller, J. (2016). Knowledge-Based Tweet Classification for Disease Sentiment Monitoring. In W. Pedrycz &amp; S.-M. Chen (Eds.), </w:t>
      </w:r>
      <w:r w:rsidRPr="000C2E52">
        <w:rPr>
          <w:rFonts w:ascii="Calibri" w:hAnsi="Calibri" w:cs="Calibri"/>
          <w:i/>
          <w:iCs/>
          <w:noProof/>
          <w:szCs w:val="24"/>
        </w:rPr>
        <w:t>Sentiment Analysis and Ontology Engineering: An Environment of Computational Intelligence</w:t>
      </w:r>
      <w:r w:rsidRPr="000C2E52">
        <w:rPr>
          <w:rFonts w:ascii="Calibri" w:hAnsi="Calibri" w:cs="Calibri"/>
          <w:noProof/>
          <w:szCs w:val="24"/>
        </w:rPr>
        <w:t xml:space="preserve"> (pp. 425–454). Springer International Publishing. https://doi.org/10.1007/978-3-319-30319-2_17</w:t>
      </w:r>
    </w:p>
    <w:p w14:paraId="7AC5C0C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Liu, Y., Gayle, A. A., Wilder-smith, A., &amp; Rocklöv, J. (2020). </w:t>
      </w:r>
      <w:r w:rsidRPr="000C2E52">
        <w:rPr>
          <w:rFonts w:ascii="Calibri" w:hAnsi="Calibri" w:cs="Calibri"/>
          <w:i/>
          <w:iCs/>
          <w:noProof/>
          <w:szCs w:val="24"/>
        </w:rPr>
        <w:t>The reproductive number of COVID-19 is higher compared to SARS coronavirus</w:t>
      </w:r>
      <w:r w:rsidRPr="000C2E52">
        <w:rPr>
          <w:rFonts w:ascii="Calibri" w:hAnsi="Calibri" w:cs="Calibri"/>
          <w:noProof/>
          <w:szCs w:val="24"/>
        </w:rPr>
        <w:t xml:space="preserve">. </w:t>
      </w:r>
      <w:r w:rsidRPr="000C2E52">
        <w:rPr>
          <w:rFonts w:ascii="Calibri" w:hAnsi="Calibri" w:cs="Calibri"/>
          <w:i/>
          <w:iCs/>
          <w:noProof/>
          <w:szCs w:val="24"/>
        </w:rPr>
        <w:t>Figure 1</w:t>
      </w:r>
      <w:r w:rsidRPr="000C2E52">
        <w:rPr>
          <w:rFonts w:ascii="Calibri" w:hAnsi="Calibri" w:cs="Calibri"/>
          <w:noProof/>
          <w:szCs w:val="24"/>
        </w:rPr>
        <w:t>, 1–4. https://doi.org/10.1093/jtm/taaa021</w:t>
      </w:r>
    </w:p>
    <w:p w14:paraId="0F826F0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H., Stratton, C. W., &amp; Tang, Y.-W. (2020). Outbreak of pneumonia of unknown etiology in Wuhan, China: The mystery and the miracle.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(4), 401–402. https://doi.org/10.1002/jmv.25678</w:t>
      </w:r>
    </w:p>
    <w:p w14:paraId="19EAF741"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(10224), 565–574. https://doi.org/https://doi.org/10.1016/S0140-6736(20)30251-8</w:t>
      </w:r>
    </w:p>
    <w:p w14:paraId="661C2E8F"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Pastor, C. K. (2020). Sentiment analysis of Filipinos and effects of extreme community quarantine due to coronavirus (Covid-19) pandemic. </w:t>
      </w:r>
      <w:r w:rsidRPr="000C2E52">
        <w:rPr>
          <w:rFonts w:ascii="Calibri" w:hAnsi="Calibri" w:cs="Calibri"/>
          <w:i/>
          <w:iCs/>
          <w:noProof/>
          <w:szCs w:val="24"/>
        </w:rPr>
        <w:t>Available at SSRN 3574385</w:t>
      </w:r>
      <w:r w:rsidRPr="000C2E52">
        <w:rPr>
          <w:rFonts w:ascii="Calibri" w:hAnsi="Calibri" w:cs="Calibri"/>
          <w:noProof/>
          <w:szCs w:val="24"/>
        </w:rPr>
        <w:t>.</w:t>
      </w:r>
    </w:p>
    <w:p w14:paraId="62331BC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Rothan, H. A., &amp; Byrareddy, S. N. (2020). The epidemiology and pathogenesis of coronavirus disease ( COVID-19 ) outbreak. </w:t>
      </w:r>
      <w:r w:rsidRPr="000C2E52">
        <w:rPr>
          <w:rFonts w:ascii="Calibri" w:hAnsi="Calibri" w:cs="Calibri"/>
          <w:i/>
          <w:iCs/>
          <w:noProof/>
          <w:szCs w:val="24"/>
        </w:rPr>
        <w:t>Journal of Autoimmunity</w:t>
      </w:r>
      <w:r w:rsidRPr="000C2E52">
        <w:rPr>
          <w:rFonts w:ascii="Calibri" w:hAnsi="Calibri" w:cs="Calibri"/>
          <w:noProof/>
          <w:szCs w:val="24"/>
        </w:rPr>
        <w:t xml:space="preserve">, </w:t>
      </w:r>
      <w:r w:rsidRPr="000C2E52">
        <w:rPr>
          <w:rFonts w:ascii="Calibri" w:hAnsi="Calibri" w:cs="Calibri"/>
          <w:i/>
          <w:iCs/>
          <w:noProof/>
          <w:szCs w:val="24"/>
        </w:rPr>
        <w:t>109</w:t>
      </w:r>
      <w:r w:rsidRPr="000C2E52">
        <w:rPr>
          <w:rFonts w:ascii="Calibri" w:hAnsi="Calibri" w:cs="Calibri"/>
          <w:noProof/>
          <w:szCs w:val="24"/>
        </w:rPr>
        <w:t>(February), 102433. https://doi.org/10.1016/j.jaut.2020.102433</w:t>
      </w:r>
    </w:p>
    <w:p w14:paraId="5DBCCC53"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0C2E52">
        <w:rPr>
          <w:rFonts w:ascii="Calibri" w:hAnsi="Calibri" w:cs="Calibri"/>
          <w:i/>
          <w:iCs/>
          <w:noProof/>
          <w:szCs w:val="24"/>
        </w:rPr>
        <w:t>International Journal of Surgery</w:t>
      </w:r>
      <w:r w:rsidRPr="000C2E52">
        <w:rPr>
          <w:rFonts w:ascii="Calibri" w:hAnsi="Calibri" w:cs="Calibri"/>
          <w:noProof/>
          <w:szCs w:val="24"/>
        </w:rPr>
        <w:t xml:space="preserve">, </w:t>
      </w:r>
      <w:r w:rsidRPr="000C2E52">
        <w:rPr>
          <w:rFonts w:ascii="Calibri" w:hAnsi="Calibri" w:cs="Calibri"/>
          <w:i/>
          <w:iCs/>
          <w:noProof/>
          <w:szCs w:val="24"/>
        </w:rPr>
        <w:t>76</w:t>
      </w:r>
      <w:r w:rsidRPr="000C2E52">
        <w:rPr>
          <w:rFonts w:ascii="Calibri" w:hAnsi="Calibri" w:cs="Calibri"/>
          <w:noProof/>
          <w:szCs w:val="24"/>
        </w:rPr>
        <w:t>(February), 71–76. https://doi.org/10.1016/j.ijsu.2020.02.034</w:t>
      </w:r>
    </w:p>
    <w:p w14:paraId="2EF766B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rPr>
      </w:pPr>
      <w:r w:rsidRPr="000C2E52">
        <w:rPr>
          <w:rFonts w:ascii="Calibri" w:hAnsi="Calibri" w:cs="Calibri"/>
          <w:noProof/>
          <w:szCs w:val="24"/>
        </w:rPr>
        <w:t xml:space="preserve">Wang, S., Schraagen, M., Sang, E. T. K., &amp; Dastani, M. (2020). </w:t>
      </w:r>
      <w:r w:rsidRPr="000C2E52">
        <w:rPr>
          <w:rFonts w:ascii="Calibri" w:hAnsi="Calibri" w:cs="Calibri"/>
          <w:i/>
          <w:iCs/>
          <w:noProof/>
          <w:szCs w:val="24"/>
        </w:rPr>
        <w:t>Public Sentiment on Governmental COVID-19 Measures in Dutch Social Media</w:t>
      </w:r>
      <w:r w:rsidRPr="000C2E52">
        <w:rPr>
          <w:rFonts w:ascii="Calibri" w:hAnsi="Calibri" w:cs="Calibri"/>
          <w:noProof/>
          <w:szCs w:val="24"/>
        </w:rPr>
        <w:t>.</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2CCFA" w14:textId="77777777" w:rsidR="00555D97" w:rsidRDefault="00555D97" w:rsidP="004C09BA">
      <w:pPr>
        <w:spacing w:after="0" w:line="240" w:lineRule="auto"/>
      </w:pPr>
      <w:r>
        <w:separator/>
      </w:r>
    </w:p>
  </w:endnote>
  <w:endnote w:type="continuationSeparator" w:id="0">
    <w:p w14:paraId="2937CAA8" w14:textId="77777777" w:rsidR="00555D97" w:rsidRDefault="00555D97"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D25B2" w14:textId="77777777" w:rsidR="00555D97" w:rsidRDefault="00555D97" w:rsidP="004C09BA">
      <w:pPr>
        <w:spacing w:after="0" w:line="240" w:lineRule="auto"/>
      </w:pPr>
      <w:r>
        <w:separator/>
      </w:r>
    </w:p>
  </w:footnote>
  <w:footnote w:type="continuationSeparator" w:id="0">
    <w:p w14:paraId="27197F14" w14:textId="77777777" w:rsidR="00555D97" w:rsidRDefault="00555D97" w:rsidP="004C0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63D"/>
    <w:multiLevelType w:val="multilevel"/>
    <w:tmpl w:val="8B14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5E02"/>
    <w:multiLevelType w:val="multilevel"/>
    <w:tmpl w:val="83B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B77C8"/>
    <w:multiLevelType w:val="multilevel"/>
    <w:tmpl w:val="0B3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256A0"/>
    <w:multiLevelType w:val="multilevel"/>
    <w:tmpl w:val="E04A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705BF"/>
    <w:multiLevelType w:val="multilevel"/>
    <w:tmpl w:val="66D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70B1A"/>
    <w:multiLevelType w:val="multilevel"/>
    <w:tmpl w:val="2B84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03026"/>
    <w:multiLevelType w:val="multilevel"/>
    <w:tmpl w:val="9E5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7E33"/>
    <w:multiLevelType w:val="multilevel"/>
    <w:tmpl w:val="776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25122"/>
    <w:multiLevelType w:val="multilevel"/>
    <w:tmpl w:val="7DA4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266ED"/>
    <w:multiLevelType w:val="multilevel"/>
    <w:tmpl w:val="C02621BA"/>
    <w:lvl w:ilvl="0">
      <w:start w:val="1"/>
      <w:numFmt w:val="bullet"/>
      <w:lvlText w:val=""/>
      <w:lvlJc w:val="left"/>
      <w:pPr>
        <w:tabs>
          <w:tab w:val="num" w:pos="22"/>
        </w:tabs>
        <w:ind w:left="22" w:hanging="360"/>
      </w:pPr>
      <w:rPr>
        <w:rFonts w:ascii="Symbol" w:hAnsi="Symbol" w:hint="default"/>
        <w:sz w:val="20"/>
      </w:rPr>
    </w:lvl>
    <w:lvl w:ilvl="1" w:tentative="1">
      <w:start w:val="1"/>
      <w:numFmt w:val="bullet"/>
      <w:lvlText w:val="o"/>
      <w:lvlJc w:val="left"/>
      <w:pPr>
        <w:tabs>
          <w:tab w:val="num" w:pos="742"/>
        </w:tabs>
        <w:ind w:left="742" w:hanging="360"/>
      </w:pPr>
      <w:rPr>
        <w:rFonts w:ascii="Courier New" w:hAnsi="Courier New" w:hint="default"/>
        <w:sz w:val="20"/>
      </w:rPr>
    </w:lvl>
    <w:lvl w:ilvl="2" w:tentative="1">
      <w:start w:val="1"/>
      <w:numFmt w:val="bullet"/>
      <w:lvlText w:val=""/>
      <w:lvlJc w:val="left"/>
      <w:pPr>
        <w:tabs>
          <w:tab w:val="num" w:pos="1462"/>
        </w:tabs>
        <w:ind w:left="1462" w:hanging="360"/>
      </w:pPr>
      <w:rPr>
        <w:rFonts w:ascii="Wingdings" w:hAnsi="Wingdings" w:hint="default"/>
        <w:sz w:val="20"/>
      </w:rPr>
    </w:lvl>
    <w:lvl w:ilvl="3" w:tentative="1">
      <w:start w:val="1"/>
      <w:numFmt w:val="bullet"/>
      <w:lvlText w:val=""/>
      <w:lvlJc w:val="left"/>
      <w:pPr>
        <w:tabs>
          <w:tab w:val="num" w:pos="2182"/>
        </w:tabs>
        <w:ind w:left="2182" w:hanging="360"/>
      </w:pPr>
      <w:rPr>
        <w:rFonts w:ascii="Wingdings" w:hAnsi="Wingdings" w:hint="default"/>
        <w:sz w:val="20"/>
      </w:rPr>
    </w:lvl>
    <w:lvl w:ilvl="4" w:tentative="1">
      <w:start w:val="1"/>
      <w:numFmt w:val="bullet"/>
      <w:lvlText w:val=""/>
      <w:lvlJc w:val="left"/>
      <w:pPr>
        <w:tabs>
          <w:tab w:val="num" w:pos="2902"/>
        </w:tabs>
        <w:ind w:left="2902" w:hanging="360"/>
      </w:pPr>
      <w:rPr>
        <w:rFonts w:ascii="Wingdings" w:hAnsi="Wingdings" w:hint="default"/>
        <w:sz w:val="20"/>
      </w:rPr>
    </w:lvl>
    <w:lvl w:ilvl="5" w:tentative="1">
      <w:start w:val="1"/>
      <w:numFmt w:val="bullet"/>
      <w:lvlText w:val=""/>
      <w:lvlJc w:val="left"/>
      <w:pPr>
        <w:tabs>
          <w:tab w:val="num" w:pos="3622"/>
        </w:tabs>
        <w:ind w:left="3622" w:hanging="360"/>
      </w:pPr>
      <w:rPr>
        <w:rFonts w:ascii="Wingdings" w:hAnsi="Wingdings" w:hint="default"/>
        <w:sz w:val="20"/>
      </w:rPr>
    </w:lvl>
    <w:lvl w:ilvl="6" w:tentative="1">
      <w:start w:val="1"/>
      <w:numFmt w:val="bullet"/>
      <w:lvlText w:val=""/>
      <w:lvlJc w:val="left"/>
      <w:pPr>
        <w:tabs>
          <w:tab w:val="num" w:pos="4342"/>
        </w:tabs>
        <w:ind w:left="4342" w:hanging="360"/>
      </w:pPr>
      <w:rPr>
        <w:rFonts w:ascii="Wingdings" w:hAnsi="Wingdings" w:hint="default"/>
        <w:sz w:val="20"/>
      </w:rPr>
    </w:lvl>
    <w:lvl w:ilvl="7" w:tentative="1">
      <w:start w:val="1"/>
      <w:numFmt w:val="bullet"/>
      <w:lvlText w:val=""/>
      <w:lvlJc w:val="left"/>
      <w:pPr>
        <w:tabs>
          <w:tab w:val="num" w:pos="5062"/>
        </w:tabs>
        <w:ind w:left="5062" w:hanging="360"/>
      </w:pPr>
      <w:rPr>
        <w:rFonts w:ascii="Wingdings" w:hAnsi="Wingdings" w:hint="default"/>
        <w:sz w:val="20"/>
      </w:rPr>
    </w:lvl>
    <w:lvl w:ilvl="8" w:tentative="1">
      <w:start w:val="1"/>
      <w:numFmt w:val="bullet"/>
      <w:lvlText w:val=""/>
      <w:lvlJc w:val="left"/>
      <w:pPr>
        <w:tabs>
          <w:tab w:val="num" w:pos="5782"/>
        </w:tabs>
        <w:ind w:left="5782" w:hanging="360"/>
      </w:pPr>
      <w:rPr>
        <w:rFonts w:ascii="Wingdings" w:hAnsi="Wingdings" w:hint="default"/>
        <w:sz w:val="20"/>
      </w:rPr>
    </w:lvl>
  </w:abstractNum>
  <w:abstractNum w:abstractNumId="10" w15:restartNumberingAfterBreak="0">
    <w:nsid w:val="163A6509"/>
    <w:multiLevelType w:val="multilevel"/>
    <w:tmpl w:val="AC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C7071"/>
    <w:multiLevelType w:val="multilevel"/>
    <w:tmpl w:val="C60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9205E"/>
    <w:multiLevelType w:val="multilevel"/>
    <w:tmpl w:val="D94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D732A"/>
    <w:multiLevelType w:val="multilevel"/>
    <w:tmpl w:val="C69C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41C21"/>
    <w:multiLevelType w:val="multilevel"/>
    <w:tmpl w:val="B846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80741"/>
    <w:multiLevelType w:val="multilevel"/>
    <w:tmpl w:val="120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517E6"/>
    <w:multiLevelType w:val="multilevel"/>
    <w:tmpl w:val="051E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D4DF2"/>
    <w:multiLevelType w:val="multilevel"/>
    <w:tmpl w:val="028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84226"/>
    <w:multiLevelType w:val="multilevel"/>
    <w:tmpl w:val="E712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D1B08"/>
    <w:multiLevelType w:val="multilevel"/>
    <w:tmpl w:val="763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074AC7"/>
    <w:multiLevelType w:val="multilevel"/>
    <w:tmpl w:val="0D6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D2753"/>
    <w:multiLevelType w:val="multilevel"/>
    <w:tmpl w:val="92FA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662AF"/>
    <w:multiLevelType w:val="multilevel"/>
    <w:tmpl w:val="1BE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237FE"/>
    <w:multiLevelType w:val="multilevel"/>
    <w:tmpl w:val="899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70A97"/>
    <w:multiLevelType w:val="multilevel"/>
    <w:tmpl w:val="D56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E391E"/>
    <w:multiLevelType w:val="multilevel"/>
    <w:tmpl w:val="D3E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17586"/>
    <w:multiLevelType w:val="multilevel"/>
    <w:tmpl w:val="CFFC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91E71"/>
    <w:multiLevelType w:val="multilevel"/>
    <w:tmpl w:val="1FA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002F55"/>
    <w:multiLevelType w:val="multilevel"/>
    <w:tmpl w:val="178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235BC"/>
    <w:multiLevelType w:val="multilevel"/>
    <w:tmpl w:val="424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1"/>
  </w:num>
  <w:num w:numId="4">
    <w:abstractNumId w:val="11"/>
    <w:lvlOverride w:ilvl="0">
      <w:lvl w:ilvl="0">
        <w:numFmt w:val="lowerLetter"/>
        <w:lvlText w:val="%1."/>
        <w:lvlJc w:val="left"/>
      </w:lvl>
    </w:lvlOverride>
  </w:num>
  <w:num w:numId="5">
    <w:abstractNumId w:val="11"/>
    <w:lvlOverride w:ilvl="0">
      <w:lvl w:ilvl="0">
        <w:numFmt w:val="decimal"/>
        <w:lvlText w:val="%1."/>
        <w:lvlJc w:val="left"/>
      </w:lvl>
    </w:lvlOverride>
  </w:num>
  <w:num w:numId="6">
    <w:abstractNumId w:val="11"/>
    <w:lvlOverride w:ilvl="0">
      <w:lvl w:ilvl="0">
        <w:numFmt w:val="lowerLetter"/>
        <w:lvlText w:val="%1."/>
        <w:lvlJc w:val="left"/>
      </w:lvl>
    </w:lvlOverride>
  </w:num>
  <w:num w:numId="7">
    <w:abstractNumId w:val="11"/>
    <w:lvlOverride w:ilvl="0">
      <w:lvl w:ilvl="0">
        <w:numFmt w:val="lowerRoman"/>
        <w:lvlText w:val="%1."/>
        <w:lvlJc w:val="right"/>
      </w:lvl>
    </w:lvlOverride>
  </w:num>
  <w:num w:numId="8">
    <w:abstractNumId w:val="11"/>
    <w:lvlOverride w:ilvl="0">
      <w:lvl w:ilvl="0">
        <w:numFmt w:val="decimal"/>
        <w:lvlText w:val="%1."/>
        <w:lvlJc w:val="right"/>
      </w:lvl>
    </w:lvlOverride>
  </w:num>
  <w:num w:numId="9">
    <w:abstractNumId w:val="24"/>
  </w:num>
  <w:num w:numId="10">
    <w:abstractNumId w:val="13"/>
  </w:num>
  <w:num w:numId="11">
    <w:abstractNumId w:val="22"/>
  </w:num>
  <w:num w:numId="12">
    <w:abstractNumId w:val="23"/>
  </w:num>
  <w:num w:numId="13">
    <w:abstractNumId w:val="15"/>
  </w:num>
  <w:num w:numId="14">
    <w:abstractNumId w:val="12"/>
  </w:num>
  <w:num w:numId="15">
    <w:abstractNumId w:val="7"/>
  </w:num>
  <w:num w:numId="16">
    <w:abstractNumId w:val="20"/>
  </w:num>
  <w:num w:numId="17">
    <w:abstractNumId w:val="0"/>
  </w:num>
  <w:num w:numId="18">
    <w:abstractNumId w:val="0"/>
    <w:lvlOverride w:ilvl="0">
      <w:lvl w:ilvl="0">
        <w:numFmt w:val="lowerLetter"/>
        <w:lvlText w:val="%1."/>
        <w:lvlJc w:val="left"/>
      </w:lvl>
    </w:lvlOverride>
  </w:num>
  <w:num w:numId="19">
    <w:abstractNumId w:val="0"/>
    <w:lvlOverride w:ilvl="0">
      <w:lvl w:ilvl="0">
        <w:numFmt w:val="decimal"/>
        <w:lvlText w:val="%1."/>
        <w:lvlJc w:val="left"/>
      </w:lvl>
    </w:lvlOverride>
  </w:num>
  <w:num w:numId="20">
    <w:abstractNumId w:val="0"/>
    <w:lvlOverride w:ilvl="0">
      <w:lvl w:ilvl="0">
        <w:numFmt w:val="lowerLetter"/>
        <w:lvlText w:val="%1."/>
        <w:lvlJc w:val="left"/>
      </w:lvl>
    </w:lvlOverride>
  </w:num>
  <w:num w:numId="21">
    <w:abstractNumId w:val="0"/>
    <w:lvlOverride w:ilvl="0">
      <w:lvl w:ilvl="0">
        <w:numFmt w:val="lowerRoman"/>
        <w:lvlText w:val="%1."/>
        <w:lvlJc w:val="right"/>
      </w:lvl>
    </w:lvlOverride>
  </w:num>
  <w:num w:numId="22">
    <w:abstractNumId w:val="0"/>
    <w:lvlOverride w:ilvl="0">
      <w:lvl w:ilvl="0">
        <w:numFmt w:val="decimal"/>
        <w:lvlText w:val="%1."/>
        <w:lvlJc w:val="right"/>
      </w:lvl>
    </w:lvlOverride>
  </w:num>
  <w:num w:numId="23">
    <w:abstractNumId w:val="17"/>
  </w:num>
  <w:num w:numId="24">
    <w:abstractNumId w:val="1"/>
  </w:num>
  <w:num w:numId="25">
    <w:abstractNumId w:val="19"/>
  </w:num>
  <w:num w:numId="26">
    <w:abstractNumId w:val="3"/>
  </w:num>
  <w:num w:numId="27">
    <w:abstractNumId w:val="9"/>
  </w:num>
  <w:num w:numId="28">
    <w:abstractNumId w:val="14"/>
  </w:num>
  <w:num w:numId="29">
    <w:abstractNumId w:val="29"/>
  </w:num>
  <w:num w:numId="30">
    <w:abstractNumId w:val="10"/>
  </w:num>
  <w:num w:numId="31">
    <w:abstractNumId w:val="26"/>
  </w:num>
  <w:num w:numId="32">
    <w:abstractNumId w:val="26"/>
    <w:lvlOverride w:ilvl="0">
      <w:lvl w:ilvl="0">
        <w:numFmt w:val="lowerLetter"/>
        <w:lvlText w:val="%1."/>
        <w:lvlJc w:val="left"/>
      </w:lvl>
    </w:lvlOverride>
  </w:num>
  <w:num w:numId="33">
    <w:abstractNumId w:val="26"/>
    <w:lvlOverride w:ilvl="0">
      <w:lvl w:ilvl="0">
        <w:numFmt w:val="decimal"/>
        <w:lvlText w:val="%1."/>
        <w:lvlJc w:val="left"/>
      </w:lvl>
    </w:lvlOverride>
  </w:num>
  <w:num w:numId="34">
    <w:abstractNumId w:val="26"/>
    <w:lvlOverride w:ilvl="0">
      <w:lvl w:ilvl="0">
        <w:numFmt w:val="lowerLetter"/>
        <w:lvlText w:val="%1."/>
        <w:lvlJc w:val="left"/>
      </w:lvl>
    </w:lvlOverride>
  </w:num>
  <w:num w:numId="35">
    <w:abstractNumId w:val="26"/>
    <w:lvlOverride w:ilvl="0">
      <w:lvl w:ilvl="0">
        <w:numFmt w:val="lowerRoman"/>
        <w:lvlText w:val="%1."/>
        <w:lvlJc w:val="right"/>
      </w:lvl>
    </w:lvlOverride>
  </w:num>
  <w:num w:numId="36">
    <w:abstractNumId w:val="26"/>
    <w:lvlOverride w:ilvl="0">
      <w:lvl w:ilvl="0">
        <w:numFmt w:val="decimal"/>
        <w:lvlText w:val="%1."/>
        <w:lvlJc w:val="right"/>
      </w:lvl>
    </w:lvlOverride>
  </w:num>
  <w:num w:numId="37">
    <w:abstractNumId w:val="5"/>
  </w:num>
  <w:num w:numId="38">
    <w:abstractNumId w:val="27"/>
  </w:num>
  <w:num w:numId="39">
    <w:abstractNumId w:val="8"/>
  </w:num>
  <w:num w:numId="40">
    <w:abstractNumId w:val="4"/>
  </w:num>
  <w:num w:numId="41">
    <w:abstractNumId w:val="28"/>
  </w:num>
  <w:num w:numId="42">
    <w:abstractNumId w:val="2"/>
  </w:num>
  <w:num w:numId="43">
    <w:abstractNumId w:val="25"/>
  </w:num>
  <w:num w:numId="44">
    <w:abstractNumId w:val="21"/>
  </w:num>
  <w:num w:numId="45">
    <w:abstractNumId w:val="16"/>
  </w:num>
  <w:num w:numId="46">
    <w:abstractNumId w:val="16"/>
    <w:lvlOverride w:ilvl="0">
      <w:lvl w:ilvl="0">
        <w:numFmt w:val="lowerLetter"/>
        <w:lvlText w:val="%1."/>
        <w:lvlJc w:val="left"/>
      </w:lvl>
    </w:lvlOverride>
  </w:num>
  <w:num w:numId="47">
    <w:abstractNumId w:val="16"/>
    <w:lvlOverride w:ilvl="0">
      <w:lvl w:ilvl="0">
        <w:numFmt w:val="decimal"/>
        <w:lvlText w:val="%1."/>
        <w:lvlJc w:val="left"/>
      </w:lvl>
    </w:lvlOverride>
  </w:num>
  <w:num w:numId="48">
    <w:abstractNumId w:val="16"/>
    <w:lvlOverride w:ilvl="0">
      <w:lvl w:ilvl="0">
        <w:numFmt w:val="lowerLetter"/>
        <w:lvlText w:val="%1."/>
        <w:lvlJc w:val="left"/>
      </w:lvl>
    </w:lvlOverride>
  </w:num>
  <w:num w:numId="49">
    <w:abstractNumId w:val="16"/>
    <w:lvlOverride w:ilvl="0">
      <w:lvl w:ilvl="0">
        <w:numFmt w:val="lowerRoman"/>
        <w:lvlText w:val="%1."/>
        <w:lvlJc w:val="right"/>
      </w:lvl>
    </w:lvlOverride>
  </w:num>
  <w:num w:numId="50">
    <w:abstractNumId w:val="16"/>
    <w:lvlOverride w:ilvl="0">
      <w:lvl w:ilvl="0">
        <w:numFmt w:val="decimal"/>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C2E52"/>
    <w:rsid w:val="000E02CE"/>
    <w:rsid w:val="001501BF"/>
    <w:rsid w:val="002B1795"/>
    <w:rsid w:val="004C09BA"/>
    <w:rsid w:val="00505C20"/>
    <w:rsid w:val="00555D97"/>
    <w:rsid w:val="005E555B"/>
    <w:rsid w:val="00772F3C"/>
    <w:rsid w:val="00821519"/>
    <w:rsid w:val="00822C61"/>
    <w:rsid w:val="009100A8"/>
    <w:rsid w:val="00A903DE"/>
    <w:rsid w:val="00A97DEC"/>
    <w:rsid w:val="00C953A4"/>
    <w:rsid w:val="00D44E49"/>
    <w:rsid w:val="00D65A37"/>
    <w:rsid w:val="00DC03B6"/>
    <w:rsid w:val="00DE4301"/>
    <w:rsid w:val="00EB3227"/>
    <w:rsid w:val="00F23195"/>
    <w:rsid w:val="00F6626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 w:type="paragraph" w:styleId="NormalWeb">
    <w:name w:val="Normal (Web)"/>
    <w:basedOn w:val="Normal"/>
    <w:uiPriority w:val="99"/>
    <w:semiHidden/>
    <w:unhideWhenUsed/>
    <w:rsid w:val="00D65A37"/>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50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64215">
      <w:bodyDiv w:val="1"/>
      <w:marLeft w:val="0"/>
      <w:marRight w:val="0"/>
      <w:marTop w:val="0"/>
      <w:marBottom w:val="0"/>
      <w:divBdr>
        <w:top w:val="none" w:sz="0" w:space="0" w:color="auto"/>
        <w:left w:val="none" w:sz="0" w:space="0" w:color="auto"/>
        <w:bottom w:val="none" w:sz="0" w:space="0" w:color="auto"/>
        <w:right w:val="none" w:sz="0" w:space="0" w:color="auto"/>
      </w:divBdr>
    </w:div>
    <w:div w:id="672731310">
      <w:bodyDiv w:val="1"/>
      <w:marLeft w:val="0"/>
      <w:marRight w:val="0"/>
      <w:marTop w:val="0"/>
      <w:marBottom w:val="0"/>
      <w:divBdr>
        <w:top w:val="none" w:sz="0" w:space="0" w:color="auto"/>
        <w:left w:val="none" w:sz="0" w:space="0" w:color="auto"/>
        <w:bottom w:val="none" w:sz="0" w:space="0" w:color="auto"/>
        <w:right w:val="none" w:sz="0" w:space="0" w:color="auto"/>
      </w:divBdr>
    </w:div>
    <w:div w:id="1051491749">
      <w:bodyDiv w:val="1"/>
      <w:marLeft w:val="0"/>
      <w:marRight w:val="0"/>
      <w:marTop w:val="0"/>
      <w:marBottom w:val="0"/>
      <w:divBdr>
        <w:top w:val="none" w:sz="0" w:space="0" w:color="auto"/>
        <w:left w:val="none" w:sz="0" w:space="0" w:color="auto"/>
        <w:bottom w:val="none" w:sz="0" w:space="0" w:color="auto"/>
        <w:right w:val="none" w:sz="0" w:space="0" w:color="auto"/>
      </w:divBdr>
    </w:div>
    <w:div w:id="1074279464">
      <w:bodyDiv w:val="1"/>
      <w:marLeft w:val="0"/>
      <w:marRight w:val="0"/>
      <w:marTop w:val="0"/>
      <w:marBottom w:val="0"/>
      <w:divBdr>
        <w:top w:val="none" w:sz="0" w:space="0" w:color="auto"/>
        <w:left w:val="none" w:sz="0" w:space="0" w:color="auto"/>
        <w:bottom w:val="none" w:sz="0" w:space="0" w:color="auto"/>
        <w:right w:val="none" w:sz="0" w:space="0" w:color="auto"/>
      </w:divBdr>
    </w:div>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84123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12</cp:revision>
  <dcterms:created xsi:type="dcterms:W3CDTF">2021-03-23T07:31:00Z</dcterms:created>
  <dcterms:modified xsi:type="dcterms:W3CDTF">2021-03-26T13:57:00Z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