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B65DF" w14:textId="70D1D602" w:rsidR="00822C61" w:rsidRDefault="004C09BA">
      <w:pPr>
        <w:rPr>
          <w:rFonts w:ascii="Times New Roman" w:hAnsi="Times New Roman" w:cs="Times New Roman"/>
          <w:sz w:val="24"/>
          <w:szCs w:val="24"/>
          <w:lang w:val="en-CH"/>
        </w:rPr>
      </w:pPr>
      <w:r>
        <w:rPr>
          <w:rFonts w:ascii="Times New Roman" w:hAnsi="Times New Roman" w:cs="Times New Roman"/>
          <w:sz w:val="24"/>
          <w:szCs w:val="24"/>
        </w:rPr>
        <w:t xml:space="preserve">In the beginning of 2020, a new viral outbreak </w:t>
      </w:r>
      <w:r>
        <w:rPr>
          <w:rFonts w:ascii="Times New Roman" w:hAnsi="Times New Roman" w:cs="Times New Roman"/>
          <w:sz w:val="24"/>
          <w:szCs w:val="24"/>
          <w:lang w:val="en-CH"/>
        </w:rPr>
        <w:t xml:space="preserve">originating </w:t>
      </w:r>
      <w:r>
        <w:rPr>
          <w:rFonts w:ascii="Times New Roman" w:hAnsi="Times New Roman" w:cs="Times New Roman"/>
          <w:sz w:val="24"/>
          <w:szCs w:val="24"/>
        </w:rPr>
        <w:t xml:space="preserve">from China established itself as one of the world’s biggest threats. In December 2019 a viral pneumonia of unknown aetiology was identified in Wuhan, Hubei, China </w:t>
      </w:r>
      <w:r>
        <w:rPr>
          <w:rStyle w:val="FootnoteReference"/>
          <w:rFonts w:ascii="Times New Roman" w:hAnsi="Times New Roman" w:cs="Times New Roman"/>
          <w:sz w:val="24"/>
          <w:szCs w:val="24"/>
        </w:rPr>
        <w:fldChar w:fldCharType="begin" w:fldLock="1"/>
      </w:r>
      <w:r w:rsidR="005E555B">
        <w:rPr>
          <w:rFonts w:ascii="Times New Roman" w:hAnsi="Times New Roman" w:cs="Times New Roman"/>
          <w:sz w:val="24"/>
          <w:szCs w:val="24"/>
        </w:rPr>
        <w:instrText>ADDIN CSL_CITATION {"citationItems":[{"id":"ITEM-1","itemData":{"DOI":"10.1002/jmv.25678","ISSN":"0146-6615","author":[{"dropping-particle":"","family":"Lu","given":"Hongzhou","non-dropping-particle":"","parse-names":false,"suffix":""},{"dropping-particle":"","family":"Stratton","given":"Charles W","non-dropping-particle":"","parse-names":false,"suffix":""},{"dropping-particle":"","family":"Tang","given":"Yi-Wei","non-dropping-particle":"","parse-names":false,"suffix":""}],"container-title":"Journal of Medical Virology","id":"ITEM-1","issue":"4","issued":{"date-parts":[["2020","4","1"]]},"note":"doi: 10.1002/jmv.25678","page":"401-402","publisher":"John Wiley &amp; Sons, Ltd","title":"Outbreak of pneumonia of unknown etiology in Wuhan, China: The mystery and the miracle","type":"article-journal","volume":"92"},"uris":["http://www.mendeley.com/documents/?uuid=62570784-849f-454b-ba05-9c330106a687"]}],"mendeley":{"formattedCitation":"(H. Lu et al., 2020)","plainTextFormattedCitation":"(H. Lu et al., 2020)","previouslyFormattedCitation":"(H. Lu et al., 2020)"},"properties":{"noteIndex":0},"schema":"https://github.com/citation-style-language/schema/raw/master/csl-citation.json"}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(H. Lu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Later, on the 7th of January, the Chinese Centre for Disease Control and Prevention identified the causative agent of these viral pneumonias as a new strain of coronavirus, which was subsequently named by the World Health Organization (WHO) SARS-CoV-2 (Severe Acute Respiratory Syndrome Coronavirus 2) (World Health Organization, 11 February 2020). The WHO has also named the disease caused by SARS-CoV-2 COVID-19. SARS-CoV-2 is a betacoronavirus belonging to the </w:t>
      </w:r>
      <w:r>
        <w:rPr>
          <w:rFonts w:ascii="Times New Roman" w:hAnsi="Times New Roman" w:cs="Times New Roman"/>
          <w:i/>
          <w:iCs/>
          <w:sz w:val="24"/>
          <w:szCs w:val="24"/>
        </w:rPr>
        <w:t>Coronavirinae</w:t>
      </w:r>
      <w:r>
        <w:rPr>
          <w:rFonts w:ascii="Times New Roman" w:hAnsi="Times New Roman" w:cs="Times New Roman"/>
          <w:sz w:val="24"/>
          <w:szCs w:val="24"/>
        </w:rPr>
        <w:t xml:space="preserve"> subfamily, part of the Coronaviridae family </w:t>
      </w:r>
      <w:r>
        <w:rPr>
          <w:rStyle w:val="FootnoteReference"/>
          <w:rFonts w:ascii="Times New Roman" w:hAnsi="Times New Roman" w:cs="Times New Roman"/>
          <w:sz w:val="24"/>
          <w:szCs w:val="24"/>
        </w:rPr>
        <w:fldChar w:fldCharType="begin" w:fldLock="1"/>
      </w:r>
      <w:r w:rsidR="005E555B">
        <w:rPr>
          <w:rFonts w:ascii="Times New Roman" w:hAnsi="Times New Roman" w:cs="Times New Roman"/>
          <w:sz w:val="24"/>
          <w:szCs w:val="24"/>
        </w:rPr>
        <w:instrText>ADDIN CSL_CITATION {"citationItems":[{"id":"ITEM-1","itemData":{"DOI":"10.1016/j.ijsu.2020.02.034","ISSN":"1743-9191","author":[{"dropping-particle":"","family":"Sohrabi","given":"Catrin","non-dropping-particle":"","parse-names":false,"suffix":""},{"dropping-particle":"","family":"Alsafi","given":"Zaid","non-dropping-particle":"","parse-names":false,"suffix":""},{"dropping-particle":"","family":"Neill","given":"Niamh O","non-dropping-particle":"","parse-names":false,"suffix":""},{"dropping-particle":"","family":"Khan","given":"Mehdi","non-dropping-particle":"","parse-names":false,"suffix":""},{"dropping-particle":"","family":"Kerwan","given":"Ahmed","non-dropping-particle":"","parse-names":false,"suffix":""},{"dropping-particle":"","family":"Al-jabir","given":"Ahmed","non-dropping-particle":"","parse-names":false,"suffix":""},{"dropping-particle":"","family":"Iosifidis","given":"Christos","non-dropping-particle":"","parse-names":false,"suffix":""},{"dropping-particle":"","family":"Agha","given":"Riaz","non-dropping-particle":"","parse-names":false,"suffix":""}],"container-title":"International Journal of Surgery","id":"ITEM-1","issue":"February","issued":{"date-parts":[["2020"]]},"page":"71-76","publisher":"Elsevier","title":"World Health Organization declares global emergency : A review of the 2019 novel coronavirus ( COVID-19 )","type":"article-journal","volume":"76"},"uris":["http://www.mendeley.com/documents/?uuid=f228ea27-7e1d-4ec6-83e2-b7759d7b4f06"]}],"mendeley":{"formattedCitation":"(Sohrabi et al., 2020)","plainTextFormattedCitation":"(Sohrabi et al., 2020)","previouslyFormattedCitation":"(Sohrabi et al., 2020)"},"properties":{"noteIndex":0},"schema":"https://github.com/citation-style-language/schema/raw/master/csl-citation.json"}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(Sohrabi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Its genome presents 8 conserved SARS-CoV amino acids responsible for interaction with human angiotensin-converting enzyme 2 </w:t>
      </w:r>
      <w:r>
        <w:rPr>
          <w:rStyle w:val="FootnoteReference"/>
          <w:rFonts w:ascii="Times New Roman" w:hAnsi="Times New Roman" w:cs="Times New Roman"/>
          <w:sz w:val="24"/>
          <w:szCs w:val="24"/>
        </w:rPr>
        <w:fldChar w:fldCharType="begin" w:fldLock="1"/>
      </w:r>
      <w:r w:rsidR="005E555B">
        <w:rPr>
          <w:rFonts w:ascii="Times New Roman" w:hAnsi="Times New Roman" w:cs="Times New Roman"/>
          <w:sz w:val="24"/>
          <w:szCs w:val="24"/>
        </w:rPr>
        <w:instrText>ADDIN CSL_CITATION {"citationItems":[{"id":"ITEM-1","itemData":{"DOI":"10.1007/978-1-4939-2438-7_1","ISBN":"978-1-4939-2438-7","abstract":"Coronaviruses (CoVs), enveloped positive-sense RNA viruses, are characterized by club-like spikes that project from their surface, an unusually large RNA genome, and a unique replication strategy. Coronaviruses cause a variety of diseases in mammals and birds ranging from enteritis in cows and pigs and upper respiratory disease in chickens to potentially lethal human respiratory infections. Here we provide a brief introduction to coronaviruses discussing their replication and pathogenicity, and current prevention and treatment strategies. We also discuss the outbreaks of the highly pathogenic Severe Acute Respiratory Syndrome Coronavirus (SARS-CoV) and the recently identified Middle Eastern Respiratory Syndrome Coronavirus (MERS-CoV).","author":[{"dropping-particle":"","family":"Fehr","given":"Anthony R","non-dropping-particle":"","parse-names":false,"suffix":""},{"dropping-particle":"","family":"Perlman","given":"Stanley","non-dropping-particle":"","parse-names":false,"suffix":""}],"editor":[{"dropping-particle":"","family":"Maier","given":"Helena Jane","non-dropping-particle":"","parse-names":false,"suffix":""},{"dropping-particle":"","family":"Bickerton","given":"Erica","non-dropping-particle":"","parse-names":false,"suffix":""},{"dropping-particle":"","family":"Britton","given":"Paul","non-dropping-particle":"","parse-names":false,"suffix":""}],"id":"ITEM-1","issued":{"date-parts":[["2015"]]},"page":"1-23","publisher":"Springer New York","publisher-place":"New York, NY","title":"Coronaviruses: An Overview of Their Replication and Pathogenesis BT  - Coronaviruses: Methods and Protocols","type":"chapter"},"uris":["http://www.mendeley.com/documents/?uuid=2282fc86-53c8-4d76-9a77-9034ea3431ed"]}],"mendeley":{"formattedCitation":"(Fehr &amp; Perlman, 2015)","plainTextFormattedCitation":"(Fehr &amp; Perlman, 2015)","previouslyFormattedCitation":"(Fehr &amp; Perlman, 2015)"},"properties":{"noteIndex":0},"schema":"https://github.com/citation-style-language/schema/raw/master/csl-citation.json"}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(Fehr &amp; Perlman, 2015)</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SARS-CoV is a previously identified coronavirus strain which caused the 2003 SARS outbreak </w:t>
      </w:r>
      <w:r>
        <w:rPr>
          <w:rStyle w:val="FootnoteReference"/>
          <w:rFonts w:ascii="Times New Roman" w:hAnsi="Times New Roman" w:cs="Times New Roman"/>
          <w:sz w:val="24"/>
          <w:szCs w:val="24"/>
        </w:rPr>
        <w:fldChar w:fldCharType="begin" w:fldLock="1"/>
      </w:r>
      <w:r w:rsidR="005E555B">
        <w:rPr>
          <w:rFonts w:ascii="Times New Roman" w:hAnsi="Times New Roman" w:cs="Times New Roman"/>
          <w:sz w:val="24"/>
          <w:szCs w:val="24"/>
        </w:rPr>
        <w:instrText>ADDIN CSL_CITATION {"citationItems":[{"id":"ITEM-1","itemData":{"DOI":"https://doi.org/10.1016/S0140-6736(20)30251-8","ISSN":"0140-6736","abstract":"Summary Background In late December, 2019, patients presenting with viral pneumonia due to an unidentified microbial agent were reported in Wuhan, China. A novel coronavirus was subsequently identified as the causative pathogen, provisionally named 2019 novel coronavirus (2019-nCoV). As of Jan 26, 2020, more than 2000 cases of 2019-nCoV infection have been confirmed, most of which involved people living in or visiting Wuhan, and human-to-human transmission has been confirmed. Methods We did next-generation sequencing of samples from bronchoalveolar lavage fluid and cultured isolates from nine inpatients, eight of whom had visited the Huanan seafood market in Wuhan. Complete and partial 2019-nCoV genome sequences were obtained from these individuals. Viral contigs were connected using Sanger sequencing to obtain the full-length genomes, with the terminal regions determined by rapid amplification of cDNA ends. Phylogenetic analysis of these 2019-nCoV genomes and those of other coronaviruses was used to determine the evolutionary history of the virus and help infer its likely origin. Homology modelling was done to explore the likely receptor-binding properties of the virus. Findings The ten genome sequences of 2019-nCoV obtained from the nine patients were extremely similar, exhibiting more than 99·98% sequence identity. Notably, 2019-nCoV was closely related (with 88% identity) to two bat-derived severe acute respiratory syndrome (SARS)-like coronaviruses, bat-SL-CoVZC45 and bat-SL-CoVZXC21, collected in 2018 in Zhoushan, eastern China, but were more distant from SARS-CoV (about 79%) and MERS-CoV (about 50%). Phylogenetic analysis revealed that 2019-nCoV fell within the subgenus Sarbecovirus of the genus Betacoronavirus, with a relatively long branch length to its closest relatives bat-SL-CoVZC45 and bat-SL-CoVZXC21, and was genetically distinct from SARS-CoV. Notably, homology modelling revealed that 2019-nCoV had a similar receptor-binding domain structure to that of SARS-CoV, despite amino acid variation at some key residues. Interpretation 2019-nCoV is sufficiently divergent from SARS-CoV to be considered a new human-infecting betacoronavirus. Although our phylogenetic analysis suggests that bats might be the original host of this virus, an animal sold at the seafood market in Wuhan might represent an intermediate host facilitating the emergence of the virus in humans. Importantly, structural analysis suggests that 2019-nCoV might be able to bind to t…","author":[{"dropping-particle":"","family":"Lu","given":"Roujian","non-dropping-particle":"","parse-names":false,"suffix":""},{"dropping-particle":"","family":"Zhao","given":"Xiang","non-dropping-particle":"","parse-names":false,"suffix":""},{"dropping-particle":"","family":"Li","given":"Juan","non-dropping-particle":"","parse-names":false,"suffix":""},{"dropping-particle":"","family":"Niu","given":"Peihua","non-dropping-particle":"","parse-names":false,"suffix":""},{"dropping-particle":"","family":"Yang","given":"Bo","non-dropping-particle":"","parse-names":false,"suffix":""},{"dropping-particle":"","family":"Wu","given":"Honglong","non-dropping-particle":"","parse-names":false,"suffix":""},{"dropping-particle":"","family":"Wang","given":"Wenling","non-dropping-particle":"","parse-names":false,"suffix":""},{"dropping-particle":"","family":"Song","given":"Hao","non-dropping-particle":"","parse-names":false,"suffix":""},{"dropping-particle":"","family":"Huang","given":"Baoying","non-dropping-particle":"","parse-names":false,"suffix":""},{"dropping-particle":"","family":"Zhu","given":"Na","non-dropping-particle":"","parse-names":false,"suffix":""},{"dropping-particle":"","family":"Bi","given":"Yuhai","non-dropping-particle":"","parse-names":false,"suffix":""},{"dropping-particle":"","family":"Ma","given":"Xuejun","non-dropping-particle":"","parse-names":false,"suffix":""},{"dropping-particle":"","family":"Zhan","given":"Faxian","non-dropping-particle":"","parse-names":false,"suffix":""},{"dropping-particle":"","family":"Wang","given":"Liang","non-dropping-particle":"","parse-names":false,"suffix":""},{"dropping-particle":"","family":"Hu","given":"Tao","non-dropping-particle":"","parse-names":false,"suffix":""},{"dropping-particle":"","family":"Zhou","given":"Hong","non-dropping-particle":"","parse-names":false,"suffix":""},{"dropping-particle":"","family":"Hu","given":"Zhenhong","non-dropping-particle":"","parse-names":false,"suffix":""},{"dropping-particle":"","family":"Zhou","given":"Weimin","non-dropping-particle":"","parse-names":false,"suffix":""},{"dropping-particle":"","family":"Zhao","given":"Li","non-dropping-particle":"","parse-names":false,"suffix":""},{"dropping-particle":"","family":"Chen","given":"Jing","non-dropping-particle":"","parse-names":false,"suffix":""},{"dropping-particle":"","family":"Meng","given":"Yao","non-dropping-particle":"","parse-names":false,"suffix":""},{"dropping-particle":"","family":"Wang","given":"Ji","non-dropping-particle":"","parse-names":false,"suffix":""},{"dropping-particle":"","family":"Lin","given":"Yang","non-dropping-particle":"","parse-names":false,"suffix":""},{"dropping-particle":"","family":"Yuan","given":"Jianying","non-dropping-particle":"","parse-names":false,"suffix":""},{"dropping-particle":"","family":"Xie","given":"Zhihao","non-dropping-particle":"","parse-names":false,"suffix":""},{"dropping-particle":"","family":"Ma","given":"Jinmin","non-dropping-particle":"","parse-names":false,"suffix":""},{"dropping-particle":"","family":"Liu","given":"William J","non-dropping-particle":"","parse-names":false,"suffix":""},{"dropping-particle":"","family":"Wang","given":"Dayan","non-dropping-particle":"","parse-names":false,"suffix":""},{"dropping-particle":"","family":"Xu","given":"Wenbo","non-dropping-particle":"","parse-names":false,"suffix":""},{"dropping-particle":"","family":"Holmes","given":"Edward C","non-dropping-particle":"","parse-names":false,"suffix":""},{"dropping-particle":"","family":"Gao","given":"George F","non-dropping-particle":"","parse-names":false,"suffix":""},{"dropping-particle":"","family":"Wu","given":"Guizhen","non-dropping-particle":"","parse-names":false,"suffix":""},{"dropping-particle":"","family":"Chen","given":"Weijun","non-dropping-particle":"","parse-names":false,"suffix":""},{"dropping-particle":"","family":"Shi","given":"Weifeng","non-dropping-particle":"","parse-names":false,"suffix":""},{"dropping-particle":"","family":"Tan","given":"Wenjie","non-dropping-particle":"","parse-names":false,"suffix":""}],"container-title":"The Lancet","id":"ITEM-1","issue":"10224","issued":{"date-parts":[["2020"]]},"page":"565-574","title":"Genomic characterisation and epidemiology of 2019 novel coronavirus: implications for virus origins and receptor binding","type":"article-journal","volume":"395"},"uris":["http://www.mendeley.com/documents/?uuid=04282c66-7be2-42ee-97ad-c95cdd759a8b"]}],"mendeley":{"formattedCitation":"(R. Lu et al., 2020)","plainTextFormattedCitation":"(R. Lu et al., 2020)","previouslyFormattedCitation":"(R. Lu et al., 2020)"},"properties":{"noteIndex":0},"schema":"https://github.com/citation-style-language/schema/raw/master/csl-citation.json"}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noProof/>
          <w:sz w:val="24"/>
          <w:szCs w:val="24"/>
        </w:rPr>
        <w:t>(R. Lu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lang w:val="en-CH"/>
        </w:rPr>
        <w:t xml:space="preserve">COVID-19 </w:t>
      </w:r>
      <w:r>
        <w:rPr>
          <w:rFonts w:ascii="Times New Roman" w:hAnsi="Times New Roman" w:cs="Times New Roman"/>
          <w:sz w:val="24"/>
          <w:szCs w:val="24"/>
        </w:rPr>
        <w:t>is an acute resolved respiratory disease that can lead to death</w:t>
      </w:r>
      <w:r>
        <w:rPr>
          <w:rFonts w:ascii="Times New Roman" w:hAnsi="Times New Roman" w:cs="Times New Roman"/>
          <w:sz w:val="24"/>
          <w:szCs w:val="24"/>
          <w:lang w:val="en-CH"/>
        </w:rPr>
        <w:t>,</w:t>
      </w:r>
      <w:r>
        <w:rPr>
          <w:rFonts w:ascii="Times New Roman" w:hAnsi="Times New Roman" w:cs="Times New Roman"/>
          <w:sz w:val="24"/>
          <w:szCs w:val="24"/>
        </w:rPr>
        <w:t xml:space="preserve"> with a reported 2 % fatality rate </w:t>
      </w:r>
      <w:r>
        <w:rPr>
          <w:rStyle w:val="FootnoteReference"/>
          <w:rFonts w:ascii="Times New Roman" w:hAnsi="Times New Roman" w:cs="Times New Roman"/>
          <w:sz w:val="24"/>
          <w:szCs w:val="24"/>
        </w:rPr>
        <w:fldChar w:fldCharType="begin" w:fldLock="1"/>
      </w:r>
      <w:r w:rsidR="005E555B">
        <w:rPr>
          <w:rFonts w:ascii="Times New Roman" w:hAnsi="Times New Roman" w:cs="Times New Roman"/>
          <w:sz w:val="24"/>
          <w:szCs w:val="24"/>
        </w:rPr>
        <w:instrText>ADDIN CSL_CITATION {"citationItems":[{"id":"ITEM-1","itemData":{"DOI":"https://doi.org/10.1016/S0140-6736(20)30183-5","ISSN":"0140-6736","abstract":"Summary Background A recent cluster of pneumonia cases in Wuhan, China, was caused by a novel betacoronavirus, the 2019 novel coronavirus (2019-nCoV). We report the epidemiological, clinical, laboratory, and radiological characteristics and treatment and clinical outcomes of these patients. Methods All patients with suspected 2019-nCoV were admitted to a designated hospital in Wuhan. We prospectively collected and analysed data on patients with laboratory-confirmed 2019-nCoV infection by real-time RT-PCR and next-generation sequencing. Data were obtained with standardised data collection forms shared by WHO and the International Severe Acute Respiratory and Emerging Infection Consortium from electronic medical records. Researchers also directly communicated with patients or their families to ascertain epidemiological and symptom data. Outcomes were also compared between patients who had been admitted to the intensive care unit (ICU) and those who had not. Findings By Jan 2, 2020, 41 admitted hospital patients had been identified as having laboratory-confirmed 2019-nCoV infection. Most of the infected patients were men (30 [73%] of 41); less than half had underlying diseases (13 [32%]), including diabetes (eight [20%]), hypertension (six [15%]), and cardiovascular disease (six [15%]). Median age was 49·0 years (IQR 41·0–58·0). 27 (66%) of 41 patients had been exposed to Huanan seafood market. One family cluster was found. Common symptoms at onset of illness were fever (40 [98%] of 41 patients), cough (31 [76%]), and myalgia or fatigue (18 [44%]); less common symptoms were sputum production (11 [28%] of 39), headache (three [8%] of 38), haemoptysis (two [5%] of 39), and diarrhoea (one [3%] of 38). Dyspnoea developed in 22 (55%) of 40 patients (median time from illness onset to dyspnoea 8·0 days [IQR 5·0–13·0]). 26 (63%) of 41 patients had lymphopenia. All 41 patients had pneumonia with abnormal findings on chest CT. Complications included acute respiratory distress syndrome (12 [29%]), RNAaemia (six [15%]), acute cardiac injury (five [12%]) and secondary infection (four [10%]). 13 (32%) patients were admitted to an ICU and six (15%) died. Compared with non-ICU patients, ICU patients had higher plasma levels of IL2, IL7, IL10, GSCF, IP10, MCP1, MIP1A, and TNFα. Interpretation The 2019-nCoV infection caused clusters of severe respiratory illness similar to severe acute respiratory syndrome coronavirus and was associated with ICU admission and high mortality…","author":[{"dropping-particle":"","family":"Huang","given":"Chaolin","non-dropping-particle":"","parse-names":false,"suffix":""},{"dropping-particle":"","family":"Wang","given":"Yeming","non-dropping-particle":"","parse-names":false,"suffix":""},{"dropping-particle":"","family":"Li","given":"Xingwang","non-dropping-particle":"","parse-names":false,"suffix":""},{"dropping-particle":"","family":"Ren","given":"Lili","non-dropping-particle":"","parse-names":false,"suffix":""},{"dropping-particle":"","family":"Zhao","given":"Jianping","non-dropping-particle":"","parse-names":false,"suffix":""},{"dropping-particle":"","family":"Hu","given":"Yi","non-dropping-particle":"","parse-names":false,"suffix":""},{"dropping-particle":"","family":"Zhang","given":"Li","non-dropping-particle":"","parse-names":false,"suffix":""},{"dropping-particle":"","family":"Fan","given":"Guohui","non-dropping-particle":"","parse-names":false,"suffix":""},{"dropping-particle":"","family":"Xu","given":"Jiuyang","non-dropping-particle":"","parse-names":false,"suffix":""},{"dropping-particle":"","family":"Gu","given":"Xiaoying","non-dropping-particle":"","parse-names":false,"suffix":""},{"dropping-particle":"","family":"Cheng","given":"Zhenshun","non-dropping-particle":"","parse-names":false,"suffix":""},{"dropping-particle":"","family":"Yu","given":"Ting","non-dropping-particle":"","parse-names":false,"suffix":""},{"dropping-particle":"","family":"Xia","given":"Jiaan","non-dropping-particle":"","parse-names":false,"suffix":""},{"dropping-particle":"","family":"Wei","given":"Yuan","non-dropping-particle":"","parse-names":false,"suffix":""},{"dropping-particle":"","family":"Wu","given":"Wenjuan","non-dropping-particle":"","parse-names":false,"suffix":""},{"dropping-particle":"","family":"Xie","given":"Xuelei","non-dropping-particle":"","parse-names":false,"suffix":""},{"dropping-particle":"","family":"Yin","given":"Wen","non-dropping-particle":"","parse-names":false,"suffix":""},{"dropping-particle":"","family":"Li","given":"Hui","non-dropping-particle":"","parse-names":false,"suffix":""},{"dropping-particle":"","family":"Liu","given":"Min","non-dropping-particle":"","parse-names":false,"suffix":""},{"dropping-particle":"","family":"Xiao","given":"Yan","non-dropping-particle":"","parse-names":false,"suffix":""},{"dropping-particle":"","family":"Gao","given":"Hong","non-dropping-particle":"","parse-names":false,"suffix":""},{"dropping-particle":"","family":"Guo","given":"Li","non-dropping-particle":"","parse-names":false,"suffix":""},{"dropping-particle":"","family":"Xie","given":"Jungang","non-dropping-particle":"","parse-names":false,"suffix":""},{"dropping-particle":"","family":"Wang","given":"Guangfa","non-dropping-particle":"","parse-names":false,"suffix":""},{"dropping-particle":"","family":"Jiang","given":"Rongmeng","non-dropping-particle":"","parse-names":false,"suffix":""},{"dropping-particle":"","family":"Gao","given":"Zhancheng","non-dropping-particle":"","parse-names":false,"suffix":""},{"dropping-particle":"","family":"Jin","given":"Qi","non-dropping-particle":"","parse-names":false,"suffix":""},{"dropping-particle":"","family":"Wang","given":"Jianwei","non-dropping-particle":"","parse-names":false,"suffix":""},{"dropping-particle":"","family":"Cao","given":"Bin","non-dropping-particle":"","parse-names":false,"suffix":""}],"container-title":"The Lancet","id":"ITEM-1","issue":"10223","issued":{"date-parts":[["2020"]]},"page":"497-506","title":"Clinical features of patients infected with 2019 novel coronavirus in Wuhan, China","type":"article-journal","volume":"395"},"uris":["http://www.mendeley.com/documents/?uuid=c1905ae4-be98-4754-bacc-3d041b24b8bd"]},{"id":"ITEM-2","itemData":{"DOI":"https://doi.org/10.1016/S0140-6736(20)30154-9","ISSN":"0140-6736","abstract":"Summary Background An ongoing outbreak of pneumonia associated with a novel coronavirus was reported in Wuhan city, Hubei province, China. Affected patients were geographically linked with a local wet market as a potential source. No data on person-to-person or nosocomial transmission have been published to date. Methods In this study, we report the epidemiological, clinical, laboratory, radiological, and microbiological findings of five patients in a family cluster who presented with unexplained pneumonia after returning to Shenzhen, Guangdong province, China, after a visit to Wuhan, and an additional family member who did not travel to Wuhan. Phylogenetic analysis of genetic sequences from these patients were done. Findings From Jan 10, 2020, we enrolled a family of six patients who travelled to Wuhan from Shenzhen between Dec 29, 2019 and Jan 4, 2020. Of six family members who travelled to Wuhan, five were identified as infected with the novel coronavirus. Additionally, one family member, who did not travel to Wuhan, became infected with the virus after several days of contact with four of the family members. None of the family members had contacts with Wuhan markets or animals, although two had visited a Wuhan hospital. Five family members (aged 36–66 years) presented with fever, upper or lower respiratory tract symptoms, or diarrhoea, or a combination of these 3–6 days after exposure. They presented to our hospital (The University of Hong Kong-Shenzhen Hospital, Shenzhen) 6–10 days after symptom onset. They and one asymptomatic child (aged 10 years) had radiological ground-glass lung opacities. Older patients (aged &gt;60 years) had more systemic symptoms, extensive radiological ground-glass lung changes, lymphopenia, thrombocytopenia, and increased C-reactive protein and lactate dehydrogenase levels. The nasopharyngeal or throat swabs of these six patients were negative for known respiratory microbes by point-of-care multiplex RT-PCR, but five patients (four adults and the child) were RT-PCR positive for genes encoding the internal RNA-dependent RNA polymerase and surface Spike protein of this novel coronavirus, which were confirmed by Sanger sequencing. Phylogenetic analysis of these five patients' RT-PCR amplicons and two full genomes by next-generation sequencing showed that this is a novel coronavirus, which is closest to the bat severe acute respiatory syndrome (SARS)-related coronaviruses found in Chinese horseshoe bats. Interpretation Our find…","author":[{"dropping-particle":"","family":"Chan","given":"Jasper Fuk-Woo","non-dropping-particle":"","parse-names":false,"suffix":""},{"dropping-particle":"","family":"Yuan","given":"Shuofeng","non-dropping-particle":"","parse-names":false,"suffix":""},{"dropping-particle":"","family":"Kok","given":"Kin-Hang","non-dropping-particle":"","parse-names":false,"suffix":""},{"dropping-particle":"","family":"To","given":"Kelvin Kai-Wang","non-dropping-particle":"","parse-names":false,"suffix":""},{"dropping-particle":"","family":"Chu","given":"Hin","non-dropping-particle":"","parse-names":false,"suffix":""},{"dropping-particle":"","family":"Yang","given":"Jin","non-dropping-particle":"","parse-names":false,"suffix":""},{"dropping-particle":"","family":"Xing","given":"Fanfan","non-dropping-particle":"","parse-names":false,"suffix":""},{"dropping-particle":"","family":"Liu","given":"Jieling","non-dropping-particle":"","parse-names":false,"suffix":""},{"dropping-particle":"","family":"Yip","given":"Cyril Chik-Yan","non-dropping-particle":"","parse-names":false,"suffix":""},{"dropping-particle":"","family":"Poon","given":"Rosana Wing-Shan","non-dropping-particle":"","parse-names":false,"suffix":""},{"dropping-particle":"","family":"Tsoi","given":"Hoi-Wah","non-dropping-particle":"","parse-names":false,"suffix":""},{"dropping-particle":"","family":"Lo","given":"Simon Kam-Fai","non-dropping-particle":"","parse-names":false,"suffix":""},{"dropping-particle":"","family":"Chan","given":"Kwok-Hung","non-dropping-particle":"","parse-names":false,"suffix":""},{"dropping-particle":"","family":"Poon","given":"Vincent Kwok-Man","non-dropping-particle":"","parse-names":false,"suffix":""},{"dropping-particle":"","family":"Chan","given":"Wan-Mui","non-dropping-particle":"","parse-names":false,"suffix":""},{"dropping-particle":"","family":"Ip","given":"Jonathan Daniel","non-dropping-particle":"","parse-names":false,"suffix":""},{"dropping-particle":"","family":"Cai","given":"Jian-Piao","non-dropping-particle":"","parse-names":false,"suffix":""},{"dropping-particle":"","family":"Cheng","given":"Vincent Chi-Chung","non-dropping-particle":"","parse-names":false,"suffix":""},{"dropping-particle":"","family":"Chen","given":"Honglin","non-dropping-particle":"","parse-names":false,"suffix":""},{"dropping-particle":"","family":"Hui","given":"Christopher Kim-Ming","non-dropping-particle":"","parse-names":false,"suffix":""},{"dropping-particle":"","family":"Yuen","given":"Kwok-Yung","non-dropping-particle":"","parse-names":false,"suffix":""}],"container-title":"The Lancet","id":"ITEM-2","issue":"10223","issued":{"date-parts":[["2020"]]},"page":"514-523","title":"A familial cluster of pneumonia associated with the 2019 novel coronavirus indicating person-to-person transmission: a study of a family cluster","type":"article-journal","volume":"395"},"uris":["http://www.mendeley.com/documents/?uuid=ae4e586d-a746-49b9-b408-55e15dadce6d"]},{"id":"ITEM-3","itemData":{"DOI":"10.1111/eci.13209","ISSN":"0014-2972","author":[{"dropping-particle":"","family":"Bassetti","given":"Matteo","non-dropping-particle":"","parse-names":false,"suffix":""},{"dropping-particle":"","family":"Vena","given":"Antonio","non-dropping-particle":"","parse-names":false,"suffix":""},{"dropping-particle":"","family":"Giacobbe","given":"Daniele Roberto","non-dropping-particle":"","parse-names":false,"suffix":""}],"container-title":"European Journal of Clinical Investigation","id":"ITEM-3","issue":"3","issued":{"date-parts":[["2020","3","1"]]},"note":"doi: 10.1111/eci.13209","page":"e13209","publisher":"John Wiley &amp; Sons, Ltd","title":"The novel Chinese coronavirus (2019-nCoV) infections: Challenges for fighting the storm","type":"article-journal","volume":"50"},"uris":["http://www.mendeley.com/documents/?uuid=3b0297a5-410d-424a-871b-476e4fca48d7"]}],"mendeley":{"formattedCitation":"(Bassetti et al., 2020; Chan et al., 2020; Huang et al., 2020)","plainTextFormattedCitation":"(Bassetti et al., 2020; Chan et al., 2020; Huang et al., 2020)","previouslyFormattedCitation":"(Bassetti et al., 2020; Chan et al., 2020; Huang et al., 2020)"},"properties":{"noteIndex":0},"schema":"https://github.com/citation-style-language/schema/raw/master/csl-citation.json"}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(Bassetti et al., 2020; Chan et al., 2020; Huang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lang w:val="en-CH"/>
        </w:rPr>
        <w:t xml:space="preserve">. </w:t>
      </w:r>
      <w:r w:rsidRPr="004C09BA">
        <w:rPr>
          <w:rFonts w:ascii="Times New Roman" w:hAnsi="Times New Roman" w:cs="Times New Roman"/>
          <w:sz w:val="24"/>
          <w:szCs w:val="24"/>
          <w:lang w:val="en-CH"/>
        </w:rPr>
        <w:t>Symptoms present themselves usually after an incubation period of approximately 5.2 days</w:t>
      </w:r>
      <w:r>
        <w:rPr>
          <w:rFonts w:ascii="Times New Roman" w:hAnsi="Times New Roman" w:cs="Times New Roman"/>
          <w:sz w:val="24"/>
          <w:szCs w:val="24"/>
          <w:lang w:val="en-CH"/>
        </w:rPr>
        <w:t xml:space="preserve"> </w:t>
      </w:r>
      <w:r>
        <w:rPr>
          <w:rFonts w:ascii="Times New Roman" w:hAnsi="Times New Roman" w:cs="Times New Roman"/>
          <w:sz w:val="24"/>
          <w:szCs w:val="24"/>
        </w:rPr>
        <w:fldChar w:fldCharType="begin" w:fldLock="1"/>
      </w:r>
      <w:r w:rsidR="005E555B">
        <w:rPr>
          <w:rFonts w:ascii="Times New Roman" w:hAnsi="Times New Roman" w:cs="Times New Roman"/>
          <w:sz w:val="24"/>
          <w:szCs w:val="24"/>
          <w:lang w:val="en-CH"/>
        </w:rPr>
        <w:instrText>ADDIN CSL_CITATION {"citationItems":[{"id":"ITEM-1","itemData":{"DOI":"10.1016/j.jaut.2020.102433","ISSN":"0896-8411","author":[{"dropping-particle":"","family":"Rothan","given":"Hussin A","non-dropping-particle":"","parse-names":false,"suffix":""},{"dropping-particle":"","family":"Byrareddy","given":"Siddappa N","non-dropping-particle":"","parse-names":false,"suffix":""}],"container-title":"Journal of Autoimmunity","id":"ITEM-1","issue":"February","issued":{"date-parts":[["2020"]]},"page":"102433","publisher":"Elsevier","title":"The epidemiology and pathogenesis of coronavirus disease ( COVID-19 ) outbreak","type":"article-journal","volume":"109"},"uris":["http://www.mendeley.com/documents/?uuid=831b1a14-6ac1-4f5d-9dba-40625e825227"]}],"mendeley":{"formattedCitation":"(Rothan &amp; Byrareddy, 2020)","plainTextFormattedCitation":"(Rothan &amp; Byrareddy, 2020)","previouslyFormattedCitation":"(Rothan &amp; Byrareddy, 2020)"},"properties":{"noteIndex":0},"schema":"https://github.com/citation-style-language/schema/raw/master/csl-citation.json"}</w:instrText>
      </w:r>
      <w:r>
        <w:rPr>
          <w:rFonts w:ascii="Times New Roman" w:hAnsi="Times New Roman" w:cs="Times New Roman"/>
          <w:sz w:val="24"/>
          <w:szCs w:val="24"/>
        </w:rPr>
        <w:fldChar w:fldCharType="separate"/>
      </w:r>
      <w:r w:rsidRPr="00F2608C">
        <w:rPr>
          <w:rFonts w:ascii="Times New Roman" w:hAnsi="Times New Roman" w:cs="Times New Roman"/>
          <w:noProof/>
          <w:sz w:val="24"/>
          <w:szCs w:val="24"/>
          <w:lang w:val="en-CH"/>
        </w:rPr>
        <w:t>(Rothan &amp; Byrareddy, 2020)</w:t>
      </w:r>
      <w:r>
        <w:rPr>
          <w:rFonts w:ascii="Times New Roman" w:hAnsi="Times New Roman" w:cs="Times New Roman"/>
          <w:sz w:val="24"/>
          <w:szCs w:val="24"/>
        </w:rPr>
        <w:fldChar w:fldCharType="end"/>
      </w:r>
      <w:r>
        <w:rPr>
          <w:rFonts w:ascii="Times New Roman" w:hAnsi="Times New Roman" w:cs="Times New Roman"/>
          <w:sz w:val="24"/>
          <w:szCs w:val="24"/>
        </w:rPr>
        <w:t>.</w:t>
      </w:r>
      <w:r w:rsidR="001501BF">
        <w:rPr>
          <w:rFonts w:ascii="Times New Roman" w:hAnsi="Times New Roman" w:cs="Times New Roman"/>
          <w:sz w:val="24"/>
          <w:szCs w:val="24"/>
          <w:lang w:val="en-CH"/>
        </w:rPr>
        <w:t xml:space="preserve"> </w:t>
      </w:r>
      <w:r w:rsidR="001501BF" w:rsidRPr="001501BF">
        <w:rPr>
          <w:rFonts w:ascii="Times New Roman" w:hAnsi="Times New Roman" w:cs="Times New Roman"/>
          <w:sz w:val="24"/>
          <w:szCs w:val="24"/>
          <w:lang w:val="en-CH"/>
        </w:rPr>
        <w:t>The person-to-person transmission of COVID-19 occurs through direct contact or through droplets derived from coughing or sneezing of infected patients (</w:t>
      </w:r>
      <w:proofErr w:type="spellStart"/>
      <w:r w:rsidR="001501BF" w:rsidRPr="001501BF">
        <w:rPr>
          <w:rFonts w:ascii="Times New Roman" w:hAnsi="Times New Roman" w:cs="Times New Roman"/>
          <w:sz w:val="24"/>
          <w:szCs w:val="24"/>
          <w:lang w:val="en-CH"/>
        </w:rPr>
        <w:t>Rothan</w:t>
      </w:r>
      <w:proofErr w:type="spellEnd"/>
      <w:r w:rsidR="001501BF" w:rsidRPr="001501BF">
        <w:rPr>
          <w:rFonts w:ascii="Times New Roman" w:hAnsi="Times New Roman" w:cs="Times New Roman"/>
          <w:sz w:val="24"/>
          <w:szCs w:val="24"/>
          <w:lang w:val="en-CH"/>
        </w:rPr>
        <w:t xml:space="preserve"> &amp; </w:t>
      </w:r>
      <w:proofErr w:type="spellStart"/>
      <w:r w:rsidR="001501BF" w:rsidRPr="001501BF">
        <w:rPr>
          <w:rFonts w:ascii="Times New Roman" w:hAnsi="Times New Roman" w:cs="Times New Roman"/>
          <w:sz w:val="24"/>
          <w:szCs w:val="24"/>
          <w:lang w:val="en-CH"/>
        </w:rPr>
        <w:t>Byrareddy</w:t>
      </w:r>
      <w:proofErr w:type="spellEnd"/>
      <w:r w:rsidR="001501BF" w:rsidRPr="001501BF">
        <w:rPr>
          <w:rFonts w:ascii="Times New Roman" w:hAnsi="Times New Roman" w:cs="Times New Roman"/>
          <w:sz w:val="24"/>
          <w:szCs w:val="24"/>
          <w:lang w:val="en-CH"/>
        </w:rPr>
        <w:t>, 2020)</w:t>
      </w:r>
      <w:r w:rsidR="001501BF">
        <w:rPr>
          <w:rFonts w:ascii="Times New Roman" w:hAnsi="Times New Roman" w:cs="Times New Roman"/>
          <w:sz w:val="24"/>
          <w:szCs w:val="24"/>
          <w:lang w:val="en-CH"/>
        </w:rPr>
        <w:t xml:space="preserve">. </w:t>
      </w:r>
    </w:p>
    <w:p w14:paraId="4D56D779" w14:textId="5ACC6EAF" w:rsidR="00772F3C" w:rsidRDefault="001501BF">
      <w:pPr>
        <w:rPr>
          <w:rFonts w:ascii="Times New Roman" w:hAnsi="Times New Roman" w:cs="Times New Roman"/>
          <w:sz w:val="24"/>
          <w:szCs w:val="24"/>
        </w:rPr>
      </w:pPr>
      <w:r>
        <w:rPr>
          <w:rFonts w:ascii="Times New Roman" w:hAnsi="Times New Roman" w:cs="Times New Roman"/>
          <w:sz w:val="24"/>
          <w:szCs w:val="24"/>
          <w:lang w:val="en-CH"/>
        </w:rPr>
        <w:t>O</w:t>
      </w:r>
      <w:r>
        <w:rPr>
          <w:rFonts w:ascii="Times New Roman" w:hAnsi="Times New Roman" w:cs="Times New Roman"/>
          <w:sz w:val="24"/>
          <w:szCs w:val="24"/>
        </w:rPr>
        <w:t xml:space="preserve">n the 30th of January 2020 the WHO declared COVID-19 a Public Health Emergency of International Concern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ijsu.2020.02.034","ISSN":"1743-9191","author":[{"dropping-particle":"","family":"Sohrabi","given":"Catrin","non-dropping-particle":"","parse-names":false,"suffix":""},{"dropping-particle":"","family":"Alsafi","given":"Zaid","non-dropping-particle":"","parse-names":false,"suffix":""},{"dropping-particle":"","family":"Neill","given":"Niamh O","non-dropping-particle":"","parse-names":false,"suffix":""},{"dropping-particle":"","family":"Khan","given":"Mehdi","non-dropping-particle":"","parse-names":false,"suffix":""},{"dropping-particle":"","family":"Kerwan","given":"Ahmed","non-dropping-particle":"","parse-names":false,"suffix":""},{"dropping-particle":"","family":"Al-jabir","given":"Ahmed","non-dropping-particle":"","parse-names":false,"suffix":""},{"dropping-particle":"","family":"Iosifidis","given":"Christos","non-dropping-particle":"","parse-names":false,"suffix":""},{"dropping-particle":"","family":"Agha","given":"Riaz","non-dropping-particle":"","parse-names":false,"suffix":""}],"container-title":"International Journal of Surgery","id":"ITEM-1","issue":"February","issued":{"date-parts":[["2020"]]},"page":"71-76","publisher":"Elsevier","title":"World Health Organization declares global emergency : A review of the 2019 novel coronavirus ( COVID-19 )","type":"article-journal","volume":"76"},"uris":["http://www.mendeley.com/documents/?uuid=f228ea27-7e1d-4ec6-83e2-b7759d7b4f06"]}],"mendeley":{"formattedCitation":"(Sohrabi et al., 2020)","manualFormatting":"(Sohrabi et al., 2020; World Health Organization, 11 February 2020)","plainTextFormattedCitation":"(Sohrabi et al., 2020)","previouslyFormattedCitation":"(Sohrabi et al., 2020)"},"properties":{"noteIndex":0},"schema":"https://github.com/citation-style-language/schema/raw/master/csl-citation.json"}</w:instrText>
      </w:r>
      <w:r>
        <w:rPr>
          <w:rFonts w:ascii="Times New Roman" w:hAnsi="Times New Roman" w:cs="Times New Roman"/>
          <w:sz w:val="24"/>
          <w:szCs w:val="24"/>
        </w:rPr>
        <w:fldChar w:fldCharType="separate"/>
      </w:r>
      <w:r w:rsidRPr="00CC4987">
        <w:rPr>
          <w:rFonts w:ascii="Times New Roman" w:hAnsi="Times New Roman" w:cs="Times New Roman"/>
          <w:noProof/>
          <w:sz w:val="24"/>
          <w:szCs w:val="24"/>
        </w:rPr>
        <w:t>(Sohrabi et al., 2020</w:t>
      </w:r>
      <w:r>
        <w:rPr>
          <w:rFonts w:ascii="Times New Roman" w:hAnsi="Times New Roman" w:cs="Times New Roman"/>
          <w:noProof/>
          <w:sz w:val="24"/>
          <w:szCs w:val="24"/>
        </w:rPr>
        <w:t>; World Health Organization, 11 February 2020</w:t>
      </w:r>
      <w:r w:rsidRPr="00CC4987">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After cases in multiple countries such as Italy, France, Germany, Spain, South Korea, Iran, USA, and evidence of local person-to-person transmission of the disease, on the 13th of March 2020 the WHO declared COVID-19 a pandemic (World Health Organization, 13 March 2020).</w:t>
      </w:r>
      <w:r w:rsidR="000E02CE">
        <w:rPr>
          <w:rFonts w:ascii="Times New Roman" w:hAnsi="Times New Roman" w:cs="Times New Roman"/>
          <w:sz w:val="24"/>
          <w:szCs w:val="24"/>
          <w:lang w:val="en-CH"/>
        </w:rPr>
        <w:t xml:space="preserve"> </w:t>
      </w:r>
      <w:r w:rsidR="000E02CE">
        <w:rPr>
          <w:rFonts w:ascii="Times New Roman" w:hAnsi="Times New Roman" w:cs="Times New Roman"/>
          <w:sz w:val="24"/>
          <w:szCs w:val="24"/>
        </w:rPr>
        <w:t>The classification of COVID-19 as a pandemic resulted in the implementation of multiple mitigation measures by the affected countries, in order to control the outbreak. This is especially important in the first phases of the outbreak as SARS-CoV-2 has a reported average R</w:t>
      </w:r>
      <w:r w:rsidR="000E02CE">
        <w:rPr>
          <w:rFonts w:ascii="Times New Roman" w:hAnsi="Times New Roman" w:cs="Times New Roman"/>
          <w:sz w:val="24"/>
          <w:szCs w:val="24"/>
          <w:vertAlign w:val="subscript"/>
        </w:rPr>
        <w:t>0</w:t>
      </w:r>
      <w:r w:rsidR="000E02CE">
        <w:rPr>
          <w:rFonts w:ascii="Times New Roman" w:hAnsi="Times New Roman" w:cs="Times New Roman"/>
          <w:sz w:val="24"/>
          <w:szCs w:val="24"/>
        </w:rPr>
        <w:t xml:space="preserve"> of 3.28 </w:t>
      </w:r>
      <w:r w:rsidR="000E02CE">
        <w:rPr>
          <w:rFonts w:ascii="Times New Roman" w:hAnsi="Times New Roman" w:cs="Times New Roman"/>
          <w:sz w:val="24"/>
          <w:szCs w:val="24"/>
        </w:rPr>
        <w:fldChar w:fldCharType="begin" w:fldLock="1"/>
      </w:r>
      <w:r w:rsidR="000E02CE">
        <w:rPr>
          <w:rFonts w:ascii="Times New Roman" w:hAnsi="Times New Roman" w:cs="Times New Roman"/>
          <w:sz w:val="24"/>
          <w:szCs w:val="24"/>
        </w:rPr>
        <w:instrText>ADDIN CSL_CITATION {"citationItems":[{"id":"ITEM-1","itemData":{"DOI":"10.1093/jtm/taaa021","author":[{"dropping-particle":"","family":"Liu","given":"Ying","non-dropping-particle":"","parse-names":false,"suffix":""},{"dropping-particle":"","family":"Gayle","given":"Albert A","non-dropping-particle":"","parse-names":false,"suffix":""},{"dropping-particle":"","family":"Wilder-smith","given":"Annelies","non-dropping-particle":"","parse-names":false,"suffix":""},{"dropping-particle":"","family":"Rocklöv","given":"Joacim","non-dropping-particle":"","parse-names":false,"suffix":""}],"id":"ITEM-1","issue":"Figure 1","issued":{"date-parts":[["2020"]]},"page":"1-4","title":"The reproductive number of COVID-19 is higher compared to SARS coronavirus","type":"article-journal"},"uris":["http://www.mendeley.com/documents/?uuid=4baf0e20-296f-4ae9-a3b3-738f884102b7"]}],"mendeley":{"formattedCitation":"(Liu et al., 2020)","plainTextFormattedCitation":"(Liu et al., 2020)","previouslyFormattedCitation":"(Liu et al., 2020)"},"properties":{"noteIndex":0},"schema":"https://github.com/citation-style-language/schema/raw/master/csl-citation.json"}</w:instrText>
      </w:r>
      <w:r w:rsidR="000E02CE">
        <w:rPr>
          <w:rFonts w:ascii="Times New Roman" w:hAnsi="Times New Roman" w:cs="Times New Roman"/>
          <w:sz w:val="24"/>
          <w:szCs w:val="24"/>
        </w:rPr>
        <w:fldChar w:fldCharType="separate"/>
      </w:r>
      <w:r w:rsidR="000E02CE" w:rsidRPr="009B0105">
        <w:rPr>
          <w:rFonts w:ascii="Times New Roman" w:hAnsi="Times New Roman" w:cs="Times New Roman"/>
          <w:noProof/>
          <w:sz w:val="24"/>
          <w:szCs w:val="24"/>
        </w:rPr>
        <w:t>(Liu et al., 2020)</w:t>
      </w:r>
      <w:r w:rsidR="000E02CE">
        <w:rPr>
          <w:rFonts w:ascii="Times New Roman" w:hAnsi="Times New Roman" w:cs="Times New Roman"/>
          <w:sz w:val="24"/>
          <w:szCs w:val="24"/>
        </w:rPr>
        <w:fldChar w:fldCharType="end"/>
      </w:r>
      <w:r w:rsidR="000E02CE">
        <w:rPr>
          <w:rFonts w:ascii="Times New Roman" w:hAnsi="Times New Roman" w:cs="Times New Roman"/>
          <w:sz w:val="24"/>
          <w:szCs w:val="24"/>
        </w:rPr>
        <w:t xml:space="preserve">. Usually as the epidemic progresses the reproductive number of a virus declines steadily until it reaches a value lower than 1 and decays </w:t>
      </w:r>
      <w:r w:rsidR="000E02CE">
        <w:rPr>
          <w:rFonts w:ascii="Times New Roman" w:hAnsi="Times New Roman" w:cs="Times New Roman"/>
          <w:sz w:val="24"/>
          <w:szCs w:val="24"/>
        </w:rPr>
        <w:fldChar w:fldCharType="begin" w:fldLock="1"/>
      </w:r>
      <w:r w:rsidR="000E02CE">
        <w:rPr>
          <w:rFonts w:ascii="Times New Roman" w:hAnsi="Times New Roman" w:cs="Times New Roman"/>
          <w:sz w:val="24"/>
          <w:szCs w:val="24"/>
        </w:rPr>
        <w:instrText>ADDIN CSL_CITATION {"citationItems":[{"id":"ITEM-1","itemData":{"DOI":"10.1016/S0140-6736(20)30567-5","author":[{"dropping-particle":"","family":"Anderson","given":"Roy M","non-dropping-particle":"","parse-names":false,"suffix":""},{"dropping-particle":"","family":"Heesterbeek","given":"Hans","non-dropping-particle":"","parse-names":false,"suffix":""},{"dropping-particle":"","family":"Klinkenberg","given":"Don","non-dropping-particle":"","parse-names":false,"suffix":""},{"dropping-particle":"","family":"Hollingsworth","given":"T Déirdre","non-dropping-particle":"","parse-names":false,"suffix":""}],"id":"ITEM-1","issue":"20","issued":{"date-parts":[["2020"]]},"page":"931-934","title":"How will country-based mitigation measures influence the course of the COVID-19 epidemic ?","type":"article-journal","volume":"2019"},"uris":["http://www.mendeley.com/documents/?uuid=4b0a93da-24f1-4d3a-949e-ce865e82637c"]}],"mendeley":{"formattedCitation":"(Anderson et al., 2020)","plainTextFormattedCitation":"(Anderson et al., 2020)","previouslyFormattedCitation":"(Anderson et al., 2020)"},"properties":{"noteIndex":0},"schema":"https://github.com/citation-style-language/schema/raw/master/csl-citation.json"}</w:instrText>
      </w:r>
      <w:r w:rsidR="000E02CE">
        <w:rPr>
          <w:rFonts w:ascii="Times New Roman" w:hAnsi="Times New Roman" w:cs="Times New Roman"/>
          <w:sz w:val="24"/>
          <w:szCs w:val="24"/>
        </w:rPr>
        <w:fldChar w:fldCharType="separate"/>
      </w:r>
      <w:r w:rsidR="000E02CE" w:rsidRPr="00A8731A">
        <w:rPr>
          <w:rFonts w:ascii="Times New Roman" w:hAnsi="Times New Roman" w:cs="Times New Roman"/>
          <w:noProof/>
          <w:sz w:val="24"/>
          <w:szCs w:val="24"/>
        </w:rPr>
        <w:t>(Anderson et al., 2020)</w:t>
      </w:r>
      <w:r w:rsidR="000E02CE">
        <w:rPr>
          <w:rFonts w:ascii="Times New Roman" w:hAnsi="Times New Roman" w:cs="Times New Roman"/>
          <w:sz w:val="24"/>
          <w:szCs w:val="24"/>
        </w:rPr>
        <w:fldChar w:fldCharType="end"/>
      </w:r>
      <w:r w:rsidR="000E02CE">
        <w:rPr>
          <w:rFonts w:ascii="Times New Roman" w:hAnsi="Times New Roman" w:cs="Times New Roman"/>
          <w:sz w:val="24"/>
          <w:szCs w:val="24"/>
        </w:rPr>
        <w:t xml:space="preserve">. This is due to lack of susceptible individuals or because of the effect of implementation of multiple mitigation measures. This is supported by simulation studies on COVID-19 transmission using SEIR models </w:t>
      </w:r>
      <w:r w:rsidR="000E02CE">
        <w:rPr>
          <w:rFonts w:ascii="Times New Roman" w:hAnsi="Times New Roman" w:cs="Times New Roman"/>
          <w:sz w:val="24"/>
          <w:szCs w:val="24"/>
        </w:rPr>
        <w:fldChar w:fldCharType="begin" w:fldLock="1"/>
      </w:r>
      <w:r w:rsidR="000E02CE">
        <w:rPr>
          <w:rFonts w:ascii="Times New Roman" w:hAnsi="Times New Roman" w:cs="Times New Roman"/>
          <w:sz w:val="24"/>
          <w:szCs w:val="24"/>
        </w:rPr>
        <w:instrText>ADDIN CSL_CITATION {"citationItems":[{"id":"ITEM-1","itemData":{"DOI":"10.1002/jmv.25750","ISSN":"0146-6615","abstract":"Abstract Using the parameterized susceptible-exposed-infectious-recovered model, we simulated the spread dynamics of coronavirus disease 2019 (COVID-19) outbreak and impact of different control measures, conducted the sensitivity analysis to identify the key factor, plotted the trend curve of effective reproductive number (R), and performed data fitting after the simulation. By simulation and data fitting, the model showed the peak existing confirmed cases of 59?769 arriving on 15 February 2020, with the coefficient of determination close to 1 and the fitting bias 3.02%, suggesting high precision of the data-fitting results. More rigorous government control policies were associated with a slower increase in the infected population. Isolation and protective procedures would be less effective as more cases accrue, so the optimization of the treatment plan and the development of specific drugs would be of more importance. There was an upward trend of R in the beginning, followed by a downward trend, a temporary rebound, and another continuous decline. The feature of high infectiousness for severe acute respiratory syndrome coronavirus 2(SARS-CoV-2) led to an upward trend, and government measures contributed to the temporary rebound and declines. The declines of R could be exploited as strong evidence for the effectiveness of the interventions. Evidence from the four-phase stringent measures showed that it was significant to ensure early detection, early isolation, early treatment, adequate medical supplies, patients? being admitted to designated hospitals, and comprehensive therapeutic strategy. Collaborative efforts are required to combat the novel coronavirus, focusing on both persistent strict domestic interventions and vigilance against exogenous imported cases.","author":[{"dropping-particle":"","family":"Fang","given":"Yaqing","non-dropping-particle":"","parse-names":false,"suffix":""},{"dropping-particle":"","family":"Nie","given":"Yiting","non-dropping-particle":"","parse-names":false,"suffix":""},{"dropping-particle":"","family":"Penny","given":"Marshare","non-dropping-particle":"","parse-names":false,"suffix":""}],"container-title":"Journal of Medical Virology","id":"ITEM-1","issue":"6","issued":{"date-parts":[["2020","6","1"]]},"note":"doi: 10.1002/jmv.25750","page":"645-659","publisher":"John Wiley &amp; Sons, Ltd","title":"Transmission dynamics of the COVID-19 outbreak and effectiveness of government interventions: A data-driven analysis","type":"article-journal","volume":"92"},"uris":["http://www.mendeley.com/documents/?uuid=a831ac76-01de-4445-9f07-7451ea69fcb8"]}],"mendeley":{"formattedCitation":"(Fang et al., 2020)","plainTextFormattedCitation":"(Fang et al., 2020)","previouslyFormattedCitation":"(Fang et al., 2020)"},"properties":{"noteIndex":0},"schema":"https://github.com/citation-style-language/schema/raw/master/csl-citation.json"}</w:instrText>
      </w:r>
      <w:r w:rsidR="000E02CE">
        <w:rPr>
          <w:rFonts w:ascii="Times New Roman" w:hAnsi="Times New Roman" w:cs="Times New Roman"/>
          <w:sz w:val="24"/>
          <w:szCs w:val="24"/>
        </w:rPr>
        <w:fldChar w:fldCharType="separate"/>
      </w:r>
      <w:r w:rsidR="000E02CE" w:rsidRPr="00A8731A">
        <w:rPr>
          <w:rFonts w:ascii="Times New Roman" w:hAnsi="Times New Roman" w:cs="Times New Roman"/>
          <w:noProof/>
          <w:sz w:val="24"/>
          <w:szCs w:val="24"/>
        </w:rPr>
        <w:t>(Fang et al., 2020)</w:t>
      </w:r>
      <w:r w:rsidR="000E02CE">
        <w:rPr>
          <w:rFonts w:ascii="Times New Roman" w:hAnsi="Times New Roman" w:cs="Times New Roman"/>
          <w:sz w:val="24"/>
          <w:szCs w:val="24"/>
        </w:rPr>
        <w:fldChar w:fldCharType="end"/>
      </w:r>
      <w:r w:rsidR="000E02CE">
        <w:rPr>
          <w:rFonts w:ascii="Times New Roman" w:hAnsi="Times New Roman" w:cs="Times New Roman"/>
          <w:sz w:val="24"/>
          <w:szCs w:val="24"/>
        </w:rPr>
        <w:t xml:space="preserve">. The main objectives of mitigation measures are minimising morbidity and mortality, avoiding or shifting in time epidemic peaks to avoid overwhelming the health-care system and </w:t>
      </w:r>
      <w:r w:rsidR="000E02CE">
        <w:rPr>
          <w:rFonts w:ascii="Times New Roman" w:hAnsi="Times New Roman" w:cs="Times New Roman"/>
          <w:sz w:val="24"/>
          <w:szCs w:val="24"/>
          <w:lang w:val="en-CH"/>
        </w:rPr>
        <w:t xml:space="preserve">to </w:t>
      </w:r>
      <w:r w:rsidR="000E02CE">
        <w:rPr>
          <w:rFonts w:ascii="Times New Roman" w:hAnsi="Times New Roman" w:cs="Times New Roman"/>
          <w:sz w:val="24"/>
          <w:szCs w:val="24"/>
        </w:rPr>
        <w:t xml:space="preserve">flatten the epidemic curve </w:t>
      </w:r>
      <w:r w:rsidR="000E02CE">
        <w:rPr>
          <w:rFonts w:ascii="Times New Roman" w:hAnsi="Times New Roman" w:cs="Times New Roman"/>
          <w:sz w:val="24"/>
          <w:szCs w:val="24"/>
        </w:rPr>
        <w:fldChar w:fldCharType="begin" w:fldLock="1"/>
      </w:r>
      <w:r w:rsidR="000E02CE">
        <w:rPr>
          <w:rFonts w:ascii="Times New Roman" w:hAnsi="Times New Roman" w:cs="Times New Roman"/>
          <w:sz w:val="24"/>
          <w:szCs w:val="24"/>
        </w:rPr>
        <w:instrText>ADDIN CSL_CITATION {"citationItems":[{"id":"ITEM-1","itemData":{"DOI":"10.1016/S0140-6736(20)30567-5","author":[{"dropping-particle":"","family":"Anderson","given":"Roy M","non-dropping-particle":"","parse-names":false,"suffix":""},{"dropping-particle":"","family":"Heesterbeek","given":"Hans","non-dropping-particle":"","parse-names":false,"suffix":""},{"dropping-particle":"","family":"Klinkenberg","given":"Don","non-dropping-particle":"","parse-names":false,"suffix":""},{"dropping-particle":"","family":"Hollingsworth","given":"T Déirdre","non-dropping-particle":"","parse-names":false,"suffix":""}],"id":"ITEM-1","issue":"20","issued":{"date-parts":[["2020"]]},"page":"931-934","title":"How will country-based mitigation measures influence the course of the COVID-19 epidemic ?","type":"article-journal","volume":"2019"},"uris":["http://www.mendeley.com/documents/?uuid=4b0a93da-24f1-4d3a-949e-ce865e82637c"]}],"mendeley":{"formattedCitation":"(Anderson et al., 2020)","plainTextFormattedCitation":"(Anderson et al., 2020)","previouslyFormattedCitation":"(Anderson et al., 2020)"},"properties":{"noteIndex":0},"schema":"https://github.com/citation-style-language/schema/raw/master/csl-citation.json"}</w:instrText>
      </w:r>
      <w:r w:rsidR="000E02CE">
        <w:rPr>
          <w:rFonts w:ascii="Times New Roman" w:hAnsi="Times New Roman" w:cs="Times New Roman"/>
          <w:sz w:val="24"/>
          <w:szCs w:val="24"/>
        </w:rPr>
        <w:fldChar w:fldCharType="separate"/>
      </w:r>
      <w:r w:rsidR="000E02CE" w:rsidRPr="00D05301">
        <w:rPr>
          <w:rFonts w:ascii="Times New Roman" w:hAnsi="Times New Roman" w:cs="Times New Roman"/>
          <w:noProof/>
          <w:sz w:val="24"/>
          <w:szCs w:val="24"/>
        </w:rPr>
        <w:t>(Anderson et al., 2020)</w:t>
      </w:r>
      <w:r w:rsidR="000E02CE">
        <w:rPr>
          <w:rFonts w:ascii="Times New Roman" w:hAnsi="Times New Roman" w:cs="Times New Roman"/>
          <w:sz w:val="24"/>
          <w:szCs w:val="24"/>
        </w:rPr>
        <w:fldChar w:fldCharType="end"/>
      </w:r>
      <w:r w:rsidR="000E02CE">
        <w:rPr>
          <w:rFonts w:ascii="Times New Roman" w:hAnsi="Times New Roman" w:cs="Times New Roman"/>
          <w:sz w:val="24"/>
          <w:szCs w:val="24"/>
        </w:rPr>
        <w:t>.</w:t>
      </w:r>
    </w:p>
    <w:p w14:paraId="2E0AA0E4" w14:textId="77777777" w:rsidR="00A97DEC" w:rsidRDefault="005E555B">
      <w:pPr>
        <w:rPr>
          <w:rFonts w:ascii="Times New Roman" w:hAnsi="Times New Roman" w:cs="Times New Roman"/>
          <w:sz w:val="24"/>
          <w:szCs w:val="24"/>
          <w:lang w:val="en-CH"/>
        </w:rPr>
      </w:pPr>
      <w:r>
        <w:rPr>
          <w:rFonts w:ascii="Times New Roman" w:hAnsi="Times New Roman" w:cs="Times New Roman"/>
          <w:sz w:val="24"/>
          <w:szCs w:val="24"/>
          <w:lang w:val="en-CH"/>
        </w:rPr>
        <w:t>As COVID-19 has evolved to a global pandemic discussion about it has been continuing through the past year and on numerous platforms. Probably the largest amount of discussing about the pandemic has happened on social media, especially by the general public</w:t>
      </w:r>
      <w:r w:rsidR="000C2E52">
        <w:rPr>
          <w:rFonts w:ascii="Times New Roman" w:hAnsi="Times New Roman" w:cs="Times New Roman"/>
          <w:sz w:val="24"/>
          <w:szCs w:val="24"/>
          <w:lang w:val="en-CH"/>
        </w:rPr>
        <w:t xml:space="preserve"> </w:t>
      </w:r>
      <w:r w:rsidR="000C2E52">
        <w:rPr>
          <w:rFonts w:ascii="Times New Roman" w:hAnsi="Times New Roman" w:cs="Times New Roman"/>
          <w:sz w:val="24"/>
          <w:szCs w:val="24"/>
          <w:lang w:val="en-CH"/>
        </w:rPr>
        <w:fldChar w:fldCharType="begin" w:fldLock="1"/>
      </w:r>
      <w:r w:rsidR="000C2E52">
        <w:rPr>
          <w:rFonts w:ascii="Times New Roman" w:hAnsi="Times New Roman" w:cs="Times New Roman"/>
          <w:sz w:val="24"/>
          <w:szCs w:val="24"/>
          <w:lang w:val="en-CH"/>
        </w:rPr>
        <w:instrText>ADDIN CSL_CITATION {"citationItems":[{"id":"ITEM-1","itemData":{"author":[{"dropping-particle":"","family":"Pastor","given":"Cherish Kay","non-dropping-particle":"","parse-names":false,"suffix":""}],"container-title":"Available at SSRN 3574385","id":"ITEM-1","issued":{"date-parts":[["2020"]]},"title":"Sentiment analysis of Filipinos and effects of extreme community quarantine due to coronavirus (Covid-19) pandemic","type":"article-journal"},"uris":["http://www.mendeley.com/documents/?uuid=d7b2def0-c44b-4e55-82c0-2b1dbc79bda1"]}],"mendeley":{"formattedCitation":"(Pastor, 2020)","plainTextFormattedCitation":"(Pastor, 2020)","previouslyFormattedCitation":"(Pastor, 2020)"},"properties":{"noteIndex":0},"schema":"https://github.com/citation-style-language/schema/raw/master/csl-citation.json"}</w:instrText>
      </w:r>
      <w:r w:rsidR="000C2E52">
        <w:rPr>
          <w:rFonts w:ascii="Times New Roman" w:hAnsi="Times New Roman" w:cs="Times New Roman"/>
          <w:sz w:val="24"/>
          <w:szCs w:val="24"/>
          <w:lang w:val="en-CH"/>
        </w:rPr>
        <w:fldChar w:fldCharType="separate"/>
      </w:r>
      <w:r w:rsidR="000C2E52" w:rsidRPr="000C2E52">
        <w:rPr>
          <w:rFonts w:ascii="Times New Roman" w:hAnsi="Times New Roman" w:cs="Times New Roman"/>
          <w:noProof/>
          <w:sz w:val="24"/>
          <w:szCs w:val="24"/>
          <w:lang w:val="en-CH"/>
        </w:rPr>
        <w:t>(Pastor, 2020)</w:t>
      </w:r>
      <w:r w:rsidR="000C2E52">
        <w:rPr>
          <w:rFonts w:ascii="Times New Roman" w:hAnsi="Times New Roman" w:cs="Times New Roman"/>
          <w:sz w:val="24"/>
          <w:szCs w:val="24"/>
          <w:lang w:val="en-CH"/>
        </w:rPr>
        <w:fldChar w:fldCharType="end"/>
      </w:r>
      <w:r>
        <w:rPr>
          <w:rFonts w:ascii="Times New Roman" w:hAnsi="Times New Roman" w:cs="Times New Roman"/>
          <w:sz w:val="24"/>
          <w:szCs w:val="24"/>
          <w:lang w:val="en-CH"/>
        </w:rPr>
        <w:t xml:space="preserve">. Due its enormous usage social media is considered one of the global centres of big data </w:t>
      </w:r>
      <w:r>
        <w:rPr>
          <w:rStyle w:val="FootnoteReference"/>
          <w:rFonts w:ascii="Times New Roman" w:hAnsi="Times New Roman" w:cs="Times New Roman"/>
          <w:sz w:val="24"/>
          <w:szCs w:val="24"/>
          <w:lang w:val="en-CH"/>
        </w:rPr>
        <w:fldChar w:fldCharType="begin" w:fldLock="1"/>
      </w:r>
      <w:r>
        <w:rPr>
          <w:rFonts w:ascii="Times New Roman" w:hAnsi="Times New Roman" w:cs="Times New Roman"/>
          <w:sz w:val="24"/>
          <w:szCs w:val="24"/>
          <w:lang w:val="en-CH"/>
        </w:rPr>
        <w:instrText>ADDIN CSL_CITATION {"citationItems":[{"id":"ITEM-1","itemData":{"DOI":"https://doi.org/10.1016/j.telpol.2015.04.003","ISSN":"0308-5961","abstract":"An emerging area of inquiry in Internet governance scholarship is the role of private information intermediaries in enacting governance via technical design choices and user policies. Following this trajectory, this paper addresses governance by social media rather than governance of social media. Informed by conceptual frameworks from Internet governance and Science and Technology Studies, it examines the extent to which these platforms either promote or constrain rights in three thematic areas: (1) anonymous speech and individual privacy; (2) the ability to express ideas or, stated as a negative liberty, freedom from censorship; and (3) technical affordances of interoperability and permissionless innovation. Because of their unique role as the intermediaries providing citizens with access to the digital public sphere, social media platforms are central points of control on the Internet. Viewing these private platforms through an Internet governance lens, rather than a content lens, suggests that social media technical architectures and policies actually pose several challenges to communication rights as well as to the open Internet. There is an opportunity for Internet governance studies, which have primarily focused on governmental policies and new global institutions, to give greater consideration to the direct policymaking role of private intermediaries and the accompanying phenomenon of the privatization of human rights.","author":[{"dropping-particle":"","family":"DeNardis","given":"L","non-dropping-particle":"","parse-names":false,"suffix":""},{"dropping-particle":"","family":"Hackl","given":"A M","non-dropping-particle":"","parse-names":false,"suffix":""}],"container-title":"Telecommunications Policy","id":"ITEM-1","issue":"9","issued":{"date-parts":[["2015"]]},"note":"SPECIAL ISSUE ON THE GOVERNANCE OF SOCIAL MEDIA","page":"761-770","title":"Internet governance by social media platforms","type":"article-journal","volume":"39"},"uris":["http://www.mendeley.com/documents/?uuid=eecacc01-222a-4f26-b9a6-4959624214bb"]}],"mendeley":{"formattedCitation":"(DeNardis &amp; Hackl, 2015)","plainTextFormattedCitation":"(DeNardis &amp; Hackl, 2015)","previouslyFormattedCitation":"(DeNardis &amp; Hackl, 2015)"},"properties":{"noteIndex":0},"schema":"https://github.com/citation-style-language/schema/raw/master/csl-citation.json"}</w:instrText>
      </w:r>
      <w:r>
        <w:rPr>
          <w:rStyle w:val="FootnoteReference"/>
          <w:rFonts w:ascii="Times New Roman" w:hAnsi="Times New Roman" w:cs="Times New Roman"/>
          <w:sz w:val="24"/>
          <w:szCs w:val="24"/>
          <w:lang w:val="en-CH"/>
        </w:rPr>
        <w:fldChar w:fldCharType="separate"/>
      </w:r>
      <w:r w:rsidRPr="005E555B">
        <w:rPr>
          <w:rFonts w:ascii="Times New Roman" w:hAnsi="Times New Roman" w:cs="Times New Roman"/>
          <w:noProof/>
          <w:sz w:val="24"/>
          <w:szCs w:val="24"/>
          <w:lang w:val="en-CH"/>
        </w:rPr>
        <w:t>(DeNardis &amp; Hackl, 2015)</w:t>
      </w:r>
      <w:r>
        <w:rPr>
          <w:rStyle w:val="FootnoteReference"/>
          <w:rFonts w:ascii="Times New Roman" w:hAnsi="Times New Roman" w:cs="Times New Roman"/>
          <w:sz w:val="24"/>
          <w:szCs w:val="24"/>
          <w:lang w:val="en-CH"/>
        </w:rPr>
        <w:fldChar w:fldCharType="end"/>
      </w:r>
      <w:r>
        <w:rPr>
          <w:rFonts w:ascii="Times New Roman" w:hAnsi="Times New Roman" w:cs="Times New Roman"/>
          <w:sz w:val="24"/>
          <w:szCs w:val="24"/>
          <w:lang w:val="en-CH"/>
        </w:rPr>
        <w:t xml:space="preserve">. The amount of information and the length of time spent on social media by users has been shown to have an influence on the users’ behaviour </w:t>
      </w:r>
      <w:r>
        <w:rPr>
          <w:rFonts w:ascii="Times New Roman" w:hAnsi="Times New Roman" w:cs="Times New Roman"/>
          <w:sz w:val="24"/>
          <w:szCs w:val="24"/>
          <w:lang w:val="en-CH"/>
        </w:rPr>
        <w:fldChar w:fldCharType="begin" w:fldLock="1"/>
      </w:r>
      <w:r>
        <w:rPr>
          <w:rFonts w:ascii="Times New Roman" w:hAnsi="Times New Roman" w:cs="Times New Roman"/>
          <w:sz w:val="24"/>
          <w:szCs w:val="24"/>
          <w:lang w:val="en-CH"/>
        </w:rPr>
        <w:instrText>ADDIN CSL_CITATION {"citationItems":[{"id":"ITEM-1","itemData":{"DOI":"10.1016/j.eswa.2020.114155","ISSN":"0957-4174","abstract":"The COVID-19 pandemic caused by the novel coronavirus SARS-CoV-2 occurred unexpectedly in China in December 2019. Tens of millions of confirmed cases and more than hundreds of thousands of confirmed deaths are reported worldwide according to the World Health Organisation. News about the virus is spreading all over social media websites. Consequently, these social media outlets are experiencing and presenting different views, opinions and emotions during various outbreak-related incidents. For computer scientists and researchers, big data are valuable assets for understanding people's sentiments regarding current events, especially those related to the pandemic. Therefore, analysing these sentiments will yield remarkable findings. To the best of our knowledge, previous related studies have focused on one kind of infectious disease. No previous study has examined multiple diseases via sentiment analysis. Accordingly, this research aimed to review and analyse articles about the occurrence of different types of infectious diseases, such as epidemics, pandemics, viruses or outbreaks, during the last 10 years, understand the application of sentiment analysis and obtain the most important literature findings. Articles on related topics were systematically searched in five major databases, namely, ScienceDirect, PubMed, Web of Science, IEEE Xplore and Scopus, from 1 January 2010 to 30 June 2020. These indices were considered sufficiently extensive and reliable to cover our scope of the literature. Articles were selected based on our inclusion and exclusion criteria for the systematic review, with a total of n = 28 articles selected. All these articles were formed into a coherent taxonomy to describe the corresponding current standpoints in the literature in accordance with four main categories: lexicon-based models, machine learning-based models, hybrid-based models and individuals. The obtained articles were categorised into motivations related to disease mitigation, data analysis and challenges faced by researchers with respect to data, social media platforms and community. Other aspects, such as the protocol being followed by the systematic review and demographic statistics of the literature distribution, were included in the review. Interesting patterns were observed in the literature, and the identified articles were grouped accordingly. This study emphasised the current standpoint and opportunities for research in this area and promoted additional efforts…","author":[{"dropping-particle":"","family":"Alamoodi","given":"A H","non-dropping-particle":"","parse-names":false,"suffix":""},{"dropping-particle":"","family":"Zaidan","given":"B B","non-dropping-particle":"","parse-names":false,"suffix":""},{"dropping-particle":"","family":"Zaidan","given":"A A","non-dropping-particle":"","parse-names":false,"suffix":""},{"dropping-particle":"","family":"Albahri","given":"O S","non-dropping-particle":"","parse-names":false,"suffix":""},{"dropping-particle":"","family":"Mohammed","given":"K I","non-dropping-particle":"","parse-names":false,"suffix":""},{"dropping-particle":"","family":"Malik","given":"R Q","non-dropping-particle":"","parse-names":false,"suffix":""},{"dropping-particle":"","family":"Almahdi","given":"E M","non-dropping-particle":"","parse-names":false,"suffix":""},{"dropping-particle":"","family":"Chyad","given":"M A","non-dropping-particle":"","parse-names":false,"suffix":""},{"dropping-particle":"","family":"Tareq","given":"Z","non-dropping-particle":"","parse-names":false,"suffix":""},{"dropping-particle":"","family":"Albahri","given":"A S","non-dropping-particle":"","parse-names":false,"suffix":""},{"dropping-particle":"","family":"Hameed","given":"Hamsa","non-dropping-particle":"","parse-names":false,"suffix":""},{"dropping-particle":"","family":"Alaa","given":"Musaab","non-dropping-particle":"","parse-names":false,"suffix":""}],"container-title":"Expert systems with applications","edition":"2020/10/28","id":"ITEM-1","issued":{"date-parts":[["2021","4","1"]]},"language":"eng","page":"114155","publisher":"Elsevier Ltd.","title":"Sentiment analysis and its applications in fighting COVID-19 and infectious diseases: A systematic review","type":"article-journal","volume":"167"},"uris":["http://www.mendeley.com/documents/?uuid=8bd13518-9a6c-46f9-b310-a7f05805f662"]}],"mendeley":{"formattedCitation":"(Alamoodi et al., 2021)","plainTextFormattedCitation":"(Alamoodi et al., 2021)","previouslyFormattedCitation":"(Alamoodi et al., 2021)"},"properties":{"noteIndex":0},"schema":"https://github.com/citation-style-language/schema/raw/master/csl-citation.json"}</w:instrText>
      </w:r>
      <w:r>
        <w:rPr>
          <w:rFonts w:ascii="Times New Roman" w:hAnsi="Times New Roman" w:cs="Times New Roman"/>
          <w:sz w:val="24"/>
          <w:szCs w:val="24"/>
          <w:lang w:val="en-CH"/>
        </w:rPr>
        <w:fldChar w:fldCharType="separate"/>
      </w:r>
      <w:r w:rsidRPr="005E555B">
        <w:rPr>
          <w:rFonts w:ascii="Times New Roman" w:hAnsi="Times New Roman" w:cs="Times New Roman"/>
          <w:noProof/>
          <w:sz w:val="24"/>
          <w:szCs w:val="24"/>
          <w:lang w:val="en-CH"/>
        </w:rPr>
        <w:t>(Alamoodi et al., 2021)</w:t>
      </w:r>
      <w:r>
        <w:rPr>
          <w:rFonts w:ascii="Times New Roman" w:hAnsi="Times New Roman" w:cs="Times New Roman"/>
          <w:sz w:val="24"/>
          <w:szCs w:val="24"/>
          <w:lang w:val="en-CH"/>
        </w:rPr>
        <w:fldChar w:fldCharType="end"/>
      </w:r>
      <w:r>
        <w:rPr>
          <w:rFonts w:ascii="Times New Roman" w:hAnsi="Times New Roman" w:cs="Times New Roman"/>
          <w:sz w:val="24"/>
          <w:szCs w:val="24"/>
          <w:lang w:val="en-CH"/>
        </w:rPr>
        <w:t xml:space="preserve">. This is influence has an effect not only on the users themselves but is also essential to governmental decision making as it is a direct catalogue of public opinion </w:t>
      </w:r>
      <w:r>
        <w:rPr>
          <w:rFonts w:ascii="Times New Roman" w:hAnsi="Times New Roman" w:cs="Times New Roman"/>
          <w:sz w:val="24"/>
          <w:szCs w:val="24"/>
          <w:lang w:val="en-CH"/>
        </w:rPr>
        <w:fldChar w:fldCharType="begin" w:fldLock="1"/>
      </w:r>
      <w:r>
        <w:rPr>
          <w:rFonts w:ascii="Times New Roman" w:hAnsi="Times New Roman" w:cs="Times New Roman"/>
          <w:sz w:val="24"/>
          <w:szCs w:val="24"/>
          <w:lang w:val="en-CH"/>
        </w:rPr>
        <w:instrText>ADDIN CSL_CITATION {"citationItems":[{"id":"ITEM-1","itemData":{"author":[{"dropping-particle":"","family":"Chung","given":"Wingyan","non-dropping-particle":"","parse-names":false,"suffix":""},{"dropping-particle":"","family":"He","given":"Saike","non-dropping-particle":"","parse-names":false,"suffix":""},{"dropping-particle":"","family":"Zeng","given":"Daniel","non-dropping-particle":"","parse-names":false,"suffix":""}],"id":"ITEM-1","issued":{"date-parts":[["2015"]]},"title":"eMood: Modeling emotion for social media analytics on Ebola disease outbreak","type":"article-journal"},"uris":["http://www.mendeley.com/documents/?uuid=4fbc5a55-be5f-4b11-8042-dcf02058bce3"]}],"mendeley":{"formattedCitation":"(Chung et al., 2015)","plainTextFormattedCitation":"(Chung et al., 2015)","previouslyFormattedCitation":"(Chung et al., 2015)"},"properties":{"noteIndex":0},"schema":"https://github.com/citation-style-language/schema/raw/master/csl-citation.json"}</w:instrText>
      </w:r>
      <w:r>
        <w:rPr>
          <w:rFonts w:ascii="Times New Roman" w:hAnsi="Times New Roman" w:cs="Times New Roman"/>
          <w:sz w:val="24"/>
          <w:szCs w:val="24"/>
          <w:lang w:val="en-CH"/>
        </w:rPr>
        <w:fldChar w:fldCharType="separate"/>
      </w:r>
      <w:r w:rsidRPr="005E555B">
        <w:rPr>
          <w:rFonts w:ascii="Times New Roman" w:hAnsi="Times New Roman" w:cs="Times New Roman"/>
          <w:noProof/>
          <w:sz w:val="24"/>
          <w:szCs w:val="24"/>
          <w:lang w:val="en-CH"/>
        </w:rPr>
        <w:t>(Chung et al., 2015)</w:t>
      </w:r>
      <w:r>
        <w:rPr>
          <w:rFonts w:ascii="Times New Roman" w:hAnsi="Times New Roman" w:cs="Times New Roman"/>
          <w:sz w:val="24"/>
          <w:szCs w:val="24"/>
          <w:lang w:val="en-CH"/>
        </w:rPr>
        <w:fldChar w:fldCharType="end"/>
      </w:r>
      <w:r>
        <w:rPr>
          <w:rFonts w:ascii="Times New Roman" w:hAnsi="Times New Roman" w:cs="Times New Roman"/>
          <w:sz w:val="24"/>
          <w:szCs w:val="24"/>
          <w:lang w:val="en-CH"/>
        </w:rPr>
        <w:t xml:space="preserve">. One of the ways of extracting information from social media data is sentiment analysis as it can contribute to the understanding of human emotions through the users’ engagement with social media </w:t>
      </w:r>
      <w:r>
        <w:rPr>
          <w:rFonts w:ascii="Times New Roman" w:hAnsi="Times New Roman" w:cs="Times New Roman"/>
          <w:sz w:val="24"/>
          <w:szCs w:val="24"/>
          <w:lang w:val="en-CH"/>
        </w:rPr>
        <w:fldChar w:fldCharType="begin" w:fldLock="1"/>
      </w:r>
      <w:r w:rsidR="000C2E52">
        <w:rPr>
          <w:rFonts w:ascii="Times New Roman" w:hAnsi="Times New Roman" w:cs="Times New Roman"/>
          <w:sz w:val="24"/>
          <w:szCs w:val="24"/>
          <w:lang w:val="en-CH"/>
        </w:rPr>
        <w:instrText>ADDIN CSL_CITATION {"citationItems":[{"id":"ITEM-1","itemData":{"DOI":"10.1007/978-3-319-30319-2_17","ISBN":"978-3-319-30319-2","abstract":"Disease monitoring and tracking is of tremendous value, not only for containing the spread of contagious diseases but also for avoiding unnecessary public concerns and even panic. In this chapter, we present a near real-time sentiment analysis service of public health-related tweets. Traditionally, it is impossible for humans to effectively measure the degree of public health concerns due to limited resources and significant time delays. To solve this problem, we have developed a computational intelligenceComputational intelligence\tapproach for Epidemic Sentiment Monitoring System (ESMOS) to automatically analyze the disease sentiments and gauge the Measure of Concern (MOC) expressed by Twitter users. More specifically, we present a knowledge-based approach that employs a disease ontology to detect the outbreak of diseases and to analyze the linguistic expressions that convey subjective expressions and sentiment polarity of emotions, feelings, opinions, personal attitudes, etc. with a sentiment classifier. The two-step sentiment classification method utilizes the subjective vocabulary corpus (MPQA), sentiment strength corpus (AFINN), as well as emoticons and profanity words that are often used in social media postings. It first automatically classifies the tweets into personal and non-personal classes, eliminating many tweets such as non-personal ``retweets'' of news articles from further consideration. In the second stage, the personal tweets are classified into Negative and non-Negative sentiments. In addition, we present a model to quantify the public's Measure of Concern (MOC) about a disease, based on sentiment classification results. The trends of the public MOC are visualized on a timeline. Correlation analyses between MOC timeline and disease-related sentiment category timelines show that the peaks of the MOC are weakly correlated with the peaks of the News timeline without any appreciable time delay or lead. Our sentiment analysis method and the MOC trend analyses can be generalized to other topical domains, such as mental health monitoring and crisis management. We present the ESMOS prototype for public health-related disease monitoring, for public concern trending and for mapping analyses.","author":[{"dropping-particle":"","family":"Ji","given":"Xiang","non-dropping-particle":"","parse-names":false,"suffix":""},{"dropping-particle":"","family":"Chun","given":"Soon Ae","non-dropping-particle":"","parse-names":false,"suffix":""},{"dropping-particle":"","family":"Geller","given":"James","non-dropping-particle":"","parse-names":false,"suffix":""}],"container-title":"Sentiment Analysis and Ontology Engineering: An Environment of Computational Intelligence","editor":[{"dropping-particle":"","family":"Pedrycz","given":"Witold","non-dropping-particle":"","parse-names":false,"suffix":""},{"dropping-particle":"","family":"Chen","given":"Shyi-Ming","non-dropping-particle":"","parse-names":false,"suffix":""}],"id":"ITEM-1","issued":{"date-parts":[["2016"]]},"page":"425-454","publisher":"Springer International Publishing","publisher-place":"Cham","title":"Knowledge-Based Tweet Classification for Disease Sentiment Monitoring","type":"chapter"},"uris":["http://www.mendeley.com/documents/?uuid=7f8c3fc0-e858-4091-a796-bcd91ac51c3b"]}],"mendeley":{"formattedCitation":"(Ji et al., 2016)","plainTextFormattedCitation":"(Ji et al., 2016)","previouslyFormattedCitation":"(Ji et al., 2016)"},"properties":{"noteIndex":0},"schema":"https://github.com/citation-style-language/schema/raw/master/csl-citation.json"}</w:instrText>
      </w:r>
      <w:r>
        <w:rPr>
          <w:rFonts w:ascii="Times New Roman" w:hAnsi="Times New Roman" w:cs="Times New Roman"/>
          <w:sz w:val="24"/>
          <w:szCs w:val="24"/>
          <w:lang w:val="en-CH"/>
        </w:rPr>
        <w:fldChar w:fldCharType="separate"/>
      </w:r>
      <w:r w:rsidRPr="005E555B">
        <w:rPr>
          <w:rFonts w:ascii="Times New Roman" w:hAnsi="Times New Roman" w:cs="Times New Roman"/>
          <w:noProof/>
          <w:sz w:val="24"/>
          <w:szCs w:val="24"/>
          <w:lang w:val="en-CH"/>
        </w:rPr>
        <w:t>(Ji et al., 2016)</w:t>
      </w:r>
      <w:r>
        <w:rPr>
          <w:rFonts w:ascii="Times New Roman" w:hAnsi="Times New Roman" w:cs="Times New Roman"/>
          <w:sz w:val="24"/>
          <w:szCs w:val="24"/>
          <w:lang w:val="en-CH"/>
        </w:rPr>
        <w:fldChar w:fldCharType="end"/>
      </w:r>
      <w:r>
        <w:rPr>
          <w:rFonts w:ascii="Times New Roman" w:hAnsi="Times New Roman" w:cs="Times New Roman"/>
          <w:sz w:val="24"/>
          <w:szCs w:val="24"/>
          <w:lang w:val="en-CH"/>
        </w:rPr>
        <w:t xml:space="preserve">. </w:t>
      </w:r>
      <w:r w:rsidR="000C2E52">
        <w:rPr>
          <w:rFonts w:ascii="Times New Roman" w:hAnsi="Times New Roman" w:cs="Times New Roman"/>
          <w:sz w:val="24"/>
          <w:szCs w:val="24"/>
          <w:lang w:val="en-CH"/>
        </w:rPr>
        <w:t xml:space="preserve">A sentiment based approach to </w:t>
      </w:r>
      <w:r w:rsidR="000C2E52">
        <w:rPr>
          <w:rFonts w:ascii="Times New Roman" w:hAnsi="Times New Roman" w:cs="Times New Roman"/>
          <w:sz w:val="24"/>
          <w:szCs w:val="24"/>
          <w:lang w:val="en-CH"/>
        </w:rPr>
        <w:lastRenderedPageBreak/>
        <w:t xml:space="preserve">analysing the COVID-19 pandemic has already shown good results in both prediction and inference of the general public’s opinion on both mitigation measures and the pandemic as a whole </w:t>
      </w:r>
      <w:r w:rsidR="000C2E52">
        <w:rPr>
          <w:rFonts w:ascii="Times New Roman" w:hAnsi="Times New Roman" w:cs="Times New Roman"/>
          <w:sz w:val="24"/>
          <w:szCs w:val="24"/>
          <w:lang w:val="en-CH"/>
        </w:rPr>
        <w:fldChar w:fldCharType="begin" w:fldLock="1"/>
      </w:r>
      <w:r w:rsidR="000C2E52">
        <w:rPr>
          <w:rFonts w:ascii="Times New Roman" w:hAnsi="Times New Roman" w:cs="Times New Roman"/>
          <w:sz w:val="24"/>
          <w:szCs w:val="24"/>
          <w:lang w:val="en-CH"/>
        </w:rPr>
        <w:instrText>ADDIN CSL_CITATION {"citationItems":[{"id":"ITEM-1","itemData":{"author":[{"dropping-particle":"","family":"Wang","given":"Shihan","non-dropping-particle":"","parse-names":false,"suffix":""},{"dropping-particle":"","family":"Schraagen","given":"Marijn","non-dropping-particle":"","parse-names":false,"suffix":""},{"dropping-particle":"","family":"Sang","given":"Erik Tjong Kim","non-dropping-particle":"","parse-names":false,"suffix":""},{"dropping-particle":"","family":"Dastani","given":"Mehdi","non-dropping-particle":"","parse-names":false,"suffix":""}],"id":"ITEM-1","issued":{"date-parts":[["2020"]]},"title":"Public Sentiment on Governmental COVID-19 Measures in Dutch Social Media","type":"article-journal"},"uris":["http://www.mendeley.com/documents/?uuid=0cf2f944-197c-47c5-a29e-8b7bbc4f8747"]},{"id":"ITEM-2","itemData":{"author":[{"dropping-particle":"","family":"Gilardi","given":"Fabrizio","non-dropping-particle":"","parse-names":false,"suffix":""},{"dropping-particle":"","family":"Gessler","given":"Theresa","non-dropping-particle":"","parse-names":false,"suffix":""},{"dropping-particle":"","family":"Kubli","given":"Maël","non-dropping-particle":"","parse-names":false,"suffix":""},{"dropping-particle":"","family":"Müller","given":"Stefan","non-dropping-particle":"","parse-names":false,"suffix":""}],"id":"ITEM-2","issued":{"date-parts":[["2021"]]},"title":"Social Media and Policy Responses to the COVID-19 Pandemic in Switzerland","type":"article-journal"},"uris":["http://www.mendeley.com/documents/?uuid=bacb0451-e9f2-4bb5-b305-d1430f07cda6"]},{"id":"ITEM-3","itemData":{"author":[{"dropping-particle":"","family":"Aljameel","given":"Sumayh S","non-dropping-particle":"","parse-names":false,"suffix":""},{"dropping-particle":"","family":"Alabbad","given":"Dina A","non-dropping-particle":"","parse-names":false,"suffix":""},{"dropping-particle":"","family":"Alzahrani","given":"Norah A","non-dropping-particle":"","parse-names":false,"suffix":""},{"dropping-particle":"","family":"Alqarni","given":"Shouq M","non-dropping-particle":"","parse-names":false,"suffix":""},{"dropping-particle":"","family":"Alamoudi","given":"Fatimah A","non-dropping-particle":"","parse-names":false,"suffix":""},{"dropping-particle":"","family":"Babili","given":"Lana M","non-dropping-particle":"","parse-names":false,"suffix":""},{"dropping-particle":"","family":"Aljaafary","given":"Somiah K","non-dropping-particle":"","parse-names":false,"suffix":""},{"dropping-particle":"","family":"Alshamrani","given":"Fatima M","non-dropping-particle":"","parse-names":false,"suffix":""}],"container-title":"International journal of environmental research and public health","id":"ITEM-3","issue":"1","issued":{"date-parts":[["2021"]]},"page":"218","publisher":"Multidisciplinary Digital Publishing Institute","title":"A Sentiment Analysis Approach to Predict an Individual’s Awareness of the Precautionary Procedures to Prevent COVID-19 Outbreaks in Saudi Arabia","type":"article-journal","volume":"18"},"uris":["http://www.mendeley.com/documents/?uuid=07ae1fb9-9bd2-4603-a9af-14eeee37d454"]},{"id":"ITEM-4","itemData":{"author":[{"dropping-particle":"","family":"Alomari","given":"Ebtesam","non-dropping-particle":"","parse-names":false,"suffix":""},{"dropping-particle":"","family":"Katib","given":"Iyad","non-dropping-particle":"","parse-names":false,"suffix":""},{"dropping-particle":"","family":"Albeshri","given":"Aiiad","non-dropping-particle":"","parse-names":false,"suffix":""},{"dropping-particle":"","family":"Mehmood","given":"Rashid","non-dropping-particle":"","parse-names":false,"suffix":""}],"container-title":"International Journal of Environmental Research and Public Health","id":"ITEM-4","issue":"1","issued":{"date-parts":[["2021"]]},"page":"282","publisher":"Multidisciplinary Digital Publishing Institute","title":"COVID-19: Detecting Government Pandemic Measures and Public Concerns from Twitter Arabic Data Using Distributed Machine Learning","type":"article-journal","volume":"18"},"uris":["http://www.mendeley.com/documents/?uuid=146dd8be-1235-4fca-883a-73558a3e0611"]}],"mendeley":{"formattedCitation":"(Aljameel et al., 2021; Alomari et al., 2021; Gilardi et al., 2021; Wang et al., 2020)","plainTextFormattedCitation":"(Aljameel et al., 2021; Alomari et al., 2021; Gilardi et al., 2021; Wang et al., 2020)","previouslyFormattedCitation":"(Aljameel et al., 2021; Alomari et al., 2021; Gilardi et al., 2021; Wang et al., 2020)"},"properties":{"noteIndex":0},"schema":"https://github.com/citation-style-language/schema/raw/master/csl-citation.json"}</w:instrText>
      </w:r>
      <w:r w:rsidR="000C2E52">
        <w:rPr>
          <w:rFonts w:ascii="Times New Roman" w:hAnsi="Times New Roman" w:cs="Times New Roman"/>
          <w:sz w:val="24"/>
          <w:szCs w:val="24"/>
          <w:lang w:val="en-CH"/>
        </w:rPr>
        <w:fldChar w:fldCharType="separate"/>
      </w:r>
      <w:r w:rsidR="000C2E52" w:rsidRPr="000C2E52">
        <w:rPr>
          <w:rFonts w:ascii="Times New Roman" w:hAnsi="Times New Roman" w:cs="Times New Roman"/>
          <w:noProof/>
          <w:sz w:val="24"/>
          <w:szCs w:val="24"/>
          <w:lang w:val="en-CH"/>
        </w:rPr>
        <w:t>(Aljameel et al., 2021; Alomari et al., 2021; Gilardi et al., 2021; Wang et al., 2020)</w:t>
      </w:r>
      <w:r w:rsidR="000C2E52">
        <w:rPr>
          <w:rFonts w:ascii="Times New Roman" w:hAnsi="Times New Roman" w:cs="Times New Roman"/>
          <w:sz w:val="24"/>
          <w:szCs w:val="24"/>
          <w:lang w:val="en-CH"/>
        </w:rPr>
        <w:fldChar w:fldCharType="end"/>
      </w:r>
      <w:r w:rsidR="000C2E52">
        <w:rPr>
          <w:rFonts w:ascii="Times New Roman" w:hAnsi="Times New Roman" w:cs="Times New Roman"/>
          <w:sz w:val="24"/>
          <w:szCs w:val="24"/>
          <w:lang w:val="en-CH"/>
        </w:rPr>
        <w:t xml:space="preserve">. Not many studies have tried to measure the direct effect that social media has on a government’s ability to take difficult decisions such as those needed in the fight against COVID-19. A Swiss study on this issue has though found that social media does influence the ability and ease of discussion about mitigation measures by politicians </w:t>
      </w:r>
      <w:r w:rsidR="000C2E52">
        <w:rPr>
          <w:rFonts w:ascii="Times New Roman" w:hAnsi="Times New Roman" w:cs="Times New Roman"/>
          <w:sz w:val="24"/>
          <w:szCs w:val="24"/>
          <w:lang w:val="en-CH"/>
        </w:rPr>
        <w:fldChar w:fldCharType="begin" w:fldLock="1"/>
      </w:r>
      <w:r w:rsidR="000C2E52">
        <w:rPr>
          <w:rFonts w:ascii="Times New Roman" w:hAnsi="Times New Roman" w:cs="Times New Roman"/>
          <w:sz w:val="24"/>
          <w:szCs w:val="24"/>
          <w:lang w:val="en-CH"/>
        </w:rPr>
        <w:instrText>ADDIN CSL_CITATION {"citationItems":[{"id":"ITEM-1","itemData":{"author":[{"dropping-particle":"","family":"Gilardi","given":"Fabrizio","non-dropping-particle":"","parse-names":false,"suffix":""},{"dropping-particle":"","family":"Gessler","given":"Theresa","non-dropping-particle":"","parse-names":false,"suffix":""},{"dropping-particle":"","family":"Kubli","given":"Maël","non-dropping-particle":"","parse-names":false,"suffix":""},{"dropping-particle":"","family":"Müller","given":"Stefan","non-dropping-particle":"","parse-names":false,"suffix":""}],"id":"ITEM-1","issued":{"date-parts":[["2021"]]},"title":"Social Media and Policy Responses to the COVID-19 Pandemic in Switzerland","type":"article-journal"},"uris":["http://www.mendeley.com/documents/?uuid=bacb0451-e9f2-4bb5-b305-d1430f07cda6"]}],"mendeley":{"formattedCitation":"(Gilardi et al., 2021)","plainTextFormattedCitation":"(Gilardi et al., 2021)"},"properties":{"noteIndex":0},"schema":"https://github.com/citation-style-language/schema/raw/master/csl-citation.json"}</w:instrText>
      </w:r>
      <w:r w:rsidR="000C2E52">
        <w:rPr>
          <w:rFonts w:ascii="Times New Roman" w:hAnsi="Times New Roman" w:cs="Times New Roman"/>
          <w:sz w:val="24"/>
          <w:szCs w:val="24"/>
          <w:lang w:val="en-CH"/>
        </w:rPr>
        <w:fldChar w:fldCharType="separate"/>
      </w:r>
      <w:r w:rsidR="000C2E52" w:rsidRPr="000C2E52">
        <w:rPr>
          <w:rFonts w:ascii="Times New Roman" w:hAnsi="Times New Roman" w:cs="Times New Roman"/>
          <w:noProof/>
          <w:sz w:val="24"/>
          <w:szCs w:val="24"/>
          <w:lang w:val="en-CH"/>
        </w:rPr>
        <w:t>(Gilardi et al., 2021)</w:t>
      </w:r>
      <w:r w:rsidR="000C2E52">
        <w:rPr>
          <w:rFonts w:ascii="Times New Roman" w:hAnsi="Times New Roman" w:cs="Times New Roman"/>
          <w:sz w:val="24"/>
          <w:szCs w:val="24"/>
          <w:lang w:val="en-CH"/>
        </w:rPr>
        <w:fldChar w:fldCharType="end"/>
      </w:r>
      <w:r w:rsidR="000C2E52">
        <w:rPr>
          <w:rFonts w:ascii="Times New Roman" w:hAnsi="Times New Roman" w:cs="Times New Roman"/>
          <w:sz w:val="24"/>
          <w:szCs w:val="24"/>
          <w:lang w:val="en-CH"/>
        </w:rPr>
        <w:t xml:space="preserve">. </w:t>
      </w:r>
    </w:p>
    <w:p w14:paraId="6FBF1FD0" w14:textId="6DC86E3A" w:rsidR="00A903DE" w:rsidRPr="005E555B" w:rsidRDefault="00A97DEC">
      <w:pPr>
        <w:rPr>
          <w:rFonts w:ascii="Times New Roman" w:hAnsi="Times New Roman" w:cs="Times New Roman"/>
          <w:sz w:val="24"/>
          <w:szCs w:val="24"/>
          <w:lang w:val="en-CH"/>
        </w:rPr>
      </w:pPr>
      <w:r>
        <w:rPr>
          <w:rFonts w:ascii="Times New Roman" w:hAnsi="Times New Roman" w:cs="Times New Roman"/>
          <w:sz w:val="24"/>
          <w:szCs w:val="24"/>
          <w:lang w:val="en-CH"/>
        </w:rPr>
        <w:t>The pressures from both the daily scientific data about the pandemic’s course and the general public’s opinion must have an influence on governmental decisions and policy making, but the effect that both have on the strictness of decisions remains unclear.</w:t>
      </w:r>
    </w:p>
    <w:p w14:paraId="19353409" w14:textId="77777777" w:rsidR="00D65A37" w:rsidRPr="00D65A37" w:rsidRDefault="00D65A37" w:rsidP="00D65A37">
      <w:pPr>
        <w:spacing w:after="0" w:line="240" w:lineRule="auto"/>
        <w:rPr>
          <w:rFonts w:ascii="Times New Roman" w:eastAsia="Times New Roman" w:hAnsi="Times New Roman" w:cs="Times New Roman"/>
          <w:sz w:val="24"/>
          <w:szCs w:val="24"/>
          <w:lang w:val="en-CH" w:eastAsia="en-CH"/>
        </w:rPr>
      </w:pPr>
      <w:r w:rsidRPr="00D65A37">
        <w:rPr>
          <w:rFonts w:ascii="Times New Roman" w:eastAsia="Times New Roman" w:hAnsi="Times New Roman" w:cs="Times New Roman"/>
          <w:b/>
          <w:bCs/>
          <w:color w:val="000000"/>
          <w:sz w:val="28"/>
          <w:szCs w:val="28"/>
          <w:lang w:val="en-CH" w:eastAsia="en-CH"/>
        </w:rPr>
        <w:t>Plan of Research</w:t>
      </w:r>
    </w:p>
    <w:p w14:paraId="2919FD8F" w14:textId="77777777" w:rsidR="00D65A37" w:rsidRPr="00D65A37" w:rsidRDefault="00D65A37" w:rsidP="00D65A37">
      <w:pPr>
        <w:spacing w:after="0" w:line="240" w:lineRule="auto"/>
        <w:rPr>
          <w:rFonts w:ascii="Times New Roman" w:eastAsia="Times New Roman" w:hAnsi="Times New Roman" w:cs="Times New Roman"/>
          <w:sz w:val="24"/>
          <w:szCs w:val="24"/>
          <w:lang w:val="en-CH" w:eastAsia="en-CH"/>
        </w:rPr>
      </w:pPr>
      <w:r w:rsidRPr="00D65A37">
        <w:rPr>
          <w:rFonts w:ascii="Times New Roman" w:eastAsia="Times New Roman" w:hAnsi="Times New Roman" w:cs="Times New Roman"/>
          <w:color w:val="000000"/>
          <w:sz w:val="24"/>
          <w:szCs w:val="24"/>
          <w:lang w:val="en-CH" w:eastAsia="en-CH"/>
        </w:rPr>
        <w:t xml:space="preserve">In this project, </w:t>
      </w:r>
    </w:p>
    <w:p w14:paraId="65212AF1" w14:textId="77777777" w:rsidR="00D65A37" w:rsidRPr="00D65A37" w:rsidRDefault="00D65A37" w:rsidP="00D65A37">
      <w:pPr>
        <w:spacing w:after="0" w:line="240" w:lineRule="auto"/>
        <w:rPr>
          <w:rFonts w:ascii="Times New Roman" w:eastAsia="Times New Roman" w:hAnsi="Times New Roman" w:cs="Times New Roman"/>
          <w:sz w:val="24"/>
          <w:szCs w:val="24"/>
          <w:lang w:val="en-CH" w:eastAsia="en-CH"/>
        </w:rPr>
      </w:pPr>
      <w:r w:rsidRPr="00D65A37">
        <w:rPr>
          <w:rFonts w:ascii="Times New Roman" w:eastAsia="Times New Roman" w:hAnsi="Times New Roman" w:cs="Times New Roman"/>
          <w:sz w:val="24"/>
          <w:szCs w:val="24"/>
          <w:lang w:val="en-CH" w:eastAsia="en-CH"/>
        </w:rPr>
        <w:t> </w:t>
      </w:r>
    </w:p>
    <w:p w14:paraId="44795124" w14:textId="77777777" w:rsidR="00D65A37" w:rsidRPr="00D65A37" w:rsidRDefault="00D65A37" w:rsidP="00D65A37">
      <w:pPr>
        <w:spacing w:after="0" w:line="240" w:lineRule="auto"/>
        <w:rPr>
          <w:rFonts w:ascii="Times New Roman" w:eastAsia="Times New Roman" w:hAnsi="Times New Roman" w:cs="Times New Roman"/>
          <w:sz w:val="24"/>
          <w:szCs w:val="24"/>
          <w:lang w:val="en-CH" w:eastAsia="en-CH"/>
        </w:rPr>
      </w:pPr>
      <w:r w:rsidRPr="00D65A37">
        <w:rPr>
          <w:rFonts w:ascii="Times New Roman" w:eastAsia="Times New Roman" w:hAnsi="Times New Roman" w:cs="Times New Roman"/>
          <w:color w:val="000000"/>
          <w:sz w:val="24"/>
          <w:szCs w:val="24"/>
          <w:lang w:val="en-CH" w:eastAsia="en-CH"/>
        </w:rPr>
        <w:t>sentiment (neutral, pos, neg).</w:t>
      </w:r>
    </w:p>
    <w:p w14:paraId="7D2ABA00" w14:textId="77777777" w:rsidR="00D65A37" w:rsidRPr="00D65A37" w:rsidRDefault="00D65A37" w:rsidP="00D65A37">
      <w:pPr>
        <w:spacing w:after="0" w:line="240" w:lineRule="auto"/>
        <w:rPr>
          <w:rFonts w:ascii="Times New Roman" w:eastAsia="Times New Roman" w:hAnsi="Times New Roman" w:cs="Times New Roman"/>
          <w:sz w:val="24"/>
          <w:szCs w:val="24"/>
          <w:lang w:val="en-CH" w:eastAsia="en-CH"/>
        </w:rPr>
      </w:pPr>
      <w:r w:rsidRPr="00D65A37">
        <w:rPr>
          <w:rFonts w:ascii="Times New Roman" w:eastAsia="Times New Roman" w:hAnsi="Times New Roman" w:cs="Times New Roman"/>
          <w:color w:val="000000"/>
          <w:sz w:val="24"/>
          <w:szCs w:val="24"/>
          <w:lang w:val="en-CH" w:eastAsia="en-CH"/>
        </w:rPr>
        <w:t>challenge is that human behaviour does not follow one set of specific rules but rather tends to change from one community to another and from one person to another. </w:t>
      </w:r>
      <w:r w:rsidRPr="00D65A37">
        <w:rPr>
          <w:rFonts w:ascii="Times New Roman" w:eastAsia="Times New Roman" w:hAnsi="Times New Roman" w:cs="Times New Roman"/>
          <w:color w:val="4472C4"/>
          <w:sz w:val="24"/>
          <w:szCs w:val="24"/>
          <w:lang w:val="en-CH" w:eastAsia="en-CH"/>
        </w:rPr>
        <w:t>In answer to this the sentiment analysis algorithms basically work through dictionaries and give a polarity to each token (see tokenization) based on the word’s usage in language.</w:t>
      </w:r>
    </w:p>
    <w:p w14:paraId="6B2E8FBA" w14:textId="77777777" w:rsidR="00D65A37" w:rsidRPr="00D65A37" w:rsidRDefault="00D65A37" w:rsidP="00D65A37">
      <w:pPr>
        <w:spacing w:after="0" w:line="240" w:lineRule="auto"/>
        <w:rPr>
          <w:rFonts w:ascii="Times New Roman" w:eastAsia="Times New Roman" w:hAnsi="Times New Roman" w:cs="Times New Roman"/>
          <w:sz w:val="24"/>
          <w:szCs w:val="24"/>
          <w:lang w:val="en-CH" w:eastAsia="en-CH"/>
        </w:rPr>
      </w:pPr>
      <w:r w:rsidRPr="00D65A37">
        <w:rPr>
          <w:rFonts w:ascii="Times New Roman" w:eastAsia="Times New Roman" w:hAnsi="Times New Roman" w:cs="Times New Roman"/>
          <w:color w:val="2F5696"/>
          <w:sz w:val="24"/>
          <w:szCs w:val="24"/>
          <w:lang w:val="en-CH" w:eastAsia="en-CH"/>
        </w:rPr>
        <w:t>Alessandro: I agree with this; that’s why possibly including more countries could be interesting (</w:t>
      </w:r>
      <w:proofErr w:type="spellStart"/>
      <w:r w:rsidRPr="00D65A37">
        <w:rPr>
          <w:rFonts w:ascii="Times New Roman" w:eastAsia="Times New Roman" w:hAnsi="Times New Roman" w:cs="Times New Roman"/>
          <w:color w:val="2F5696"/>
          <w:sz w:val="24"/>
          <w:szCs w:val="24"/>
          <w:lang w:val="en-CH" w:eastAsia="en-CH"/>
        </w:rPr>
        <w:t>i.e</w:t>
      </w:r>
      <w:proofErr w:type="spellEnd"/>
      <w:r w:rsidRPr="00D65A37">
        <w:rPr>
          <w:rFonts w:ascii="Times New Roman" w:eastAsia="Times New Roman" w:hAnsi="Times New Roman" w:cs="Times New Roman"/>
          <w:color w:val="2F5696"/>
          <w:sz w:val="24"/>
          <w:szCs w:val="24"/>
          <w:lang w:val="en-CH" w:eastAsia="en-CH"/>
        </w:rPr>
        <w:t xml:space="preserve"> English speaking countries, Italy since I speak Italian and could translate the searched words in the algorithm, and </w:t>
      </w:r>
      <w:proofErr w:type="spellStart"/>
      <w:r w:rsidRPr="00D65A37">
        <w:rPr>
          <w:rFonts w:ascii="Times New Roman" w:eastAsia="Times New Roman" w:hAnsi="Times New Roman" w:cs="Times New Roman"/>
          <w:color w:val="2F5696"/>
          <w:sz w:val="24"/>
          <w:szCs w:val="24"/>
          <w:lang w:val="en-CH" w:eastAsia="en-CH"/>
        </w:rPr>
        <w:t>Switzerlan</w:t>
      </w:r>
      <w:proofErr w:type="spellEnd"/>
      <w:r w:rsidRPr="00D65A37">
        <w:rPr>
          <w:rFonts w:ascii="Times New Roman" w:eastAsia="Times New Roman" w:hAnsi="Times New Roman" w:cs="Times New Roman"/>
          <w:color w:val="2F5696"/>
          <w:sz w:val="24"/>
          <w:szCs w:val="24"/>
          <w:lang w:val="en-CH" w:eastAsia="en-CH"/>
        </w:rPr>
        <w:t>/Germany?)</w:t>
      </w:r>
    </w:p>
    <w:p w14:paraId="744CCAFA" w14:textId="77777777" w:rsidR="00D65A37" w:rsidRPr="00D65A37" w:rsidRDefault="00D65A37" w:rsidP="00D65A37">
      <w:pPr>
        <w:spacing w:after="0" w:line="240" w:lineRule="auto"/>
        <w:rPr>
          <w:rFonts w:ascii="Times New Roman" w:eastAsia="Times New Roman" w:hAnsi="Times New Roman" w:cs="Times New Roman"/>
          <w:sz w:val="24"/>
          <w:szCs w:val="24"/>
          <w:lang w:val="en-CH" w:eastAsia="en-CH"/>
        </w:rPr>
      </w:pPr>
      <w:r w:rsidRPr="00D65A37">
        <w:rPr>
          <w:rFonts w:ascii="Times New Roman" w:eastAsia="Times New Roman" w:hAnsi="Times New Roman" w:cs="Times New Roman"/>
          <w:sz w:val="24"/>
          <w:szCs w:val="24"/>
          <w:lang w:val="en-CH" w:eastAsia="en-CH"/>
        </w:rPr>
        <w:t> </w:t>
      </w:r>
    </w:p>
    <w:p w14:paraId="4113D520" w14:textId="77777777" w:rsidR="00D65A37" w:rsidRPr="00D65A37" w:rsidRDefault="00D65A37" w:rsidP="00D65A37">
      <w:pPr>
        <w:spacing w:after="0" w:line="240" w:lineRule="auto"/>
        <w:rPr>
          <w:rFonts w:ascii="Times New Roman" w:eastAsia="Times New Roman" w:hAnsi="Times New Roman" w:cs="Times New Roman"/>
          <w:sz w:val="24"/>
          <w:szCs w:val="24"/>
          <w:lang w:val="en-CH" w:eastAsia="en-CH"/>
        </w:rPr>
      </w:pPr>
      <w:r w:rsidRPr="00D65A37">
        <w:rPr>
          <w:rFonts w:ascii="Times New Roman" w:eastAsia="Times New Roman" w:hAnsi="Times New Roman" w:cs="Times New Roman"/>
          <w:i/>
          <w:iCs/>
          <w:color w:val="000000"/>
          <w:sz w:val="24"/>
          <w:szCs w:val="24"/>
          <w:u w:val="single"/>
          <w:lang w:val="en-CH" w:eastAsia="en-CH"/>
        </w:rPr>
        <w:t>Data</w:t>
      </w:r>
    </w:p>
    <w:p w14:paraId="30E413A7" w14:textId="77777777" w:rsidR="00D65A37" w:rsidRPr="00D65A37" w:rsidRDefault="00D65A37" w:rsidP="00D65A37">
      <w:pPr>
        <w:spacing w:after="0" w:line="240" w:lineRule="auto"/>
        <w:rPr>
          <w:rFonts w:ascii="Times New Roman" w:eastAsia="Times New Roman" w:hAnsi="Times New Roman" w:cs="Times New Roman"/>
          <w:sz w:val="24"/>
          <w:szCs w:val="24"/>
          <w:lang w:val="en-CH" w:eastAsia="en-CH"/>
        </w:rPr>
      </w:pPr>
      <w:r w:rsidRPr="00D65A37">
        <w:rPr>
          <w:rFonts w:ascii="Times New Roman" w:eastAsia="Times New Roman" w:hAnsi="Times New Roman" w:cs="Times New Roman"/>
          <w:sz w:val="24"/>
          <w:szCs w:val="24"/>
          <w:lang w:val="en-CH" w:eastAsia="en-CH"/>
        </w:rPr>
        <w:t> </w:t>
      </w:r>
    </w:p>
    <w:p w14:paraId="38D2BE24" w14:textId="77777777" w:rsidR="00D65A37" w:rsidRPr="00D65A37" w:rsidRDefault="00D65A37" w:rsidP="00D65A37">
      <w:pPr>
        <w:numPr>
          <w:ilvl w:val="0"/>
          <w:numId w:val="1"/>
        </w:numPr>
        <w:spacing w:after="0" w:line="240" w:lineRule="auto"/>
        <w:ind w:left="1429"/>
        <w:rPr>
          <w:rFonts w:ascii="Times New Roman" w:eastAsia="Times New Roman" w:hAnsi="Times New Roman" w:cs="Times New Roman"/>
          <w:sz w:val="24"/>
          <w:szCs w:val="24"/>
          <w:lang w:val="en-CH" w:eastAsia="en-CH"/>
        </w:rPr>
      </w:pPr>
      <w:r w:rsidRPr="00D65A37">
        <w:rPr>
          <w:rFonts w:ascii="Times New Roman" w:eastAsia="Times New Roman" w:hAnsi="Times New Roman" w:cs="Times New Roman"/>
          <w:color w:val="4472C4"/>
          <w:sz w:val="24"/>
          <w:szCs w:val="24"/>
          <w:lang w:val="en-CH" w:eastAsia="en-CH"/>
        </w:rPr>
        <w:t xml:space="preserve">the 3 datasets used and where to find </w:t>
      </w:r>
      <w:proofErr w:type="gramStart"/>
      <w:r w:rsidRPr="00D65A37">
        <w:rPr>
          <w:rFonts w:ascii="Times New Roman" w:eastAsia="Times New Roman" w:hAnsi="Times New Roman" w:cs="Times New Roman"/>
          <w:color w:val="4472C4"/>
          <w:sz w:val="24"/>
          <w:szCs w:val="24"/>
          <w:lang w:val="en-CH" w:eastAsia="en-CH"/>
        </w:rPr>
        <w:t>them</w:t>
      </w:r>
      <w:proofErr w:type="gramEnd"/>
    </w:p>
    <w:p w14:paraId="07D54811" w14:textId="77777777" w:rsidR="00D65A37" w:rsidRPr="00D65A37" w:rsidRDefault="00D65A37" w:rsidP="00D65A37">
      <w:pPr>
        <w:numPr>
          <w:ilvl w:val="0"/>
          <w:numId w:val="1"/>
        </w:numPr>
        <w:spacing w:after="0" w:line="240" w:lineRule="auto"/>
        <w:ind w:left="1429"/>
        <w:rPr>
          <w:rFonts w:ascii="Times New Roman" w:eastAsia="Times New Roman" w:hAnsi="Times New Roman" w:cs="Times New Roman"/>
          <w:sz w:val="24"/>
          <w:szCs w:val="24"/>
          <w:lang w:val="en-CH" w:eastAsia="en-CH"/>
        </w:rPr>
      </w:pPr>
      <w:proofErr w:type="spellStart"/>
      <w:r w:rsidRPr="00D65A37">
        <w:rPr>
          <w:rFonts w:ascii="Times New Roman" w:eastAsia="Times New Roman" w:hAnsi="Times New Roman" w:cs="Times New Roman"/>
          <w:color w:val="4472C4"/>
          <w:sz w:val="24"/>
          <w:szCs w:val="24"/>
          <w:lang w:val="en-CH" w:eastAsia="en-CH"/>
        </w:rPr>
        <w:t>coutries</w:t>
      </w:r>
      <w:proofErr w:type="spellEnd"/>
      <w:r w:rsidRPr="00D65A37">
        <w:rPr>
          <w:rFonts w:ascii="Times New Roman" w:eastAsia="Times New Roman" w:hAnsi="Times New Roman" w:cs="Times New Roman"/>
          <w:color w:val="4472C4"/>
          <w:sz w:val="24"/>
          <w:szCs w:val="24"/>
          <w:lang w:val="en-CH" w:eastAsia="en-CH"/>
        </w:rPr>
        <w:t xml:space="preserve">/languages </w:t>
      </w:r>
      <w:proofErr w:type="gramStart"/>
      <w:r w:rsidRPr="00D65A37">
        <w:rPr>
          <w:rFonts w:ascii="Times New Roman" w:eastAsia="Times New Roman" w:hAnsi="Times New Roman" w:cs="Times New Roman"/>
          <w:color w:val="4472C4"/>
          <w:sz w:val="24"/>
          <w:szCs w:val="24"/>
          <w:lang w:val="en-CH" w:eastAsia="en-CH"/>
        </w:rPr>
        <w:t>analysed</w:t>
      </w:r>
      <w:proofErr w:type="gramEnd"/>
    </w:p>
    <w:p w14:paraId="1C3A779D" w14:textId="77777777" w:rsidR="00D65A37" w:rsidRPr="00D65A37" w:rsidRDefault="00D65A37" w:rsidP="00D65A37">
      <w:pPr>
        <w:numPr>
          <w:ilvl w:val="0"/>
          <w:numId w:val="1"/>
        </w:numPr>
        <w:spacing w:after="0" w:line="240" w:lineRule="auto"/>
        <w:ind w:left="1429"/>
        <w:rPr>
          <w:rFonts w:ascii="Times New Roman" w:eastAsia="Times New Roman" w:hAnsi="Times New Roman" w:cs="Times New Roman"/>
          <w:sz w:val="24"/>
          <w:szCs w:val="24"/>
          <w:lang w:val="en-CH" w:eastAsia="en-CH"/>
        </w:rPr>
      </w:pPr>
      <w:r w:rsidRPr="00D65A37">
        <w:rPr>
          <w:rFonts w:ascii="Times New Roman" w:eastAsia="Times New Roman" w:hAnsi="Times New Roman" w:cs="Times New Roman"/>
          <w:color w:val="4472C4"/>
          <w:sz w:val="24"/>
          <w:szCs w:val="24"/>
          <w:lang w:val="en-CH" w:eastAsia="en-CH"/>
        </w:rPr>
        <w:t xml:space="preserve">cleaning procedures (good </w:t>
      </w:r>
      <w:proofErr w:type="spellStart"/>
      <w:r w:rsidRPr="00D65A37">
        <w:rPr>
          <w:rFonts w:ascii="Times New Roman" w:eastAsia="Times New Roman" w:hAnsi="Times New Roman" w:cs="Times New Roman"/>
          <w:color w:val="4472C4"/>
          <w:sz w:val="24"/>
          <w:szCs w:val="24"/>
          <w:lang w:val="en-CH" w:eastAsia="en-CH"/>
        </w:rPr>
        <w:t>explenation</w:t>
      </w:r>
      <w:proofErr w:type="spellEnd"/>
      <w:r w:rsidRPr="00D65A37">
        <w:rPr>
          <w:rFonts w:ascii="Times New Roman" w:eastAsia="Times New Roman" w:hAnsi="Times New Roman" w:cs="Times New Roman"/>
          <w:color w:val="4472C4"/>
          <w:sz w:val="24"/>
          <w:szCs w:val="24"/>
          <w:lang w:val="en-CH" w:eastAsia="en-CH"/>
        </w:rPr>
        <w:t xml:space="preserve"> in </w:t>
      </w:r>
      <w:proofErr w:type="spellStart"/>
      <w:r w:rsidRPr="00D65A37">
        <w:rPr>
          <w:rFonts w:ascii="Times New Roman" w:eastAsia="Times New Roman" w:hAnsi="Times New Roman" w:cs="Times New Roman"/>
          <w:color w:val="4472C4"/>
          <w:sz w:val="24"/>
          <w:szCs w:val="24"/>
          <w:lang w:val="en-CH" w:eastAsia="en-CH"/>
        </w:rPr>
        <w:t>Alamoodi</w:t>
      </w:r>
      <w:proofErr w:type="spellEnd"/>
      <w:r w:rsidRPr="00D65A37">
        <w:rPr>
          <w:rFonts w:ascii="Times New Roman" w:eastAsia="Times New Roman" w:hAnsi="Times New Roman" w:cs="Times New Roman"/>
          <w:color w:val="4472C4"/>
          <w:sz w:val="24"/>
          <w:szCs w:val="24"/>
          <w:lang w:val="en-CH" w:eastAsia="en-CH"/>
        </w:rPr>
        <w:t xml:space="preserve"> 2021)</w:t>
      </w:r>
    </w:p>
    <w:p w14:paraId="0A0B87CC" w14:textId="77777777" w:rsidR="00D65A37" w:rsidRPr="00D65A37" w:rsidRDefault="00D65A37" w:rsidP="00D65A37">
      <w:pPr>
        <w:spacing w:after="0" w:line="240" w:lineRule="auto"/>
        <w:rPr>
          <w:rFonts w:ascii="Times New Roman" w:eastAsia="Times New Roman" w:hAnsi="Times New Roman" w:cs="Times New Roman"/>
          <w:sz w:val="24"/>
          <w:szCs w:val="24"/>
          <w:lang w:val="en-CH" w:eastAsia="en-CH"/>
        </w:rPr>
      </w:pPr>
      <w:r w:rsidRPr="00D65A37">
        <w:rPr>
          <w:rFonts w:ascii="Times New Roman" w:eastAsia="Times New Roman" w:hAnsi="Times New Roman" w:cs="Times New Roman"/>
          <w:i/>
          <w:iCs/>
          <w:color w:val="000000"/>
          <w:sz w:val="24"/>
          <w:szCs w:val="24"/>
          <w:u w:val="single"/>
          <w:lang w:val="en-CH" w:eastAsia="en-CH"/>
        </w:rPr>
        <w:t>Analysis</w:t>
      </w:r>
    </w:p>
    <w:p w14:paraId="776554B4" w14:textId="77777777" w:rsidR="00D65A37" w:rsidRPr="00D65A37" w:rsidRDefault="00D65A37" w:rsidP="00D65A37">
      <w:pPr>
        <w:numPr>
          <w:ilvl w:val="0"/>
          <w:numId w:val="2"/>
        </w:numPr>
        <w:spacing w:after="0" w:line="240" w:lineRule="auto"/>
        <w:ind w:left="1429"/>
        <w:rPr>
          <w:rFonts w:ascii="Times New Roman" w:eastAsia="Times New Roman" w:hAnsi="Times New Roman" w:cs="Times New Roman"/>
          <w:sz w:val="24"/>
          <w:szCs w:val="24"/>
          <w:lang w:val="en-CH" w:eastAsia="en-CH"/>
        </w:rPr>
      </w:pPr>
      <w:r w:rsidRPr="00D65A37">
        <w:rPr>
          <w:rFonts w:ascii="Times New Roman" w:eastAsia="Times New Roman" w:hAnsi="Times New Roman" w:cs="Times New Roman"/>
          <w:color w:val="4472C4"/>
          <w:sz w:val="24"/>
          <w:szCs w:val="24"/>
          <w:lang w:val="en-CH" w:eastAsia="en-CH"/>
        </w:rPr>
        <w:t xml:space="preserve">sentiment analysis (for </w:t>
      </w:r>
      <w:proofErr w:type="spellStart"/>
      <w:r w:rsidRPr="00D65A37">
        <w:rPr>
          <w:rFonts w:ascii="Times New Roman" w:eastAsia="Times New Roman" w:hAnsi="Times New Roman" w:cs="Times New Roman"/>
          <w:color w:val="4472C4"/>
          <w:sz w:val="24"/>
          <w:szCs w:val="24"/>
          <w:lang w:val="en-CH" w:eastAsia="en-CH"/>
        </w:rPr>
        <w:t>tokeinzation</w:t>
      </w:r>
      <w:proofErr w:type="spellEnd"/>
      <w:r w:rsidRPr="00D65A37">
        <w:rPr>
          <w:rFonts w:ascii="Times New Roman" w:eastAsia="Times New Roman" w:hAnsi="Times New Roman" w:cs="Times New Roman"/>
          <w:color w:val="4472C4"/>
          <w:sz w:val="24"/>
          <w:szCs w:val="24"/>
          <w:lang w:val="en-CH" w:eastAsia="en-CH"/>
        </w:rPr>
        <w:t xml:space="preserve"> there is a Python package called </w:t>
      </w:r>
      <w:proofErr w:type="spellStart"/>
      <w:r w:rsidRPr="00D65A37">
        <w:rPr>
          <w:rFonts w:ascii="Times New Roman" w:eastAsia="Times New Roman" w:hAnsi="Times New Roman" w:cs="Times New Roman"/>
          <w:color w:val="4472C4"/>
          <w:sz w:val="24"/>
          <w:szCs w:val="24"/>
          <w:lang w:val="en-CH" w:eastAsia="en-CH"/>
        </w:rPr>
        <w:t>nltk</w:t>
      </w:r>
      <w:proofErr w:type="spellEnd"/>
      <w:r w:rsidRPr="00D65A37">
        <w:rPr>
          <w:rFonts w:ascii="Times New Roman" w:eastAsia="Times New Roman" w:hAnsi="Times New Roman" w:cs="Times New Roman"/>
          <w:color w:val="4472C4"/>
          <w:sz w:val="24"/>
          <w:szCs w:val="24"/>
          <w:lang w:val="en-CH" w:eastAsia="en-CH"/>
        </w:rPr>
        <w:t xml:space="preserve"> which we </w:t>
      </w:r>
      <w:r w:rsidRPr="00D65A37">
        <w:rPr>
          <w:rFonts w:ascii="Times New Roman" w:eastAsia="Times New Roman" w:hAnsi="Times New Roman" w:cs="Times New Roman"/>
          <w:color w:val="4472C4"/>
          <w:sz w:val="24"/>
          <w:szCs w:val="24"/>
          <w:lang w:val="en-CH" w:eastAsia="en-CH"/>
        </w:rPr>
        <w:tab/>
      </w:r>
      <w:r w:rsidRPr="00D65A37">
        <w:rPr>
          <w:rFonts w:ascii="Times New Roman" w:eastAsia="Times New Roman" w:hAnsi="Times New Roman" w:cs="Times New Roman"/>
          <w:color w:val="4472C4"/>
          <w:sz w:val="24"/>
          <w:szCs w:val="24"/>
          <w:lang w:val="en-CH" w:eastAsia="en-CH"/>
        </w:rPr>
        <w:tab/>
        <w:t>will use)</w:t>
      </w:r>
    </w:p>
    <w:p w14:paraId="056F750E" w14:textId="77777777" w:rsidR="00D65A37" w:rsidRPr="00D65A37" w:rsidRDefault="00D65A37" w:rsidP="00D65A37">
      <w:pPr>
        <w:numPr>
          <w:ilvl w:val="0"/>
          <w:numId w:val="2"/>
        </w:numPr>
        <w:spacing w:after="0" w:line="240" w:lineRule="auto"/>
        <w:ind w:left="1429"/>
        <w:rPr>
          <w:rFonts w:ascii="Times New Roman" w:eastAsia="Times New Roman" w:hAnsi="Times New Roman" w:cs="Times New Roman"/>
          <w:sz w:val="24"/>
          <w:szCs w:val="24"/>
          <w:lang w:val="en-CH" w:eastAsia="en-CH"/>
        </w:rPr>
      </w:pPr>
      <w:r w:rsidRPr="00D65A37">
        <w:rPr>
          <w:rFonts w:ascii="Times New Roman" w:eastAsia="Times New Roman" w:hAnsi="Times New Roman" w:cs="Times New Roman"/>
          <w:color w:val="4472C4"/>
          <w:sz w:val="24"/>
          <w:szCs w:val="24"/>
          <w:lang w:val="en-CH" w:eastAsia="en-CH"/>
        </w:rPr>
        <w:t xml:space="preserve">logistic regression to see </w:t>
      </w:r>
      <w:proofErr w:type="gramStart"/>
      <w:r w:rsidRPr="00D65A37">
        <w:rPr>
          <w:rFonts w:ascii="Times New Roman" w:eastAsia="Times New Roman" w:hAnsi="Times New Roman" w:cs="Times New Roman"/>
          <w:color w:val="4472C4"/>
          <w:sz w:val="24"/>
          <w:szCs w:val="24"/>
          <w:lang w:val="en-CH" w:eastAsia="en-CH"/>
        </w:rPr>
        <w:t>effect</w:t>
      </w:r>
      <w:proofErr w:type="gramEnd"/>
    </w:p>
    <w:p w14:paraId="0F4F125D" w14:textId="678034FA" w:rsidR="004C09BA" w:rsidRDefault="004C09BA">
      <w:pPr>
        <w:rPr>
          <w:rFonts w:ascii="Times New Roman" w:hAnsi="Times New Roman" w:cs="Times New Roman"/>
          <w:sz w:val="24"/>
          <w:szCs w:val="24"/>
          <w:lang w:val="en-CH"/>
        </w:rPr>
      </w:pPr>
    </w:p>
    <w:p w14:paraId="3C7D47B1" w14:textId="2D342838" w:rsidR="004C09BA" w:rsidRDefault="004C09BA">
      <w:pPr>
        <w:rPr>
          <w:rFonts w:ascii="Times New Roman" w:hAnsi="Times New Roman" w:cs="Times New Roman"/>
          <w:sz w:val="24"/>
          <w:szCs w:val="24"/>
          <w:lang w:val="en-CH"/>
        </w:rPr>
      </w:pPr>
    </w:p>
    <w:p w14:paraId="44F7BACB" w14:textId="6EC5DE67" w:rsidR="004C09BA" w:rsidRDefault="004C09BA">
      <w:pPr>
        <w:rPr>
          <w:rFonts w:ascii="Times New Roman" w:hAnsi="Times New Roman" w:cs="Times New Roman"/>
          <w:sz w:val="24"/>
          <w:szCs w:val="24"/>
          <w:lang w:val="en-CH"/>
        </w:rPr>
      </w:pPr>
    </w:p>
    <w:p w14:paraId="37F1FB65" w14:textId="594633C5" w:rsidR="004C09BA" w:rsidRDefault="004C09BA">
      <w:pPr>
        <w:rPr>
          <w:rFonts w:ascii="Times New Roman" w:hAnsi="Times New Roman" w:cs="Times New Roman"/>
          <w:sz w:val="24"/>
          <w:szCs w:val="24"/>
          <w:lang w:val="en-CH"/>
        </w:rPr>
      </w:pPr>
    </w:p>
    <w:p w14:paraId="753D03D9" w14:textId="40C9A2A1" w:rsidR="004C09BA" w:rsidRDefault="004C09BA">
      <w:pPr>
        <w:rPr>
          <w:rFonts w:ascii="Times New Roman" w:hAnsi="Times New Roman" w:cs="Times New Roman"/>
          <w:sz w:val="24"/>
          <w:szCs w:val="24"/>
          <w:lang w:val="en-CH"/>
        </w:rPr>
      </w:pPr>
    </w:p>
    <w:p w14:paraId="1270CBA4" w14:textId="0C40FB31" w:rsidR="004C09BA" w:rsidRDefault="004C09BA">
      <w:pPr>
        <w:rPr>
          <w:rFonts w:ascii="Times New Roman" w:hAnsi="Times New Roman" w:cs="Times New Roman"/>
          <w:sz w:val="24"/>
          <w:szCs w:val="24"/>
          <w:lang w:val="en-CH"/>
        </w:rPr>
      </w:pPr>
    </w:p>
    <w:p w14:paraId="33F14B83" w14:textId="4AEAA9B8" w:rsidR="004C09BA" w:rsidRDefault="004C09BA">
      <w:pPr>
        <w:rPr>
          <w:rFonts w:ascii="Times New Roman" w:hAnsi="Times New Roman" w:cs="Times New Roman"/>
          <w:sz w:val="24"/>
          <w:szCs w:val="24"/>
          <w:lang w:val="en-CH"/>
        </w:rPr>
      </w:pPr>
    </w:p>
    <w:p w14:paraId="277DDC79" w14:textId="227FE5A0" w:rsidR="004C09BA" w:rsidRDefault="004C09BA">
      <w:pPr>
        <w:rPr>
          <w:rFonts w:ascii="Times New Roman" w:hAnsi="Times New Roman" w:cs="Times New Roman"/>
          <w:sz w:val="24"/>
          <w:szCs w:val="24"/>
          <w:lang w:val="en-CH"/>
        </w:rPr>
      </w:pPr>
    </w:p>
    <w:p w14:paraId="1F98F289" w14:textId="499D2937" w:rsidR="004C09BA" w:rsidRDefault="004C09BA">
      <w:pPr>
        <w:rPr>
          <w:rFonts w:ascii="Times New Roman" w:hAnsi="Times New Roman" w:cs="Times New Roman"/>
          <w:sz w:val="24"/>
          <w:szCs w:val="24"/>
          <w:lang w:val="en-CH"/>
        </w:rPr>
      </w:pPr>
    </w:p>
    <w:p w14:paraId="2D430CB5" w14:textId="004B3A8C" w:rsidR="004C09BA" w:rsidRDefault="004C09BA">
      <w:pPr>
        <w:rPr>
          <w:rFonts w:ascii="Times New Roman" w:hAnsi="Times New Roman" w:cs="Times New Roman"/>
          <w:sz w:val="24"/>
          <w:szCs w:val="24"/>
          <w:lang w:val="en-CH"/>
        </w:rPr>
      </w:pPr>
    </w:p>
    <w:p w14:paraId="6111C893" w14:textId="0248A6B2" w:rsidR="004C09BA" w:rsidRDefault="004C09BA">
      <w:pPr>
        <w:rPr>
          <w:rFonts w:ascii="Times New Roman" w:hAnsi="Times New Roman" w:cs="Times New Roman"/>
          <w:sz w:val="24"/>
          <w:szCs w:val="24"/>
          <w:lang w:val="en-CH"/>
        </w:rPr>
      </w:pPr>
    </w:p>
    <w:p w14:paraId="382F9CC2" w14:textId="159D8AC2" w:rsidR="004C09BA" w:rsidRDefault="004C09BA">
      <w:pPr>
        <w:rPr>
          <w:rFonts w:ascii="Times New Roman" w:hAnsi="Times New Roman" w:cs="Times New Roman"/>
          <w:sz w:val="24"/>
          <w:szCs w:val="24"/>
          <w:lang w:val="en-CH"/>
        </w:rPr>
      </w:pPr>
    </w:p>
    <w:p w14:paraId="57E0FB82" w14:textId="6D1D8B8E" w:rsidR="004C09BA" w:rsidRDefault="004C09BA">
      <w:pPr>
        <w:rPr>
          <w:rFonts w:ascii="Times New Roman" w:hAnsi="Times New Roman" w:cs="Times New Roman"/>
          <w:sz w:val="24"/>
          <w:szCs w:val="24"/>
          <w:lang w:val="en-CH"/>
        </w:rPr>
      </w:pPr>
    </w:p>
    <w:p w14:paraId="217FC4EB" w14:textId="3DB22870" w:rsidR="004C09BA" w:rsidRDefault="004C09BA">
      <w:pPr>
        <w:rPr>
          <w:rFonts w:ascii="Times New Roman" w:hAnsi="Times New Roman" w:cs="Times New Roman"/>
          <w:sz w:val="24"/>
          <w:szCs w:val="24"/>
          <w:lang w:val="en-CH"/>
        </w:rPr>
      </w:pPr>
    </w:p>
    <w:p w14:paraId="76C62BF2" w14:textId="2B90EC42" w:rsidR="004C09BA" w:rsidRDefault="004C09BA">
      <w:pPr>
        <w:rPr>
          <w:rFonts w:ascii="Times New Roman" w:hAnsi="Times New Roman" w:cs="Times New Roman"/>
          <w:sz w:val="24"/>
          <w:szCs w:val="24"/>
          <w:lang w:val="en-CH"/>
        </w:rPr>
      </w:pPr>
    </w:p>
    <w:p w14:paraId="71C477DD" w14:textId="19375BF6" w:rsidR="004C09BA" w:rsidRDefault="004C09BA">
      <w:pPr>
        <w:rPr>
          <w:rFonts w:ascii="Times New Roman" w:hAnsi="Times New Roman" w:cs="Times New Roman"/>
          <w:sz w:val="24"/>
          <w:szCs w:val="24"/>
          <w:lang w:val="en-CH"/>
        </w:rPr>
      </w:pPr>
    </w:p>
    <w:p w14:paraId="7BCFBDD0" w14:textId="6BB1BF68" w:rsidR="004C09BA" w:rsidRDefault="004C09BA">
      <w:pPr>
        <w:rPr>
          <w:rFonts w:ascii="Times New Roman" w:hAnsi="Times New Roman" w:cs="Times New Roman"/>
          <w:sz w:val="24"/>
          <w:szCs w:val="24"/>
          <w:lang w:val="en-CH"/>
        </w:rPr>
      </w:pPr>
    </w:p>
    <w:p w14:paraId="1D08F9E3" w14:textId="7C672BBD" w:rsidR="004C09BA" w:rsidRDefault="004C09BA">
      <w:pPr>
        <w:rPr>
          <w:rFonts w:ascii="Times New Roman" w:hAnsi="Times New Roman" w:cs="Times New Roman"/>
          <w:sz w:val="24"/>
          <w:szCs w:val="24"/>
          <w:lang w:val="en-CH"/>
        </w:rPr>
      </w:pPr>
    </w:p>
    <w:p w14:paraId="1D05ED4B" w14:textId="076D2500" w:rsidR="004C09BA" w:rsidRDefault="004C09BA">
      <w:pPr>
        <w:rPr>
          <w:rFonts w:ascii="Times New Roman" w:hAnsi="Times New Roman" w:cs="Times New Roman"/>
          <w:sz w:val="24"/>
          <w:szCs w:val="24"/>
          <w:lang w:val="en-CH"/>
        </w:rPr>
      </w:pPr>
    </w:p>
    <w:p w14:paraId="013120CF" w14:textId="54C45454" w:rsidR="004C09BA" w:rsidRDefault="004C09BA">
      <w:pPr>
        <w:rPr>
          <w:rFonts w:ascii="Times New Roman" w:hAnsi="Times New Roman" w:cs="Times New Roman"/>
          <w:sz w:val="24"/>
          <w:szCs w:val="24"/>
          <w:lang w:val="en-CH"/>
        </w:rPr>
      </w:pPr>
    </w:p>
    <w:p w14:paraId="4C47DF9D" w14:textId="7C5A6FA2" w:rsidR="004C09BA" w:rsidRDefault="004C09BA">
      <w:pPr>
        <w:rPr>
          <w:rFonts w:ascii="Times New Roman" w:hAnsi="Times New Roman" w:cs="Times New Roman"/>
          <w:sz w:val="24"/>
          <w:szCs w:val="24"/>
          <w:lang w:val="en-CH"/>
        </w:rPr>
      </w:pPr>
    </w:p>
    <w:p w14:paraId="4E2A835C" w14:textId="2205CB97" w:rsidR="000C2E52" w:rsidRPr="000C2E52" w:rsidRDefault="004C09BA" w:rsidP="000C2E52">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0C2E52" w:rsidRPr="000C2E52">
        <w:rPr>
          <w:rFonts w:ascii="Calibri" w:hAnsi="Calibri" w:cs="Calibri"/>
          <w:noProof/>
          <w:szCs w:val="24"/>
        </w:rPr>
        <w:t xml:space="preserve">Alamoodi, A. H., Zaidan, B. B., Zaidan, A. A., Albahri, O. S., Mohammed, K. I., Malik, R. Q., Almahdi, E. M., Chyad, M. A., Tareq, Z., Albahri, A. S., Hameed, H., &amp; Alaa, M. (2021). Sentiment analysis and its applications in fighting COVID-19 and infectious diseases: A systematic review. </w:t>
      </w:r>
      <w:r w:rsidR="000C2E52" w:rsidRPr="000C2E52">
        <w:rPr>
          <w:rFonts w:ascii="Calibri" w:hAnsi="Calibri" w:cs="Calibri"/>
          <w:i/>
          <w:iCs/>
          <w:noProof/>
          <w:szCs w:val="24"/>
        </w:rPr>
        <w:t>Expert Systems with Applications</w:t>
      </w:r>
      <w:r w:rsidR="000C2E52" w:rsidRPr="000C2E52">
        <w:rPr>
          <w:rFonts w:ascii="Calibri" w:hAnsi="Calibri" w:cs="Calibri"/>
          <w:noProof/>
          <w:szCs w:val="24"/>
        </w:rPr>
        <w:t xml:space="preserve">, </w:t>
      </w:r>
      <w:r w:rsidR="000C2E52" w:rsidRPr="000C2E52">
        <w:rPr>
          <w:rFonts w:ascii="Calibri" w:hAnsi="Calibri" w:cs="Calibri"/>
          <w:i/>
          <w:iCs/>
          <w:noProof/>
          <w:szCs w:val="24"/>
        </w:rPr>
        <w:t>167</w:t>
      </w:r>
      <w:r w:rsidR="000C2E52" w:rsidRPr="000C2E52">
        <w:rPr>
          <w:rFonts w:ascii="Calibri" w:hAnsi="Calibri" w:cs="Calibri"/>
          <w:noProof/>
          <w:szCs w:val="24"/>
        </w:rPr>
        <w:t>, 114155. https://doi.org/10.1016/j.eswa.2020.114155</w:t>
      </w:r>
    </w:p>
    <w:p w14:paraId="4FFE3CF5"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Aljameel, S. S., Alabbad, D. A., Alzahrani, N. A., Alqarni, S. M., Alamoudi, F. A., Babili, L. M., Aljaafary, S. K., &amp; Alshamrani, F. M. (2021). A Sentiment Analysis Approach to Predict an Individual’s Awareness of the Precautionary Procedures to Prevent COVID-19 Outbreaks in Saudi Arabia. </w:t>
      </w:r>
      <w:r w:rsidRPr="000C2E52">
        <w:rPr>
          <w:rFonts w:ascii="Calibri" w:hAnsi="Calibri" w:cs="Calibri"/>
          <w:i/>
          <w:iCs/>
          <w:noProof/>
          <w:szCs w:val="24"/>
        </w:rPr>
        <w:t>International Journal of Environmental Research and Public Health</w:t>
      </w:r>
      <w:r w:rsidRPr="000C2E52">
        <w:rPr>
          <w:rFonts w:ascii="Calibri" w:hAnsi="Calibri" w:cs="Calibri"/>
          <w:noProof/>
          <w:szCs w:val="24"/>
        </w:rPr>
        <w:t xml:space="preserve">, </w:t>
      </w:r>
      <w:r w:rsidRPr="000C2E52">
        <w:rPr>
          <w:rFonts w:ascii="Calibri" w:hAnsi="Calibri" w:cs="Calibri"/>
          <w:i/>
          <w:iCs/>
          <w:noProof/>
          <w:szCs w:val="24"/>
        </w:rPr>
        <w:t>18</w:t>
      </w:r>
      <w:r w:rsidRPr="000C2E52">
        <w:rPr>
          <w:rFonts w:ascii="Calibri" w:hAnsi="Calibri" w:cs="Calibri"/>
          <w:noProof/>
          <w:szCs w:val="24"/>
        </w:rPr>
        <w:t>(1), 218.</w:t>
      </w:r>
    </w:p>
    <w:p w14:paraId="6775695B"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Alomari, E., Katib, I., Albeshri, A., &amp; Mehmood, R. (2021). COVID-19: Detecting Government Pandemic Measures and Public Concerns from Twitter Arabic Data Using Distributed Machine Learning. </w:t>
      </w:r>
      <w:r w:rsidRPr="000C2E52">
        <w:rPr>
          <w:rFonts w:ascii="Calibri" w:hAnsi="Calibri" w:cs="Calibri"/>
          <w:i/>
          <w:iCs/>
          <w:noProof/>
          <w:szCs w:val="24"/>
        </w:rPr>
        <w:t>International Journal of Environmental Research and Public Health</w:t>
      </w:r>
      <w:r w:rsidRPr="000C2E52">
        <w:rPr>
          <w:rFonts w:ascii="Calibri" w:hAnsi="Calibri" w:cs="Calibri"/>
          <w:noProof/>
          <w:szCs w:val="24"/>
        </w:rPr>
        <w:t xml:space="preserve">, </w:t>
      </w:r>
      <w:r w:rsidRPr="000C2E52">
        <w:rPr>
          <w:rFonts w:ascii="Calibri" w:hAnsi="Calibri" w:cs="Calibri"/>
          <w:i/>
          <w:iCs/>
          <w:noProof/>
          <w:szCs w:val="24"/>
        </w:rPr>
        <w:t>18</w:t>
      </w:r>
      <w:r w:rsidRPr="000C2E52">
        <w:rPr>
          <w:rFonts w:ascii="Calibri" w:hAnsi="Calibri" w:cs="Calibri"/>
          <w:noProof/>
          <w:szCs w:val="24"/>
        </w:rPr>
        <w:t>(1), 282.</w:t>
      </w:r>
    </w:p>
    <w:p w14:paraId="1E57A68C"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Anderson, R. M., Heesterbeek, H., Klinkenberg, D., &amp; Hollingsworth, T. D. (2020). </w:t>
      </w:r>
      <w:r w:rsidRPr="000C2E52">
        <w:rPr>
          <w:rFonts w:ascii="Calibri" w:hAnsi="Calibri" w:cs="Calibri"/>
          <w:i/>
          <w:iCs/>
          <w:noProof/>
          <w:szCs w:val="24"/>
        </w:rPr>
        <w:t>How will country-based mitigation measures influence the course of the COVID-19 epidemic ?</w:t>
      </w:r>
      <w:r w:rsidRPr="000C2E52">
        <w:rPr>
          <w:rFonts w:ascii="Calibri" w:hAnsi="Calibri" w:cs="Calibri"/>
          <w:noProof/>
          <w:szCs w:val="24"/>
        </w:rPr>
        <w:t xml:space="preserve"> </w:t>
      </w:r>
      <w:r w:rsidRPr="000C2E52">
        <w:rPr>
          <w:rFonts w:ascii="Calibri" w:hAnsi="Calibri" w:cs="Calibri"/>
          <w:i/>
          <w:iCs/>
          <w:noProof/>
          <w:szCs w:val="24"/>
        </w:rPr>
        <w:t>2019</w:t>
      </w:r>
      <w:r w:rsidRPr="000C2E52">
        <w:rPr>
          <w:rFonts w:ascii="Calibri" w:hAnsi="Calibri" w:cs="Calibri"/>
          <w:noProof/>
          <w:szCs w:val="24"/>
        </w:rPr>
        <w:t>(20), 931–934. https://doi.org/10.1016/S0140-6736(20)30567-5</w:t>
      </w:r>
    </w:p>
    <w:p w14:paraId="239CFE36"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Bassetti, M., Vena, A., &amp; Giacobbe, D. R. (2020). The novel Chinese coronavirus (2019-nCoV) infections: Challenges for fighting the storm. </w:t>
      </w:r>
      <w:r w:rsidRPr="000C2E52">
        <w:rPr>
          <w:rFonts w:ascii="Calibri" w:hAnsi="Calibri" w:cs="Calibri"/>
          <w:i/>
          <w:iCs/>
          <w:noProof/>
          <w:szCs w:val="24"/>
        </w:rPr>
        <w:t>European Journal of Clinical Investigation</w:t>
      </w:r>
      <w:r w:rsidRPr="000C2E52">
        <w:rPr>
          <w:rFonts w:ascii="Calibri" w:hAnsi="Calibri" w:cs="Calibri"/>
          <w:noProof/>
          <w:szCs w:val="24"/>
        </w:rPr>
        <w:t xml:space="preserve">, </w:t>
      </w:r>
      <w:r w:rsidRPr="000C2E52">
        <w:rPr>
          <w:rFonts w:ascii="Calibri" w:hAnsi="Calibri" w:cs="Calibri"/>
          <w:i/>
          <w:iCs/>
          <w:noProof/>
          <w:szCs w:val="24"/>
        </w:rPr>
        <w:t>50</w:t>
      </w:r>
      <w:r w:rsidRPr="000C2E52">
        <w:rPr>
          <w:rFonts w:ascii="Calibri" w:hAnsi="Calibri" w:cs="Calibri"/>
          <w:noProof/>
          <w:szCs w:val="24"/>
        </w:rPr>
        <w:t>(3), e13209. https://doi.org/10.1111/eci.13209</w:t>
      </w:r>
    </w:p>
    <w:p w14:paraId="58D11DAE"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Chan, J. F.-W., Yuan, S., Kok, K.-H., To, K. K.-W., Chu, H., Yang, J., Xing, F., Liu, J., Yip, C. C.-Y., Poon, R. W.-S., Tsoi, H.-W., Lo, S. K.-F., Chan, K.-H., Poon, V. K.-M., Chan, W.-M., Ip, J. D., Cai, J.-P., Cheng, V. C.-C., Chen, H., … Yuen, K.-Y. (2020). A familial cluster of pneumonia associated with the 2019 novel coronavirus indicating person-to-person transmission: a study of a family cluster. </w:t>
      </w:r>
      <w:r w:rsidRPr="000C2E52">
        <w:rPr>
          <w:rFonts w:ascii="Calibri" w:hAnsi="Calibri" w:cs="Calibri"/>
          <w:i/>
          <w:iCs/>
          <w:noProof/>
          <w:szCs w:val="24"/>
        </w:rPr>
        <w:t>The Lancet</w:t>
      </w:r>
      <w:r w:rsidRPr="000C2E52">
        <w:rPr>
          <w:rFonts w:ascii="Calibri" w:hAnsi="Calibri" w:cs="Calibri"/>
          <w:noProof/>
          <w:szCs w:val="24"/>
        </w:rPr>
        <w:t xml:space="preserve">, </w:t>
      </w:r>
      <w:r w:rsidRPr="000C2E52">
        <w:rPr>
          <w:rFonts w:ascii="Calibri" w:hAnsi="Calibri" w:cs="Calibri"/>
          <w:i/>
          <w:iCs/>
          <w:noProof/>
          <w:szCs w:val="24"/>
        </w:rPr>
        <w:t>395</w:t>
      </w:r>
      <w:r w:rsidRPr="000C2E52">
        <w:rPr>
          <w:rFonts w:ascii="Calibri" w:hAnsi="Calibri" w:cs="Calibri"/>
          <w:noProof/>
          <w:szCs w:val="24"/>
        </w:rPr>
        <w:t>(10223), 514–523. https://doi.org/https://doi.org/10.1016/S0140-6736(20)30154-9</w:t>
      </w:r>
    </w:p>
    <w:p w14:paraId="696C81A9"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Chung, W., He, S., &amp; Zeng, D. (2015). </w:t>
      </w:r>
      <w:r w:rsidRPr="000C2E52">
        <w:rPr>
          <w:rFonts w:ascii="Calibri" w:hAnsi="Calibri" w:cs="Calibri"/>
          <w:i/>
          <w:iCs/>
          <w:noProof/>
          <w:szCs w:val="24"/>
        </w:rPr>
        <w:t>eMood: Modeling emotion for social media analytics on Ebola disease outbreak</w:t>
      </w:r>
      <w:r w:rsidRPr="000C2E52">
        <w:rPr>
          <w:rFonts w:ascii="Calibri" w:hAnsi="Calibri" w:cs="Calibri"/>
          <w:noProof/>
          <w:szCs w:val="24"/>
        </w:rPr>
        <w:t>.</w:t>
      </w:r>
    </w:p>
    <w:p w14:paraId="02B72E5A"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DeNardis, L., &amp; Hackl, A. M. (2015). Internet governance by social media platforms. </w:t>
      </w:r>
      <w:r w:rsidRPr="000C2E52">
        <w:rPr>
          <w:rFonts w:ascii="Calibri" w:hAnsi="Calibri" w:cs="Calibri"/>
          <w:i/>
          <w:iCs/>
          <w:noProof/>
          <w:szCs w:val="24"/>
        </w:rPr>
        <w:t>Telecommunications Policy</w:t>
      </w:r>
      <w:r w:rsidRPr="000C2E52">
        <w:rPr>
          <w:rFonts w:ascii="Calibri" w:hAnsi="Calibri" w:cs="Calibri"/>
          <w:noProof/>
          <w:szCs w:val="24"/>
        </w:rPr>
        <w:t xml:space="preserve">, </w:t>
      </w:r>
      <w:r w:rsidRPr="000C2E52">
        <w:rPr>
          <w:rFonts w:ascii="Calibri" w:hAnsi="Calibri" w:cs="Calibri"/>
          <w:i/>
          <w:iCs/>
          <w:noProof/>
          <w:szCs w:val="24"/>
        </w:rPr>
        <w:t>39</w:t>
      </w:r>
      <w:r w:rsidRPr="000C2E52">
        <w:rPr>
          <w:rFonts w:ascii="Calibri" w:hAnsi="Calibri" w:cs="Calibri"/>
          <w:noProof/>
          <w:szCs w:val="24"/>
        </w:rPr>
        <w:t>(9), 761–770. https://doi.org/https://doi.org/10.1016/j.telpol.2015.04.003</w:t>
      </w:r>
    </w:p>
    <w:p w14:paraId="4879F322"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lastRenderedPageBreak/>
        <w:t xml:space="preserve">Fang, Y., Nie, Y., &amp; Penny, M. (2020). Transmission dynamics of the COVID-19 outbreak and effectiveness of government interventions: A data-driven analysis. </w:t>
      </w:r>
      <w:r w:rsidRPr="000C2E52">
        <w:rPr>
          <w:rFonts w:ascii="Calibri" w:hAnsi="Calibri" w:cs="Calibri"/>
          <w:i/>
          <w:iCs/>
          <w:noProof/>
          <w:szCs w:val="24"/>
        </w:rPr>
        <w:t>Journal of Medical Virology</w:t>
      </w:r>
      <w:r w:rsidRPr="000C2E52">
        <w:rPr>
          <w:rFonts w:ascii="Calibri" w:hAnsi="Calibri" w:cs="Calibri"/>
          <w:noProof/>
          <w:szCs w:val="24"/>
        </w:rPr>
        <w:t xml:space="preserve">, </w:t>
      </w:r>
      <w:r w:rsidRPr="000C2E52">
        <w:rPr>
          <w:rFonts w:ascii="Calibri" w:hAnsi="Calibri" w:cs="Calibri"/>
          <w:i/>
          <w:iCs/>
          <w:noProof/>
          <w:szCs w:val="24"/>
        </w:rPr>
        <w:t>92</w:t>
      </w:r>
      <w:r w:rsidRPr="000C2E52">
        <w:rPr>
          <w:rFonts w:ascii="Calibri" w:hAnsi="Calibri" w:cs="Calibri"/>
          <w:noProof/>
          <w:szCs w:val="24"/>
        </w:rPr>
        <w:t>(6), 645–659. https://doi.org/10.1002/jmv.25750</w:t>
      </w:r>
    </w:p>
    <w:p w14:paraId="0971414A"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Fehr, A. R., &amp; Perlman, S. (2015). </w:t>
      </w:r>
      <w:r w:rsidRPr="000C2E52">
        <w:rPr>
          <w:rFonts w:ascii="Calibri" w:hAnsi="Calibri" w:cs="Calibri"/>
          <w:i/>
          <w:iCs/>
          <w:noProof/>
          <w:szCs w:val="24"/>
        </w:rPr>
        <w:t>Coronaviruses: An Overview of Their Replication and Pathogenesis BT  - Coronaviruses: Methods and Protocols</w:t>
      </w:r>
      <w:r w:rsidRPr="000C2E52">
        <w:rPr>
          <w:rFonts w:ascii="Calibri" w:hAnsi="Calibri" w:cs="Calibri"/>
          <w:noProof/>
          <w:szCs w:val="24"/>
        </w:rPr>
        <w:t xml:space="preserve"> (H. J. Maier, E. Bickerton, &amp; P. Britton (eds.); pp. 1–23). Springer New York. https://doi.org/10.1007/978-1-4939-2438-7_1</w:t>
      </w:r>
    </w:p>
    <w:p w14:paraId="58E26782"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Gilardi, F., Gessler, T., Kubli, M., &amp; Müller, S. (2021). </w:t>
      </w:r>
      <w:r w:rsidRPr="000C2E52">
        <w:rPr>
          <w:rFonts w:ascii="Calibri" w:hAnsi="Calibri" w:cs="Calibri"/>
          <w:i/>
          <w:iCs/>
          <w:noProof/>
          <w:szCs w:val="24"/>
        </w:rPr>
        <w:t>Social Media and Policy Responses to the COVID-19 Pandemic in Switzerland</w:t>
      </w:r>
      <w:r w:rsidRPr="000C2E52">
        <w:rPr>
          <w:rFonts w:ascii="Calibri" w:hAnsi="Calibri" w:cs="Calibri"/>
          <w:noProof/>
          <w:szCs w:val="24"/>
        </w:rPr>
        <w:t>.</w:t>
      </w:r>
    </w:p>
    <w:p w14:paraId="00A9C5D7"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Huang, C., Wang, Y., Li, X., Ren, L., Zhao, J., Hu, Y., Zhang, L., Fan, G., Xu, J., Gu, X., Cheng, Z., Yu, T., Xia, J., Wei, Y., Wu, W., Xie, X., Yin, W., Li, H., Liu, M., … Cao, B. (2020). Clinical features of patients infected with 2019 novel coronavirus in Wuhan, China. </w:t>
      </w:r>
      <w:r w:rsidRPr="000C2E52">
        <w:rPr>
          <w:rFonts w:ascii="Calibri" w:hAnsi="Calibri" w:cs="Calibri"/>
          <w:i/>
          <w:iCs/>
          <w:noProof/>
          <w:szCs w:val="24"/>
        </w:rPr>
        <w:t>The Lancet</w:t>
      </w:r>
      <w:r w:rsidRPr="000C2E52">
        <w:rPr>
          <w:rFonts w:ascii="Calibri" w:hAnsi="Calibri" w:cs="Calibri"/>
          <w:noProof/>
          <w:szCs w:val="24"/>
        </w:rPr>
        <w:t xml:space="preserve">, </w:t>
      </w:r>
      <w:r w:rsidRPr="000C2E52">
        <w:rPr>
          <w:rFonts w:ascii="Calibri" w:hAnsi="Calibri" w:cs="Calibri"/>
          <w:i/>
          <w:iCs/>
          <w:noProof/>
          <w:szCs w:val="24"/>
        </w:rPr>
        <w:t>395</w:t>
      </w:r>
      <w:r w:rsidRPr="000C2E52">
        <w:rPr>
          <w:rFonts w:ascii="Calibri" w:hAnsi="Calibri" w:cs="Calibri"/>
          <w:noProof/>
          <w:szCs w:val="24"/>
        </w:rPr>
        <w:t>(10223), 497–506. https://doi.org/https://doi.org/10.1016/S0140-6736(20)30183-5</w:t>
      </w:r>
    </w:p>
    <w:p w14:paraId="0C1773E5"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Ji, X., Chun, S. A., &amp; Geller, J. (2016). Knowledge-Based Tweet Classification for Disease Sentiment Monitoring. In W. Pedrycz &amp; S.-M. Chen (Eds.), </w:t>
      </w:r>
      <w:r w:rsidRPr="000C2E52">
        <w:rPr>
          <w:rFonts w:ascii="Calibri" w:hAnsi="Calibri" w:cs="Calibri"/>
          <w:i/>
          <w:iCs/>
          <w:noProof/>
          <w:szCs w:val="24"/>
        </w:rPr>
        <w:t>Sentiment Analysis and Ontology Engineering: An Environment of Computational Intelligence</w:t>
      </w:r>
      <w:r w:rsidRPr="000C2E52">
        <w:rPr>
          <w:rFonts w:ascii="Calibri" w:hAnsi="Calibri" w:cs="Calibri"/>
          <w:noProof/>
          <w:szCs w:val="24"/>
        </w:rPr>
        <w:t xml:space="preserve"> (pp. 425–454). Springer International Publishing. https://doi.org/10.1007/978-3-319-30319-2_17</w:t>
      </w:r>
    </w:p>
    <w:p w14:paraId="7AC5C0CD"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Liu, Y., Gayle, A. A., Wilder-smith, A., &amp; Rocklöv, J. (2020). </w:t>
      </w:r>
      <w:r w:rsidRPr="000C2E52">
        <w:rPr>
          <w:rFonts w:ascii="Calibri" w:hAnsi="Calibri" w:cs="Calibri"/>
          <w:i/>
          <w:iCs/>
          <w:noProof/>
          <w:szCs w:val="24"/>
        </w:rPr>
        <w:t>The reproductive number of COVID-19 is higher compared to SARS coronavirus</w:t>
      </w:r>
      <w:r w:rsidRPr="000C2E52">
        <w:rPr>
          <w:rFonts w:ascii="Calibri" w:hAnsi="Calibri" w:cs="Calibri"/>
          <w:noProof/>
          <w:szCs w:val="24"/>
        </w:rPr>
        <w:t xml:space="preserve">. </w:t>
      </w:r>
      <w:r w:rsidRPr="000C2E52">
        <w:rPr>
          <w:rFonts w:ascii="Calibri" w:hAnsi="Calibri" w:cs="Calibri"/>
          <w:i/>
          <w:iCs/>
          <w:noProof/>
          <w:szCs w:val="24"/>
        </w:rPr>
        <w:t>Figure 1</w:t>
      </w:r>
      <w:r w:rsidRPr="000C2E52">
        <w:rPr>
          <w:rFonts w:ascii="Calibri" w:hAnsi="Calibri" w:cs="Calibri"/>
          <w:noProof/>
          <w:szCs w:val="24"/>
        </w:rPr>
        <w:t>, 1–4. https://doi.org/10.1093/jtm/taaa021</w:t>
      </w:r>
    </w:p>
    <w:p w14:paraId="0F826F0D"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Lu, H., Stratton, C. W., &amp; Tang, Y.-W. (2020). Outbreak of pneumonia of unknown etiology in Wuhan, China: The mystery and the miracle. </w:t>
      </w:r>
      <w:r w:rsidRPr="000C2E52">
        <w:rPr>
          <w:rFonts w:ascii="Calibri" w:hAnsi="Calibri" w:cs="Calibri"/>
          <w:i/>
          <w:iCs/>
          <w:noProof/>
          <w:szCs w:val="24"/>
        </w:rPr>
        <w:t>Journal of Medical Virology</w:t>
      </w:r>
      <w:r w:rsidRPr="000C2E52">
        <w:rPr>
          <w:rFonts w:ascii="Calibri" w:hAnsi="Calibri" w:cs="Calibri"/>
          <w:noProof/>
          <w:szCs w:val="24"/>
        </w:rPr>
        <w:t xml:space="preserve">, </w:t>
      </w:r>
      <w:r w:rsidRPr="000C2E52">
        <w:rPr>
          <w:rFonts w:ascii="Calibri" w:hAnsi="Calibri" w:cs="Calibri"/>
          <w:i/>
          <w:iCs/>
          <w:noProof/>
          <w:szCs w:val="24"/>
        </w:rPr>
        <w:t>92</w:t>
      </w:r>
      <w:r w:rsidRPr="000C2E52">
        <w:rPr>
          <w:rFonts w:ascii="Calibri" w:hAnsi="Calibri" w:cs="Calibri"/>
          <w:noProof/>
          <w:szCs w:val="24"/>
        </w:rPr>
        <w:t>(4), 401–402. https://doi.org/10.1002/jmv.25678</w:t>
      </w:r>
    </w:p>
    <w:p w14:paraId="19EAF741"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Lu, R., Zhao, X., Li, J., Niu, P., Yang, B., Wu, H., Wang, W., Song, H., Huang, B., Zhu, N., Bi, Y., Ma, X., Zhan, F., Wang, L., Hu, T., Zhou, H., Hu, Z., Zhou, W., Zhao, L., … Tan, W. (2020). Genomic characterisation and epidemiology of 2019 novel coronavirus: implications for virus origins and receptor binding. </w:t>
      </w:r>
      <w:r w:rsidRPr="000C2E52">
        <w:rPr>
          <w:rFonts w:ascii="Calibri" w:hAnsi="Calibri" w:cs="Calibri"/>
          <w:i/>
          <w:iCs/>
          <w:noProof/>
          <w:szCs w:val="24"/>
        </w:rPr>
        <w:t>The Lancet</w:t>
      </w:r>
      <w:r w:rsidRPr="000C2E52">
        <w:rPr>
          <w:rFonts w:ascii="Calibri" w:hAnsi="Calibri" w:cs="Calibri"/>
          <w:noProof/>
          <w:szCs w:val="24"/>
        </w:rPr>
        <w:t xml:space="preserve">, </w:t>
      </w:r>
      <w:r w:rsidRPr="000C2E52">
        <w:rPr>
          <w:rFonts w:ascii="Calibri" w:hAnsi="Calibri" w:cs="Calibri"/>
          <w:i/>
          <w:iCs/>
          <w:noProof/>
          <w:szCs w:val="24"/>
        </w:rPr>
        <w:t>395</w:t>
      </w:r>
      <w:r w:rsidRPr="000C2E52">
        <w:rPr>
          <w:rFonts w:ascii="Calibri" w:hAnsi="Calibri" w:cs="Calibri"/>
          <w:noProof/>
          <w:szCs w:val="24"/>
        </w:rPr>
        <w:t>(10224), 565–574. https://doi.org/https://doi.org/10.1016/S0140-6736(20)30251-8</w:t>
      </w:r>
    </w:p>
    <w:p w14:paraId="661C2E8F"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Pastor, C. K. (2020). Sentiment analysis of Filipinos and effects of extreme community quarantine due to coronavirus (Covid-19) pandemic. </w:t>
      </w:r>
      <w:r w:rsidRPr="000C2E52">
        <w:rPr>
          <w:rFonts w:ascii="Calibri" w:hAnsi="Calibri" w:cs="Calibri"/>
          <w:i/>
          <w:iCs/>
          <w:noProof/>
          <w:szCs w:val="24"/>
        </w:rPr>
        <w:t>Available at SSRN 3574385</w:t>
      </w:r>
      <w:r w:rsidRPr="000C2E52">
        <w:rPr>
          <w:rFonts w:ascii="Calibri" w:hAnsi="Calibri" w:cs="Calibri"/>
          <w:noProof/>
          <w:szCs w:val="24"/>
        </w:rPr>
        <w:t>.</w:t>
      </w:r>
    </w:p>
    <w:p w14:paraId="62331BC2"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Rothan, H. A., &amp; Byrareddy, S. N. (2020). The epidemiology and pathogenesis of coronavirus disease ( COVID-19 ) outbreak. </w:t>
      </w:r>
      <w:r w:rsidRPr="000C2E52">
        <w:rPr>
          <w:rFonts w:ascii="Calibri" w:hAnsi="Calibri" w:cs="Calibri"/>
          <w:i/>
          <w:iCs/>
          <w:noProof/>
          <w:szCs w:val="24"/>
        </w:rPr>
        <w:t>Journal of Autoimmunity</w:t>
      </w:r>
      <w:r w:rsidRPr="000C2E52">
        <w:rPr>
          <w:rFonts w:ascii="Calibri" w:hAnsi="Calibri" w:cs="Calibri"/>
          <w:noProof/>
          <w:szCs w:val="24"/>
        </w:rPr>
        <w:t xml:space="preserve">, </w:t>
      </w:r>
      <w:r w:rsidRPr="000C2E52">
        <w:rPr>
          <w:rFonts w:ascii="Calibri" w:hAnsi="Calibri" w:cs="Calibri"/>
          <w:i/>
          <w:iCs/>
          <w:noProof/>
          <w:szCs w:val="24"/>
        </w:rPr>
        <w:t>109</w:t>
      </w:r>
      <w:r w:rsidRPr="000C2E52">
        <w:rPr>
          <w:rFonts w:ascii="Calibri" w:hAnsi="Calibri" w:cs="Calibri"/>
          <w:noProof/>
          <w:szCs w:val="24"/>
        </w:rPr>
        <w:t>(February), 102433. https://doi.org/10.1016/j.jaut.2020.102433</w:t>
      </w:r>
    </w:p>
    <w:p w14:paraId="5DBCCC53"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Sohrabi, C., Alsafi, Z., Neill, N. O., Khan, M., Kerwan, A., Al-jabir, A., Iosifidis, C., &amp; Agha, R. (2020). World Health Organization declares global emergency : A review of the 2019 novel coronavirus ( COVID-19 ). </w:t>
      </w:r>
      <w:r w:rsidRPr="000C2E52">
        <w:rPr>
          <w:rFonts w:ascii="Calibri" w:hAnsi="Calibri" w:cs="Calibri"/>
          <w:i/>
          <w:iCs/>
          <w:noProof/>
          <w:szCs w:val="24"/>
        </w:rPr>
        <w:t>International Journal of Surgery</w:t>
      </w:r>
      <w:r w:rsidRPr="000C2E52">
        <w:rPr>
          <w:rFonts w:ascii="Calibri" w:hAnsi="Calibri" w:cs="Calibri"/>
          <w:noProof/>
          <w:szCs w:val="24"/>
        </w:rPr>
        <w:t xml:space="preserve">, </w:t>
      </w:r>
      <w:r w:rsidRPr="000C2E52">
        <w:rPr>
          <w:rFonts w:ascii="Calibri" w:hAnsi="Calibri" w:cs="Calibri"/>
          <w:i/>
          <w:iCs/>
          <w:noProof/>
          <w:szCs w:val="24"/>
        </w:rPr>
        <w:t>76</w:t>
      </w:r>
      <w:r w:rsidRPr="000C2E52">
        <w:rPr>
          <w:rFonts w:ascii="Calibri" w:hAnsi="Calibri" w:cs="Calibri"/>
          <w:noProof/>
          <w:szCs w:val="24"/>
        </w:rPr>
        <w:t>(February), 71–76. https://doi.org/10.1016/j.ijsu.2020.02.034</w:t>
      </w:r>
    </w:p>
    <w:p w14:paraId="2EF766BE"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rPr>
      </w:pPr>
      <w:r w:rsidRPr="000C2E52">
        <w:rPr>
          <w:rFonts w:ascii="Calibri" w:hAnsi="Calibri" w:cs="Calibri"/>
          <w:noProof/>
          <w:szCs w:val="24"/>
        </w:rPr>
        <w:t xml:space="preserve">Wang, S., Schraagen, M., Sang, E. T. K., &amp; Dastani, M. (2020). </w:t>
      </w:r>
      <w:r w:rsidRPr="000C2E52">
        <w:rPr>
          <w:rFonts w:ascii="Calibri" w:hAnsi="Calibri" w:cs="Calibri"/>
          <w:i/>
          <w:iCs/>
          <w:noProof/>
          <w:szCs w:val="24"/>
        </w:rPr>
        <w:t>Public Sentiment on Governmental COVID-19 Measures in Dutch Social Media</w:t>
      </w:r>
      <w:r w:rsidRPr="000C2E52">
        <w:rPr>
          <w:rFonts w:ascii="Calibri" w:hAnsi="Calibri" w:cs="Calibri"/>
          <w:noProof/>
          <w:szCs w:val="24"/>
        </w:rPr>
        <w:t>.</w:t>
      </w:r>
    </w:p>
    <w:p w14:paraId="3479A5BE" w14:textId="73995B43" w:rsidR="004C09BA" w:rsidRDefault="004C09BA">
      <w:r>
        <w:fldChar w:fldCharType="end"/>
      </w:r>
    </w:p>
    <w:sectPr w:rsidR="004C0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480B8" w14:textId="77777777" w:rsidR="00F23195" w:rsidRDefault="00F23195" w:rsidP="004C09BA">
      <w:pPr>
        <w:spacing w:after="0" w:line="240" w:lineRule="auto"/>
      </w:pPr>
      <w:r>
        <w:separator/>
      </w:r>
    </w:p>
  </w:endnote>
  <w:endnote w:type="continuationSeparator" w:id="0">
    <w:p w14:paraId="5BB7903E" w14:textId="77777777" w:rsidR="00F23195" w:rsidRDefault="00F23195" w:rsidP="004C0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94D06" w14:textId="77777777" w:rsidR="00F23195" w:rsidRDefault="00F23195" w:rsidP="004C09BA">
      <w:pPr>
        <w:spacing w:after="0" w:line="240" w:lineRule="auto"/>
      </w:pPr>
      <w:r>
        <w:separator/>
      </w:r>
    </w:p>
  </w:footnote>
  <w:footnote w:type="continuationSeparator" w:id="0">
    <w:p w14:paraId="64C5DC45" w14:textId="77777777" w:rsidR="00F23195" w:rsidRDefault="00F23195" w:rsidP="004C0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03026"/>
    <w:multiLevelType w:val="multilevel"/>
    <w:tmpl w:val="9E5A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84226"/>
    <w:multiLevelType w:val="multilevel"/>
    <w:tmpl w:val="E712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BA"/>
    <w:rsid w:val="000C2E52"/>
    <w:rsid w:val="000E02CE"/>
    <w:rsid w:val="001501BF"/>
    <w:rsid w:val="002B1795"/>
    <w:rsid w:val="004C09BA"/>
    <w:rsid w:val="005E555B"/>
    <w:rsid w:val="00772F3C"/>
    <w:rsid w:val="00821519"/>
    <w:rsid w:val="00822C61"/>
    <w:rsid w:val="009100A8"/>
    <w:rsid w:val="00A903DE"/>
    <w:rsid w:val="00A97DEC"/>
    <w:rsid w:val="00D65A37"/>
    <w:rsid w:val="00F2319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80AC3"/>
  <w15:chartTrackingRefBased/>
  <w15:docId w15:val="{BF69F7DC-1327-4EA3-8BB9-4E309C66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C09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09BA"/>
    <w:rPr>
      <w:sz w:val="20"/>
      <w:szCs w:val="20"/>
      <w:lang w:val="it-IT"/>
    </w:rPr>
  </w:style>
  <w:style w:type="character" w:styleId="FootnoteReference">
    <w:name w:val="footnote reference"/>
    <w:basedOn w:val="DefaultParagraphFont"/>
    <w:uiPriority w:val="99"/>
    <w:semiHidden/>
    <w:unhideWhenUsed/>
    <w:rsid w:val="004C09BA"/>
    <w:rPr>
      <w:vertAlign w:val="superscript"/>
    </w:rPr>
  </w:style>
  <w:style w:type="paragraph" w:styleId="NormalWeb">
    <w:name w:val="Normal (Web)"/>
    <w:basedOn w:val="Normal"/>
    <w:uiPriority w:val="99"/>
    <w:semiHidden/>
    <w:unhideWhenUsed/>
    <w:rsid w:val="00D65A37"/>
    <w:pPr>
      <w:spacing w:before="100" w:beforeAutospacing="1" w:after="100" w:afterAutospacing="1" w:line="240" w:lineRule="auto"/>
    </w:pPr>
    <w:rPr>
      <w:rFonts w:ascii="Times New Roman" w:eastAsia="Times New Roman" w:hAnsi="Times New Roman" w:cs="Times New Roman"/>
      <w:sz w:val="24"/>
      <w:szCs w:val="24"/>
      <w:lang w:val="en-CH" w:eastAsia="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656290">
      <w:bodyDiv w:val="1"/>
      <w:marLeft w:val="0"/>
      <w:marRight w:val="0"/>
      <w:marTop w:val="0"/>
      <w:marBottom w:val="0"/>
      <w:divBdr>
        <w:top w:val="none" w:sz="0" w:space="0" w:color="auto"/>
        <w:left w:val="none" w:sz="0" w:space="0" w:color="auto"/>
        <w:bottom w:val="none" w:sz="0" w:space="0" w:color="auto"/>
        <w:right w:val="none" w:sz="0" w:space="0" w:color="auto"/>
      </w:divBdr>
    </w:div>
    <w:div w:id="184123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A0C46-0EDA-4468-B6F6-2C8162F1A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9638</Words>
  <Characters>54942</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De Luca</dc:creator>
  <cp:keywords/>
  <dc:description/>
  <cp:lastModifiedBy>Alessandro De Luca</cp:lastModifiedBy>
  <cp:revision>8</cp:revision>
  <dcterms:created xsi:type="dcterms:W3CDTF">2021-03-23T07:31:00Z</dcterms:created>
  <dcterms:modified xsi:type="dcterms:W3CDTF">2021-03-25T15:04:00Z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b5f0ce6e-7c80-3b90-9c6b-139a7bc65825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