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6D779" w14:textId="46308184" w:rsidR="00772F3C" w:rsidRPr="004C09BA" w:rsidRDefault="004C09BA">
      <w:pPr>
        <w:rPr>
          <w:rFonts w:ascii="Times New Roman" w:hAnsi="Times New Roman" w:cs="Times New Roman"/>
          <w:sz w:val="24"/>
          <w:szCs w:val="24"/>
          <w:lang w:val="en-CH"/>
        </w:rPr>
      </w:pPr>
      <w:r>
        <w:rPr>
          <w:rFonts w:ascii="Times New Roman" w:hAnsi="Times New Roman" w:cs="Times New Roman"/>
          <w:sz w:val="24"/>
          <w:szCs w:val="24"/>
        </w:rPr>
        <w:t xml:space="preserve">In the beginning of 2020, a new viral outbreak </w:t>
      </w:r>
      <w:r>
        <w:rPr>
          <w:rFonts w:ascii="Times New Roman" w:hAnsi="Times New Roman" w:cs="Times New Roman"/>
          <w:sz w:val="24"/>
          <w:szCs w:val="24"/>
          <w:lang w:val="en-CH"/>
        </w:rPr>
        <w:t xml:space="preserve">originating </w:t>
      </w:r>
      <w:r>
        <w:rPr>
          <w:rFonts w:ascii="Times New Roman" w:hAnsi="Times New Roman" w:cs="Times New Roman"/>
          <w:sz w:val="24"/>
          <w:szCs w:val="24"/>
        </w:rPr>
        <w:t xml:space="preserve">from China established itself as one of the world’s biggest threats. In December 2019 a viral pneumonia of unknown aetiology was identified in Wuhan, Hubei, China </w:t>
      </w:r>
      <w:r>
        <w:rPr>
          <w:rStyle w:val="FootnoteReference"/>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{"citationItems":[{"id":"ITEM-1","itemData":{"DOI":"10.1002/jmv.25678","ISSN":"0146-6615","author":[{"dropping-particle":"","family":"Lu","given":"Hongzhou","non-dropping-particle":"","parse-names":false,"suffix":""},{"dropping-particle":"","family":"Stratton","given":"Charles W","non-dropping-particle":"","parse-names":false,"suffix":""},{"dropping-particle":"","family":"Tang","given":"Yi-Wei","non-dropping-particle":"","parse-names":false,"suffix":""}],"container-title":"Journal of Medical Virology","id":"ITEM-1","issue":"4","issued":{"date-parts":[["2020","4","1"]]},"note":"doi: 10.1002/jmv.25678","page":"401-402","publisher":"John Wiley &amp; Sons, Ltd","title":"Outbreak of pneumonia of unknown etiology in Wuhan, China: The mystery and the miracle","type":"article-journal","volume":"92"},"uris":["http://www.mendeley.com/documents/?uuid=62570784-849f-454b-ba05-9c330106a687"]}],"mendeley":{"formattedCitation":"(H. Lu et al., 2020)","plainTextFormattedCitation":"(H. Lu et al., 2020)","previouslyFormattedCitation":"Hongzhou Lu, Charles W Stratton, and Yi-Wei Tang, “Outbreak of Pneumonia of Unknown Etiology in Wuhan, China: The Mystery and the Miracle,” &lt;i&gt;Journal of Medical Virology&lt;/i&gt; 92, no. 4 (April 1, 2020): 401–2, https://doi.org/10.1002/jmv.25678."},"properties":{"noteIndex":0},"schema":"https://github.com/citation-style-language/schema/raw/master/csl-citation.json"}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(H. Lu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Later, on the 7th of January, the Chinese Centre for Disease Control and Prevention identified the causative agent of these viral pneumonias as a new strain of coronavirus, which was subsequently named by the World Health Organization (WHO) SARS-CoV-2 (Severe Acute Respiratory Syndrome Coronavirus 2) (World Health Organization, 11 February 2020). The WHO has also named the disease caused by SARS-CoV-2 COVID-19. SARS-CoV-2 is a betacoronavirus belonging to the </w:t>
      </w:r>
      <w:r>
        <w:rPr>
          <w:rFonts w:ascii="Times New Roman" w:hAnsi="Times New Roman" w:cs="Times New Roman"/>
          <w:i/>
          <w:iCs/>
          <w:sz w:val="24"/>
          <w:szCs w:val="24"/>
        </w:rPr>
        <w:t>Coronavirinae</w:t>
      </w:r>
      <w:r>
        <w:rPr>
          <w:rFonts w:ascii="Times New Roman" w:hAnsi="Times New Roman" w:cs="Times New Roman"/>
          <w:sz w:val="24"/>
          <w:szCs w:val="24"/>
        </w:rPr>
        <w:t xml:space="preserve"> subfamily, part of the Coronaviridae family </w:t>
      </w:r>
      <w:r>
        <w:rPr>
          <w:rStyle w:val="FootnoteReference"/>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ijsu.2020.02.034","ISSN":"1743-9191","author":[{"dropping-particle":"","family":"Sohrabi","given":"Catrin","non-dropping-particle":"","parse-names":false,"suffix":""},{"dropping-particle":"","family":"Alsafi","given":"Zaid","non-dropping-particle":"","parse-names":false,"suffix":""},{"dropping-particle":"","family":"Neill","given":"Niamh O","non-dropping-particle":"","parse-names":false,"suffix":""},{"dropping-particle":"","family":"Khan","given":"Mehdi","non-dropping-particle":"","parse-names":false,"suffix":""},{"dropping-particle":"","family":"Kerwan","given":"Ahmed","non-dropping-particle":"","parse-names":false,"suffix":""},{"dropping-particle":"","family":"Al-jabir","given":"Ahmed","non-dropping-particle":"","parse-names":false,"suffix":""},{"dropping-particle":"","family":"Iosifidis","given":"Christos","non-dropping-particle":"","parse-names":false,"suffix":""},{"dropping-particle":"","family":"Agha","given":"Riaz","non-dropping-particle":"","parse-names":false,"suffix":""}],"container-title":"International Journal of Surgery","id":"ITEM-1","issue":"February","issued":{"date-parts":[["2020"]]},"page":"71-76","publisher":"Elsevier","title":"World Health Organization declares global emergency : A review of the 2019 novel coronavirus ( COVID-19 )","type":"article-journal","volume":"76"},"uris":["http://www.mendeley.com/documents/?uuid=f228ea27-7e1d-4ec6-83e2-b7759d7b4f06"]}],"mendeley":{"formattedCitation":"(Sohrabi et al., 2020)","plainTextFormattedCitation":"(Sohrabi et al., 2020)","previouslyFormattedCitation":"Catrin Sohrabi et al., “World Health Organization Declares Global Emergency : A Review of the 2019 Novel Coronavirus ( COVID-19 ),” &lt;i&gt;International Journal of Surgery&lt;/i&gt; 76, no. February (2020): 71–76, https://doi.org/10.1016/j.ijsu.2020.02.034."},"properties":{"noteIndex":0},"schema":"https://github.com/citation-style-language/schema/raw/master/csl-citation.json"}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(Sohrabi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Its genome presents 8 conserved SARS-CoV amino acids responsible for interaction with human angiotensin-converting enzyme 2 </w:t>
      </w:r>
      <w:r>
        <w:rPr>
          <w:rStyle w:val="FootnoteReference"/>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{"citationItems":[{"id":"ITEM-1","itemData":{"DOI":"10.1007/978-1-4939-2438-7_1","ISBN":"978-1-4939-2438-7","abstract":"Coronaviruses (CoVs), enveloped positive-sense RNA viruses, are characterized by club-like spikes that project from their surface, an unusually large RNA genome, and a unique replication strategy. Coronaviruses cause a variety of diseases in mammals and birds ranging from enteritis in cows and pigs and upper respiratory disease in chickens to potentially lethal human respiratory infections. Here we provide a brief introduction to coronaviruses discussing their replication and pathogenicity, and current prevention and treatment strategies. We also discuss the outbreaks of the highly pathogenic Severe Acute Respiratory Syndrome Coronavirus (SARS-CoV) and the recently identified Middle Eastern Respiratory Syndrome Coronavirus (MERS-CoV).","author":[{"dropping-particle":"","family":"Fehr","given":"Anthony R","non-dropping-particle":"","parse-names":false,"suffix":""},{"dropping-particle":"","family":"Perlman","given":"Stanley","non-dropping-particle":"","parse-names":false,"suffix":""}],"editor":[{"dropping-particle":"","family":"Maier","given":"Helena Jane","non-dropping-particle":"","parse-names":false,"suffix":""},{"dropping-particle":"","family":"Bickerton","given":"Erica","non-dropping-particle":"","parse-names":false,"suffix":""},{"dropping-particle":"","family":"Britton","given":"Paul","non-dropping-particle":"","parse-names":false,"suffix":""}],"id":"ITEM-1","issued":{"date-parts":[["2015"]]},"page":"1-23","publisher":"Springer New York","publisher-place":"New York, NY","title":"Coronaviruses: An Overview of Their Replication and Pathogenesis BT  - Coronaviruses: Methods and Protocols","type":"chapter"},"uris":["http://www.mendeley.com/documents/?uuid=2282fc86-53c8-4d76-9a77-9034ea3431ed"]}],"mendeley":{"formattedCitation":"(Fehr &amp; Perlman, 2015)","plainTextFormattedCitation":"(Fehr &amp; Perlman, 2015)","previouslyFormattedCitation":"Anthony R Fehr and Stanley Perlman, “Coronaviruses: An Overview of Their Replication and Pathogenesis BT  - Coronaviruses: Methods and Protocols,” ed. Helena Jane Maier, Erica Bickerton, and Paul Britton (New York, NY: Springer New York, 2015), 1–23, https://doi.org/10.1007/978-1-4939-2438-7_1."},"properties":{"noteIndex":0},"schema":"https://github.com/citation-style-language/schema/raw/master/csl-citation.json"}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(Fehr &amp; Perlman, 2015)</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SARS-CoV is a previously identified coronavirus strain which caused the 2003 SARS outbreak </w:t>
      </w:r>
      <w:r>
        <w:rPr>
          <w:rStyle w:val="FootnoteReference"/>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{"citationItems":[{"id":"ITEM-1","itemData":{"DOI":"https://doi.org/10.1016/S0140-6736(20)30251-8","ISSN":"0140-6736","abstract":"Summary Background In late December, 2019, patients presenting with viral pneumonia due to an unidentified microbial agent were reported in Wuhan, China. A novel coronavirus was subsequently identified as the causative pathogen, provisionally named 2019 novel coronavirus (2019-nCoV). As of Jan 26, 2020, more than 2000 cases of 2019-nCoV infection have been confirmed, most of which involved people living in or visiting Wuhan, and human-to-human transmission has been confirmed. Methods We did next-generation sequencing of samples from bronchoalveolar lavage fluid and cultured isolates from nine inpatients, eight of whom had visited the Huanan seafood market in Wuhan. Complete and partial 2019-nCoV genome sequences were obtained from these individuals. Viral contigs were connected using Sanger sequencing to obtain the full-length genomes, with the terminal regions determined by rapid amplification of cDNA ends. Phylogenetic analysis of these 2019-nCoV genomes and those of other coronaviruses was used to determine the evolutionary history of the virus and help infer its likely origin. Homology modelling was done to explore the likely receptor-binding properties of the virus. Findings The ten genome sequences of 2019-nCoV obtained from the nine patients were extremely similar, exhibiting more than 99·98% sequence identity. Notably, 2019-nCoV was closely related (with 88% identity) to two bat-derived severe acute respiratory syndrome (SARS)-like coronaviruses, bat-SL-CoVZC45 and bat-SL-CoVZXC21, collected in 2018 in Zhoushan, eastern China, but were more distant from SARS-CoV (about 79%) and MERS-CoV (about 50%). Phylogenetic analysis revealed that 2019-nCoV fell within the subgenus Sarbecovirus of the genus Betacoronavirus, with a relatively long branch length to its closest relatives bat-SL-CoVZC45 and bat-SL-CoVZXC21, and was genetically distinct from SARS-CoV. Notably, homology modelling revealed that 2019-nCoV had a similar receptor-binding domain structure to that of SARS-CoV, despite amino acid variation at some key residues. Interpretation 2019-nCoV is sufficiently divergent from SARS-CoV to be considered a new human-infecting betacoronavirus. Although our phylogenetic analysis suggests that bats might be the original host of this virus, an animal sold at the seafood market in Wuhan might represent an intermediate host facilitating the emergence of the virus in humans. Importantly, structural analysis suggests that 2019-nCoV might be able to bind to t…","author":[{"dropping-particle":"","family":"Lu","given":"Roujian","non-dropping-particle":"","parse-names":false,"suffix":""},{"dropping-particle":"","family":"Zhao","given":"Xiang","non-dropping-particle":"","parse-names":false,"suffix":""},{"dropping-particle":"","family":"Li","given":"Juan","non-dropping-particle":"","parse-names":false,"suffix":""},{"dropping-particle":"","family":"Niu","given":"Peihua","non-dropping-particle":"","parse-names":false,"suffix":""},{"dropping-particle":"","family":"Yang","given":"Bo","non-dropping-particle":"","parse-names":false,"suffix":""},{"dropping-particle":"","family":"Wu","given":"Honglong","non-dropping-particle":"","parse-names":false,"suffix":""},{"dropping-particle":"","family":"Wang","given":"Wenling","non-dropping-particle":"","parse-names":false,"suffix":""},{"dropping-particle":"","family":"Song","given":"Hao","non-dropping-particle":"","parse-names":false,"suffix":""},{"dropping-particle":"","family":"Huang","given":"Baoying","non-dropping-particle":"","parse-names":false,"suffix":""},{"dropping-particle":"","family":"Zhu","given":"Na","non-dropping-particle":"","parse-names":false,"suffix":""},{"dropping-particle":"","family":"Bi","given":"Yuhai","non-dropping-particle":"","parse-names":false,"suffix":""},{"dropping-particle":"","family":"Ma","given":"Xuejun","non-dropping-particle":"","parse-names":false,"suffix":""},{"dropping-particle":"","family":"Zhan","given":"Faxian","non-dropping-particle":"","parse-names":false,"suffix":""},{"dropping-particle":"","family":"Wang","given":"Liang","non-dropping-particle":"","parse-names":false,"suffix":""},{"dropping-particle":"","family":"Hu","given":"Tao","non-dropping-particle":"","parse-names":false,"suffix":""},{"dropping-particle":"","family":"Zhou","given":"Hong","non-dropping-particle":"","parse-names":false,"suffix":""},{"dropping-particle":"","family":"Hu","given":"Zhenhong","non-dropping-particle":"","parse-names":false,"suffix":""},{"dropping-particle":"","family":"Zhou","given":"Weimin","non-dropping-particle":"","parse-names":false,"suffix":""},{"dropping-particle":"","family":"Zhao","given":"Li","non-dropping-particle":"","parse-names":false,"suffix":""},{"dropping-particle":"","family":"Chen","given":"Jing","non-dropping-particle":"","parse-names":false,"suffix":""},{"dropping-particle":"","family":"Meng","given":"Yao","non-dropping-particle":"","parse-names":false,"suffix":""},{"dropping-particle":"","family":"Wang","given":"Ji","non-dropping-particle":"","parse-names":false,"suffix":""},{"dropping-particle":"","family":"Lin","given":"Yang","non-dropping-particle":"","parse-names":false,"suffix":""},{"dropping-particle":"","family":"Yuan","given":"Jianying","non-dropping-particle":"","parse-names":false,"suffix":""},{"dropping-particle":"","family":"Xie","given":"Zhihao","non-dropping-particle":"","parse-names":false,"suffix":""},{"dropping-particle":"","family":"Ma","given":"Jinmin","non-dropping-particle":"","parse-names":false,"suffix":""},{"dropping-particle":"","family":"Liu","given":"William J","non-dropping-particle":"","parse-names":false,"suffix":""},{"dropping-particle":"","family":"Wang","given":"Dayan","non-dropping-particle":"","parse-names":false,"suffix":""},{"dropping-particle":"","family":"Xu","given":"Wenbo","non-dropping-particle":"","parse-names":false,"suffix":""},{"dropping-particle":"","family":"Holmes","given":"Edward C","non-dropping-particle":"","parse-names":false,"suffix":""},{"dropping-particle":"","family":"Gao","given":"George F","non-dropping-particle":"","parse-names":false,"suffix":""},{"dropping-particle":"","family":"Wu","given":"Guizhen","non-dropping-particle":"","parse-names":false,"suffix":""},{"dropping-particle":"","family":"Chen","given":"Weijun","non-dropping-particle":"","parse-names":false,"suffix":""},{"dropping-particle":"","family":"Shi","given":"Weifeng","non-dropping-particle":"","parse-names":false,"suffix":""},{"dropping-particle":"","family":"Tan","given":"Wenjie","non-dropping-particle":"","parse-names":false,"suffix":""}],"container-title":"The Lancet","id":"ITEM-1","issue":"10224","issued":{"date-parts":[["2020"]]},"page":"565-574","title":"Genomic characterisation and epidemiology of 2019 novel coronavirus: implications for virus origins and receptor binding","type":"article-journal","volume":"395"},"uris":["http://www.mendeley.com/documents/?uuid=04282c66-7be2-42ee-97ad-c95cdd759a8b"]}],"mendeley":{"formattedCitation":"(R. Lu et al., 2020)","plainTextFormattedCitation":"(R. Lu et al., 2020)","previouslyFormattedCitation":"Roujian Lu et al., “Genomic Characterisation and Epidemiology of 2019 Novel Coronavirus: Implications for Virus Origins and Receptor Binding,” &lt;i&gt;The Lancet&lt;/i&gt; 395, no. 10224 (2020): 565–74, https://doi.org/https://doi.org/10.1016/S0140-6736(20)30251-8."},"properties":{"noteIndex":0},"schema":"https://github.com/citation-style-language/schema/raw/master/csl-citation.json"}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noProof/>
          <w:sz w:val="24"/>
          <w:szCs w:val="24"/>
        </w:rPr>
        <w:t>(R. Lu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lang w:val="en-CH"/>
        </w:rPr>
        <w:t xml:space="preserve">COVID-19 </w:t>
      </w:r>
      <w:r>
        <w:rPr>
          <w:rFonts w:ascii="Times New Roman" w:hAnsi="Times New Roman" w:cs="Times New Roman"/>
          <w:sz w:val="24"/>
          <w:szCs w:val="24"/>
        </w:rPr>
        <w:t>is an acute resolved respiratory disease that can lead to death</w:t>
      </w:r>
      <w:r>
        <w:rPr>
          <w:rFonts w:ascii="Times New Roman" w:hAnsi="Times New Roman" w:cs="Times New Roman"/>
          <w:sz w:val="24"/>
          <w:szCs w:val="24"/>
          <w:lang w:val="en-CH"/>
        </w:rPr>
        <w:t>,</w:t>
      </w:r>
      <w:r>
        <w:rPr>
          <w:rFonts w:ascii="Times New Roman" w:hAnsi="Times New Roman" w:cs="Times New Roman"/>
          <w:sz w:val="24"/>
          <w:szCs w:val="24"/>
        </w:rPr>
        <w:t xml:space="preserve"> with a reported 2 % fatality rate </w:t>
      </w:r>
      <w:r>
        <w:rPr>
          <w:rStyle w:val="FootnoteReference"/>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{"citationItems":[{"id":"ITEM-1","itemData":{"DOI":"https://doi.org/10.1016/S0140-6736(20)30183-5","ISSN":"0140-6736","abstract":"Summary Background A recent cluster of pneumonia cases in Wuhan, China, was caused by a novel betacoronavirus, the 2019 novel coronavirus (2019-nCoV). We report the epidemiological, clinical, laboratory, and radiological characteristics and treatment and clinical outcomes of these patients. Methods All patients with suspected 2019-nCoV were admitted to a designated hospital in Wuhan. We prospectively collected and analysed data on patients with laboratory-confirmed 2019-nCoV infection by real-time RT-PCR and next-generation sequencing. Data were obtained with standardised data collection forms shared by WHO and the International Severe Acute Respiratory and Emerging Infection Consortium from electronic medical records. Researchers also directly communicated with patients or their families to ascertain epidemiological and symptom data. Outcomes were also compared between patients who had been admitted to the intensive care unit (ICU) and those who had not. Findings By Jan 2, 2020, 41 admitted hospital patients had been identified as having laboratory-confirmed 2019-nCoV infection. Most of the infected patients were men (30 [73%] of 41); less than half had underlying diseases (13 [32%]), including diabetes (eight [20%]), hypertension (six [15%]), and cardiovascular disease (six [15%]). Median age was 49·0 years (IQR 41·0–58·0). 27 (66%) of 41 patients had been exposed to Huanan seafood market. One family cluster was found. Common symptoms at onset of illness were fever (40 [98%] of 41 patients), cough (31 [76%]), and myalgia or fatigue (18 [44%]); less common symptoms were sputum production (11 [28%] of 39), headache (three [8%] of 38), haemoptysis (two [5%] of 39), and diarrhoea (one [3%] of 38). Dyspnoea developed in 22 (55%) of 40 patients (median time from illness onset to dyspnoea 8·0 days [IQR 5·0–13·0]). 26 (63%) of 41 patients had lymphopenia. All 41 patients had pneumonia with abnormal findings on chest CT. Complications included acute respiratory distress syndrome (12 [29%]), RNAaemia (six [15%]), acute cardiac injury (five [12%]) and secondary infection (four [10%]). 13 (32%) patients were admitted to an ICU and six (15%) died. Compared with non-ICU patients, ICU patients had higher plasma levels of IL2, IL7, IL10, GSCF, IP10, MCP1, MIP1A, and TNFα. Interpretation The 2019-nCoV infection caused clusters of severe respiratory illness similar to severe acute respiratory syndrome coronavirus and was associated with ICU admission and high mortality…","author":[{"dropping-particle":"","family":"Huang","given":"Chaolin","non-dropping-particle":"","parse-names":false,"suffix":""},{"dropping-particle":"","family":"Wang","given":"Yeming","non-dropping-particle":"","parse-names":false,"suffix":""},{"dropping-particle":"","family":"Li","given":"Xingwang","non-dropping-particle":"","parse-names":false,"suffix":""},{"dropping-particle":"","family":"Ren","given":"Lili","non-dropping-particle":"","parse-names":false,"suffix":""},{"dropping-particle":"","family":"Zhao","given":"Jianping","non-dropping-particle":"","parse-names":false,"suffix":""},{"dropping-particle":"","family":"Hu","given":"Yi","non-dropping-particle":"","parse-names":false,"suffix":""},{"dropping-particle":"","family":"Zhang","given":"Li","non-dropping-particle":"","parse-names":false,"suffix":""},{"dropping-particle":"","family":"Fan","given":"Guohui","non-dropping-particle":"","parse-names":false,"suffix":""},{"dropping-particle":"","family":"Xu","given":"Jiuyang","non-dropping-particle":"","parse-names":false,"suffix":""},{"dropping-particle":"","family":"Gu","given":"Xiaoying","non-dropping-particle":"","parse-names":false,"suffix":""},{"dropping-particle":"","family":"Cheng","given":"Zhenshun","non-dropping-particle":"","parse-names":false,"suffix":""},{"dropping-particle":"","family":"Yu","given":"Ting","non-dropping-particle":"","parse-names":false,"suffix":""},{"dropping-particle":"","family":"Xia","given":"Jiaan","non-dropping-particle":"","parse-names":false,"suffix":""},{"dropping-particle":"","family":"Wei","given":"Yuan","non-dropping-particle":"","parse-names":false,"suffix":""},{"dropping-particle":"","family":"Wu","given":"Wenjuan","non-dropping-particle":"","parse-names":false,"suffix":""},{"dropping-particle":"","family":"Xie","given":"Xuelei","non-dropping-particle":"","parse-names":false,"suffix":""},{"dropping-particle":"","family":"Yin","given":"Wen","non-dropping-particle":"","parse-names":false,"suffix":""},{"dropping-particle":"","family":"Li","given":"Hui","non-dropping-particle":"","parse-names":false,"suffix":""},{"dropping-particle":"","family":"Liu","given":"Min","non-dropping-particle":"","parse-names":false,"suffix":""},{"dropping-particle":"","family":"Xiao","given":"Yan","non-dropping-particle":"","parse-names":false,"suffix":""},{"dropping-particle":"","family":"Gao","given":"Hong","non-dropping-particle":"","parse-names":false,"suffix":""},{"dropping-particle":"","family":"Guo","given":"Li","non-dropping-particle":"","parse-names":false,"suffix":""},{"dropping-particle":"","family":"Xie","given":"Jungang","non-dropping-particle":"","parse-names":false,"suffix":""},{"dropping-particle":"","family":"Wang","given":"Guangfa","non-dropping-particle":"","parse-names":false,"suffix":""},{"dropping-particle":"","family":"Jiang","given":"Rongmeng","non-dropping-particle":"","parse-names":false,"suffix":""},{"dropping-particle":"","family":"Gao","given":"Zhancheng","non-dropping-particle":"","parse-names":false,"suffix":""},{"dropping-particle":"","family":"Jin","given":"Qi","non-dropping-particle":"","parse-names":false,"suffix":""},{"dropping-particle":"","family":"Wang","given":"Jianwei","non-dropping-particle":"","parse-names":false,"suffix":""},{"dropping-particle":"","family":"Cao","given":"Bin","non-dropping-particle":"","parse-names":false,"suffix":""}],"container-title":"The Lancet","id":"ITEM-1","issue":"10223","issued":{"date-parts":[["2020"]]},"page":"497-506","title":"Clinical features of patients infected with 2019 novel coronavirus in Wuhan, China","type":"article-journal","volume":"395"},"uris":["http://www.mendeley.com/documents/?uuid=c1905ae4-be98-4754-bacc-3d041b24b8bd"]},{"id":"ITEM-2","itemData":{"DOI":"https://doi.org/10.1016/S0140-6736(20)30154-9","ISSN":"0140-6736","abstract":"Summary Background An ongoing outbreak of pneumonia associated with a novel coronavirus was reported in Wuhan city, Hubei province, China. Affected patients were geographically linked with a local wet market as a potential source. No data on person-to-person or nosocomial transmission have been published to date. Methods In this study, we report the epidemiological, clinical, laboratory, radiological, and microbiological findings of five patients in a family cluster who presented with unexplained pneumonia after returning to Shenzhen, Guangdong province, China, after a visit to Wuhan, and an additional family member who did not travel to Wuhan. Phylogenetic analysis of genetic sequences from these patients were done. Findings From Jan 10, 2020, we enrolled a family of six patients who travelled to Wuhan from Shenzhen between Dec 29, 2019 and Jan 4, 2020. Of six family members who travelled to Wuhan, five were identified as infected with the novel coronavirus. Additionally, one family member, who did not travel to Wuhan, became infected with the virus after several days of contact with four of the family members. None of the family members had contacts with Wuhan markets or animals, although two had visited a Wuhan hospital. Five family members (aged 36–66 years) presented with fever, upper or lower respiratory tract symptoms, or diarrhoea, or a combination of these 3–6 days after exposure. They presented to our hospital (The University of Hong Kong-Shenzhen Hospital, Shenzhen) 6–10 days after symptom onset. They and one asymptomatic child (aged 10 years) had radiological ground-glass lung opacities. Older patients (aged &gt;60 years) had more systemic symptoms, extensive radiological ground-glass lung changes, lymphopenia, thrombocytopenia, and increased C-reactive protein and lactate dehydrogenase levels. The nasopharyngeal or throat swabs of these six patients were negative for known respiratory microbes by point-of-care multiplex RT-PCR, but five patients (four adults and the child) were RT-PCR positive for genes encoding the internal RNA-dependent RNA polymerase and surface Spike protein of this novel coronavirus, which were confirmed by Sanger sequencing. Phylogenetic analysis of these five patients' RT-PCR amplicons and two full genomes by next-generation sequencing showed that this is a novel coronavirus, which is closest to the bat severe acute respiatory syndrome (SARS)-related coronaviruses found in Chinese horseshoe bats. Interpretation Our find…","author":[{"dropping-particle":"","family":"Chan","given":"Jasper Fuk-Woo","non-dropping-particle":"","parse-names":false,"suffix":""},{"dropping-particle":"","family":"Yuan","given":"Shuofeng","non-dropping-particle":"","parse-names":false,"suffix":""},{"dropping-particle":"","family":"Kok","given":"Kin-Hang","non-dropping-particle":"","parse-names":false,"suffix":""},{"dropping-particle":"","family":"To","given":"Kelvin Kai-Wang","non-dropping-particle":"","parse-names":false,"suffix":""},{"dropping-particle":"","family":"Chu","given":"Hin","non-dropping-particle":"","parse-names":false,"suffix":""},{"dropping-particle":"","family":"Yang","given":"Jin","non-dropping-particle":"","parse-names":false,"suffix":""},{"dropping-particle":"","family":"Xing","given":"Fanfan","non-dropping-particle":"","parse-names":false,"suffix":""},{"dropping-particle":"","family":"Liu","given":"Jieling","non-dropping-particle":"","parse-names":false,"suffix":""},{"dropping-particle":"","family":"Yip","given":"Cyril Chik-Yan","non-dropping-particle":"","parse-names":false,"suffix":""},{"dropping-particle":"","family":"Poon","given":"Rosana Wing-Shan","non-dropping-particle":"","parse-names":false,"suffix":""},{"dropping-particle":"","family":"Tsoi","given":"Hoi-Wah","non-dropping-particle":"","parse-names":false,"suffix":""},{"dropping-particle":"","family":"Lo","given":"Simon Kam-Fai","non-dropping-particle":"","parse-names":false,"suffix":""},{"dropping-particle":"","family":"Chan","given":"Kwok-Hung","non-dropping-particle":"","parse-names":false,"suffix":""},{"dropping-particle":"","family":"Poon","given":"Vincent Kwok-Man","non-dropping-particle":"","parse-names":false,"suffix":""},{"dropping-particle":"","family":"Chan","given":"Wan-Mui","non-dropping-particle":"","parse-names":false,"suffix":""},{"dropping-particle":"","family":"Ip","given":"Jonathan Daniel","non-dropping-particle":"","parse-names":false,"suffix":""},{"dropping-particle":"","family":"Cai","given":"Jian-Piao","non-dropping-particle":"","parse-names":false,"suffix":""},{"dropping-particle":"","family":"Cheng","given":"Vincent Chi-Chung","non-dropping-particle":"","parse-names":false,"suffix":""},{"dropping-particle":"","family":"Chen","given":"Honglin","non-dropping-particle":"","parse-names":false,"suffix":""},{"dropping-particle":"","family":"Hui","given":"Christopher Kim-Ming","non-dropping-particle":"","parse-names":false,"suffix":""},{"dropping-particle":"","family":"Yuen","given":"Kwok-Yung","non-dropping-particle":"","parse-names":false,"suffix":""}],"container-title":"The Lancet","id":"ITEM-2","issue":"10223","issued":{"date-parts":[["2020"]]},"page":"514-523","title":"A familial cluster of pneumonia associated with the 2019 novel coronavirus indicating person-to-person transmission: a study of a family cluster","type":"article-journal","volume":"395"},"uris":["http://www.mendeley.com/documents/?uuid=ae4e586d-a746-49b9-b408-55e15dadce6d"]},{"id":"ITEM-3","itemData":{"DOI":"10.1111/eci.13209","ISSN":"0014-2972","author":[{"dropping-particle":"","family":"Bassetti","given":"Matteo","non-dropping-particle":"","parse-names":false,"suffix":""},{"dropping-particle":"","family":"Vena","given":"Antonio","non-dropping-particle":"","parse-names":false,"suffix":""},{"dropping-particle":"","family":"Giacobbe","given":"Daniele Roberto","non-dropping-particle":"","parse-names":false,"suffix":""}],"container-title":"European Journal of Clinical Investigation","id":"ITEM-3","issue":"3","issued":{"date-parts":[["2020","3","1"]]},"note":"doi: 10.1111/eci.13209","page":"e13209","publisher":"John Wiley &amp; Sons, Ltd","title":"The novel Chinese coronavirus (2019-nCoV) infections: Challenges for fighting the storm","type":"article-journal","volume":"50"},"uris":["http://www.mendeley.com/documents/?uuid=3b0297a5-410d-424a-871b-476e4fca48d7"]}],"mendeley":{"formattedCitation":"(Bassetti et al., 2020; Chan et al., 2020; Huang et al., 2020)","plainTextFormattedCitation":"(Bassetti et al., 2020; Chan et al., 2020; Huang et al., 2020)","previouslyFormattedCitation":"Chaolin Huang et al., “Clinical Features of Patients Infected with 2019 Novel Coronavirus in Wuhan, China,” &lt;i&gt;The Lancet&lt;/i&gt; 395, no. 10223 (2020): 497–506, https://doi.org/https://doi.org/10.1016/S0140-6736(20)30183-5; Jasper Fuk-Woo Chan et al., “A Familial Cluster of Pneumonia Associated with the 2019 Novel Coronavirus Indicating Person-to-Person Transmission: A Study of a Family Cluster,” &lt;i&gt;The Lancet&lt;/i&gt; 395, no. 10223 (2020): 514–23, https://doi.org/https://doi.org/10.1016/S0140-6736(20)30154-9; Matteo Bassetti, Antonio Vena, and Daniele Roberto Giacobbe, “The Novel Chinese Coronavirus (2019-NCoV) Infections: Challenges for Fighting the Storm,” &lt;i&gt;European Journal of Clinical Investigation&lt;/i&gt; 50, no. 3 (March 1, 2020): e13209, https://doi.org/10.1111/eci.13209."},"properties":{"noteIndex":0},"schema":"https://github.com/citation-style-language/schema/raw/master/csl-citation.json"}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(Bassetti et al., 2020; Chan et al., 2020; Huang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lang w:val="en-CH"/>
        </w:rPr>
        <w:t>.</w:t>
      </w:r>
      <w:r>
        <w:rPr>
          <w:rFonts w:ascii="Times New Roman" w:hAnsi="Times New Roman" w:cs="Times New Roman"/>
          <w:sz w:val="24"/>
          <w:szCs w:val="24"/>
          <w:lang w:val="en-CH"/>
        </w:rPr>
        <w:t xml:space="preserve"> </w:t>
      </w:r>
      <w:r w:rsidRPr="004C09BA">
        <w:rPr>
          <w:rFonts w:ascii="Times New Roman" w:hAnsi="Times New Roman" w:cs="Times New Roman"/>
          <w:sz w:val="24"/>
          <w:szCs w:val="24"/>
          <w:lang w:val="en-CH"/>
        </w:rPr>
        <w:t>Symptoms present themselves usually after an incubation period of approximately 5.2 days</w:t>
      </w:r>
      <w:r>
        <w:rPr>
          <w:rFonts w:ascii="Times New Roman" w:hAnsi="Times New Roman" w:cs="Times New Roman"/>
          <w:sz w:val="24"/>
          <w:szCs w:val="24"/>
          <w:lang w:val="en-CH"/>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lang w:val="en-CH"/>
        </w:rPr>
        <w:instrText>ADDIN CSL_CITATION {"citationItems":[{"id":"ITEM-1","itemData":{"DOI":"10.1016/j.jaut.2020.102433","ISSN":"0896-8411","author":[{"dropping-particle":"","family":"Rothan","given":"Hussin A","non-dropping-particle":"","parse-names":false,"suffix":""},{"dropping-particle":"","family":"Byrareddy","given":"Siddappa N","non-dropping-particle":"","parse-names":false,"suffix":""}],"container-title":"Journal of Autoimmunity","id":"ITEM-1","issue":"February","issued":{"date-parts":[["2020"]]},"page":"102433","publisher":"Elsevier","title":"The epidemiology and pathogenesis of coronavirus disease ( COVID-19 ) outbreak","type":"article-journal","volume":"109"},"uris":["http://www.mendeley.com/documents/?uuid=831b1a14-6ac1-4f5d-9dba-40625e825227"]}],"mendeley":{"formattedCitation":"(Rothan &amp; Byrareddy, 2020)","plainTextFormattedCitation":"(Rothan &amp; Byrareddy, 2020)"},"properties":{"noteIndex":0},"schema":"https://github.com/citation-style-language/schema/raw/master/csl-citation.json"}</w:instrText>
      </w:r>
      <w:r>
        <w:rPr>
          <w:rFonts w:ascii="Times New Roman" w:hAnsi="Times New Roman" w:cs="Times New Roman"/>
          <w:sz w:val="24"/>
          <w:szCs w:val="24"/>
        </w:rPr>
        <w:fldChar w:fldCharType="separate"/>
      </w:r>
      <w:r w:rsidRPr="00F2608C">
        <w:rPr>
          <w:rFonts w:ascii="Times New Roman" w:hAnsi="Times New Roman" w:cs="Times New Roman"/>
          <w:noProof/>
          <w:sz w:val="24"/>
          <w:szCs w:val="24"/>
          <w:lang w:val="en-CH"/>
        </w:rPr>
        <w:t>(Rothan &amp; Byrareddy, 2020)</w:t>
      </w:r>
      <w:r>
        <w:rPr>
          <w:rFonts w:ascii="Times New Roman" w:hAnsi="Times New Roman" w:cs="Times New Roman"/>
          <w:sz w:val="24"/>
          <w:szCs w:val="24"/>
        </w:rPr>
        <w:fldChar w:fldCharType="end"/>
      </w:r>
      <w:r>
        <w:rPr>
          <w:rFonts w:ascii="Times New Roman" w:hAnsi="Times New Roman" w:cs="Times New Roman"/>
          <w:sz w:val="24"/>
          <w:szCs w:val="24"/>
        </w:rPr>
        <w:t>.</w:t>
      </w:r>
    </w:p>
    <w:p w14:paraId="0F4F125D" w14:textId="678034FA" w:rsidR="004C09BA" w:rsidRDefault="004C09BA">
      <w:pPr>
        <w:rPr>
          <w:rFonts w:ascii="Times New Roman" w:hAnsi="Times New Roman" w:cs="Times New Roman"/>
          <w:sz w:val="24"/>
          <w:szCs w:val="24"/>
          <w:lang w:val="en-CH"/>
        </w:rPr>
      </w:pPr>
    </w:p>
    <w:p w14:paraId="3C7D47B1" w14:textId="2D342838" w:rsidR="004C09BA" w:rsidRDefault="004C09BA">
      <w:pPr>
        <w:rPr>
          <w:rFonts w:ascii="Times New Roman" w:hAnsi="Times New Roman" w:cs="Times New Roman"/>
          <w:sz w:val="24"/>
          <w:szCs w:val="24"/>
          <w:lang w:val="en-CH"/>
        </w:rPr>
      </w:pPr>
    </w:p>
    <w:p w14:paraId="44F7BACB" w14:textId="6EC5DE67" w:rsidR="004C09BA" w:rsidRDefault="004C09BA">
      <w:pPr>
        <w:rPr>
          <w:rFonts w:ascii="Times New Roman" w:hAnsi="Times New Roman" w:cs="Times New Roman"/>
          <w:sz w:val="24"/>
          <w:szCs w:val="24"/>
          <w:lang w:val="en-CH"/>
        </w:rPr>
      </w:pPr>
    </w:p>
    <w:p w14:paraId="37F1FB65" w14:textId="594633C5" w:rsidR="004C09BA" w:rsidRDefault="004C09BA">
      <w:pPr>
        <w:rPr>
          <w:rFonts w:ascii="Times New Roman" w:hAnsi="Times New Roman" w:cs="Times New Roman"/>
          <w:sz w:val="24"/>
          <w:szCs w:val="24"/>
          <w:lang w:val="en-CH"/>
        </w:rPr>
      </w:pPr>
    </w:p>
    <w:p w14:paraId="753D03D9" w14:textId="40C9A2A1" w:rsidR="004C09BA" w:rsidRDefault="004C09BA">
      <w:pPr>
        <w:rPr>
          <w:rFonts w:ascii="Times New Roman" w:hAnsi="Times New Roman" w:cs="Times New Roman"/>
          <w:sz w:val="24"/>
          <w:szCs w:val="24"/>
          <w:lang w:val="en-CH"/>
        </w:rPr>
      </w:pPr>
    </w:p>
    <w:p w14:paraId="1270CBA4" w14:textId="0C40FB31" w:rsidR="004C09BA" w:rsidRDefault="004C09BA">
      <w:pPr>
        <w:rPr>
          <w:rFonts w:ascii="Times New Roman" w:hAnsi="Times New Roman" w:cs="Times New Roman"/>
          <w:sz w:val="24"/>
          <w:szCs w:val="24"/>
          <w:lang w:val="en-CH"/>
        </w:rPr>
      </w:pPr>
    </w:p>
    <w:p w14:paraId="33F14B83" w14:textId="4AEAA9B8" w:rsidR="004C09BA" w:rsidRDefault="004C09BA">
      <w:pPr>
        <w:rPr>
          <w:rFonts w:ascii="Times New Roman" w:hAnsi="Times New Roman" w:cs="Times New Roman"/>
          <w:sz w:val="24"/>
          <w:szCs w:val="24"/>
          <w:lang w:val="en-CH"/>
        </w:rPr>
      </w:pPr>
    </w:p>
    <w:p w14:paraId="277DDC79" w14:textId="227FE5A0" w:rsidR="004C09BA" w:rsidRDefault="004C09BA">
      <w:pPr>
        <w:rPr>
          <w:rFonts w:ascii="Times New Roman" w:hAnsi="Times New Roman" w:cs="Times New Roman"/>
          <w:sz w:val="24"/>
          <w:szCs w:val="24"/>
          <w:lang w:val="en-CH"/>
        </w:rPr>
      </w:pPr>
    </w:p>
    <w:p w14:paraId="1F98F289" w14:textId="499D2937" w:rsidR="004C09BA" w:rsidRDefault="004C09BA">
      <w:pPr>
        <w:rPr>
          <w:rFonts w:ascii="Times New Roman" w:hAnsi="Times New Roman" w:cs="Times New Roman"/>
          <w:sz w:val="24"/>
          <w:szCs w:val="24"/>
          <w:lang w:val="en-CH"/>
        </w:rPr>
      </w:pPr>
    </w:p>
    <w:p w14:paraId="2D430CB5" w14:textId="004B3A8C" w:rsidR="004C09BA" w:rsidRDefault="004C09BA">
      <w:pPr>
        <w:rPr>
          <w:rFonts w:ascii="Times New Roman" w:hAnsi="Times New Roman" w:cs="Times New Roman"/>
          <w:sz w:val="24"/>
          <w:szCs w:val="24"/>
          <w:lang w:val="en-CH"/>
        </w:rPr>
      </w:pPr>
    </w:p>
    <w:p w14:paraId="6111C893" w14:textId="0248A6B2" w:rsidR="004C09BA" w:rsidRDefault="004C09BA">
      <w:pPr>
        <w:rPr>
          <w:rFonts w:ascii="Times New Roman" w:hAnsi="Times New Roman" w:cs="Times New Roman"/>
          <w:sz w:val="24"/>
          <w:szCs w:val="24"/>
          <w:lang w:val="en-CH"/>
        </w:rPr>
      </w:pPr>
    </w:p>
    <w:p w14:paraId="382F9CC2" w14:textId="159D8AC2" w:rsidR="004C09BA" w:rsidRDefault="004C09BA">
      <w:pPr>
        <w:rPr>
          <w:rFonts w:ascii="Times New Roman" w:hAnsi="Times New Roman" w:cs="Times New Roman"/>
          <w:sz w:val="24"/>
          <w:szCs w:val="24"/>
          <w:lang w:val="en-CH"/>
        </w:rPr>
      </w:pPr>
    </w:p>
    <w:p w14:paraId="57E0FB82" w14:textId="6D1D8B8E" w:rsidR="004C09BA" w:rsidRDefault="004C09BA">
      <w:pPr>
        <w:rPr>
          <w:rFonts w:ascii="Times New Roman" w:hAnsi="Times New Roman" w:cs="Times New Roman"/>
          <w:sz w:val="24"/>
          <w:szCs w:val="24"/>
          <w:lang w:val="en-CH"/>
        </w:rPr>
      </w:pPr>
    </w:p>
    <w:p w14:paraId="217FC4EB" w14:textId="3DB22870" w:rsidR="004C09BA" w:rsidRDefault="004C09BA">
      <w:pPr>
        <w:rPr>
          <w:rFonts w:ascii="Times New Roman" w:hAnsi="Times New Roman" w:cs="Times New Roman"/>
          <w:sz w:val="24"/>
          <w:szCs w:val="24"/>
          <w:lang w:val="en-CH"/>
        </w:rPr>
      </w:pPr>
    </w:p>
    <w:p w14:paraId="76C62BF2" w14:textId="2B90EC42" w:rsidR="004C09BA" w:rsidRDefault="004C09BA">
      <w:pPr>
        <w:rPr>
          <w:rFonts w:ascii="Times New Roman" w:hAnsi="Times New Roman" w:cs="Times New Roman"/>
          <w:sz w:val="24"/>
          <w:szCs w:val="24"/>
          <w:lang w:val="en-CH"/>
        </w:rPr>
      </w:pPr>
    </w:p>
    <w:p w14:paraId="71C477DD" w14:textId="19375BF6" w:rsidR="004C09BA" w:rsidRDefault="004C09BA">
      <w:pPr>
        <w:rPr>
          <w:rFonts w:ascii="Times New Roman" w:hAnsi="Times New Roman" w:cs="Times New Roman"/>
          <w:sz w:val="24"/>
          <w:szCs w:val="24"/>
          <w:lang w:val="en-CH"/>
        </w:rPr>
      </w:pPr>
    </w:p>
    <w:p w14:paraId="7BCFBDD0" w14:textId="6BB1BF68" w:rsidR="004C09BA" w:rsidRDefault="004C09BA">
      <w:pPr>
        <w:rPr>
          <w:rFonts w:ascii="Times New Roman" w:hAnsi="Times New Roman" w:cs="Times New Roman"/>
          <w:sz w:val="24"/>
          <w:szCs w:val="24"/>
          <w:lang w:val="en-CH"/>
        </w:rPr>
      </w:pPr>
    </w:p>
    <w:p w14:paraId="1D08F9E3" w14:textId="7C672BBD" w:rsidR="004C09BA" w:rsidRDefault="004C09BA">
      <w:pPr>
        <w:rPr>
          <w:rFonts w:ascii="Times New Roman" w:hAnsi="Times New Roman" w:cs="Times New Roman"/>
          <w:sz w:val="24"/>
          <w:szCs w:val="24"/>
          <w:lang w:val="en-CH"/>
        </w:rPr>
      </w:pPr>
    </w:p>
    <w:p w14:paraId="1D05ED4B" w14:textId="076D2500" w:rsidR="004C09BA" w:rsidRDefault="004C09BA">
      <w:pPr>
        <w:rPr>
          <w:rFonts w:ascii="Times New Roman" w:hAnsi="Times New Roman" w:cs="Times New Roman"/>
          <w:sz w:val="24"/>
          <w:szCs w:val="24"/>
          <w:lang w:val="en-CH"/>
        </w:rPr>
      </w:pPr>
    </w:p>
    <w:p w14:paraId="013120CF" w14:textId="54C45454" w:rsidR="004C09BA" w:rsidRDefault="004C09BA">
      <w:pPr>
        <w:rPr>
          <w:rFonts w:ascii="Times New Roman" w:hAnsi="Times New Roman" w:cs="Times New Roman"/>
          <w:sz w:val="24"/>
          <w:szCs w:val="24"/>
          <w:lang w:val="en-CH"/>
        </w:rPr>
      </w:pPr>
    </w:p>
    <w:p w14:paraId="4C47DF9D" w14:textId="7C5A6FA2" w:rsidR="004C09BA" w:rsidRDefault="004C09BA">
      <w:pPr>
        <w:rPr>
          <w:rFonts w:ascii="Times New Roman" w:hAnsi="Times New Roman" w:cs="Times New Roman"/>
          <w:sz w:val="24"/>
          <w:szCs w:val="24"/>
          <w:lang w:val="en-CH"/>
        </w:rPr>
      </w:pPr>
    </w:p>
    <w:p w14:paraId="3152A03B" w14:textId="7AD0EC0B" w:rsidR="004C09BA" w:rsidRPr="004C09BA" w:rsidRDefault="004C09BA" w:rsidP="004C09BA">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4C09BA">
        <w:rPr>
          <w:rFonts w:ascii="Calibri" w:hAnsi="Calibri" w:cs="Calibri"/>
          <w:noProof/>
          <w:szCs w:val="24"/>
        </w:rPr>
        <w:t xml:space="preserve">Bassetti, M., Vena, A., &amp; Giacobbe, D. R. (2020). The novel Chinese coronavirus (2019-nCoV) infections: Challenges for fighting the storm. </w:t>
      </w:r>
      <w:r w:rsidRPr="004C09BA">
        <w:rPr>
          <w:rFonts w:ascii="Calibri" w:hAnsi="Calibri" w:cs="Calibri"/>
          <w:i/>
          <w:iCs/>
          <w:noProof/>
          <w:szCs w:val="24"/>
        </w:rPr>
        <w:t>European Journal of Clinical Investigation</w:t>
      </w:r>
      <w:r w:rsidRPr="004C09BA">
        <w:rPr>
          <w:rFonts w:ascii="Calibri" w:hAnsi="Calibri" w:cs="Calibri"/>
          <w:noProof/>
          <w:szCs w:val="24"/>
        </w:rPr>
        <w:t xml:space="preserve">, </w:t>
      </w:r>
      <w:r w:rsidRPr="004C09BA">
        <w:rPr>
          <w:rFonts w:ascii="Calibri" w:hAnsi="Calibri" w:cs="Calibri"/>
          <w:i/>
          <w:iCs/>
          <w:noProof/>
          <w:szCs w:val="24"/>
        </w:rPr>
        <w:t>50</w:t>
      </w:r>
      <w:r w:rsidRPr="004C09BA">
        <w:rPr>
          <w:rFonts w:ascii="Calibri" w:hAnsi="Calibri" w:cs="Calibri"/>
          <w:noProof/>
          <w:szCs w:val="24"/>
        </w:rPr>
        <w:t>(3), e13209. https://doi.org/10.1111/eci.13209</w:t>
      </w:r>
    </w:p>
    <w:p w14:paraId="49D9C2E3" w14:textId="77777777" w:rsidR="004C09BA" w:rsidRPr="004C09BA" w:rsidRDefault="004C09BA" w:rsidP="004C09BA">
      <w:pPr>
        <w:widowControl w:val="0"/>
        <w:autoSpaceDE w:val="0"/>
        <w:autoSpaceDN w:val="0"/>
        <w:adjustRightInd w:val="0"/>
        <w:spacing w:line="240" w:lineRule="auto"/>
        <w:ind w:left="480" w:hanging="480"/>
        <w:rPr>
          <w:rFonts w:ascii="Calibri" w:hAnsi="Calibri" w:cs="Calibri"/>
          <w:noProof/>
          <w:szCs w:val="24"/>
        </w:rPr>
      </w:pPr>
      <w:r w:rsidRPr="004C09BA">
        <w:rPr>
          <w:rFonts w:ascii="Calibri" w:hAnsi="Calibri" w:cs="Calibri"/>
          <w:noProof/>
          <w:szCs w:val="24"/>
        </w:rPr>
        <w:t xml:space="preserve">Chan, J. F.-W., Yuan, S., Kok, K.-H., To, K. K.-W., Chu, H., Yang, J., Xing, F., Liu, J., Yip, C. C.-Y., Poon, R. W.-S., Tsoi, H.-W., Lo, S. K.-F., Chan, K.-H., Poon, V. K.-M., Chan, W.-M., Ip, J. D., Cai, J.-P., Cheng, V. C.-C., Chen, H., … Yuen, K.-Y. (2020). A familial cluster of pneumonia associated with the 2019 novel coronavirus indicating person-to-person transmission: a study of a family cluster. </w:t>
      </w:r>
      <w:r w:rsidRPr="004C09BA">
        <w:rPr>
          <w:rFonts w:ascii="Calibri" w:hAnsi="Calibri" w:cs="Calibri"/>
          <w:i/>
          <w:iCs/>
          <w:noProof/>
          <w:szCs w:val="24"/>
        </w:rPr>
        <w:t>The Lancet</w:t>
      </w:r>
      <w:r w:rsidRPr="004C09BA">
        <w:rPr>
          <w:rFonts w:ascii="Calibri" w:hAnsi="Calibri" w:cs="Calibri"/>
          <w:noProof/>
          <w:szCs w:val="24"/>
        </w:rPr>
        <w:t xml:space="preserve">, </w:t>
      </w:r>
      <w:r w:rsidRPr="004C09BA">
        <w:rPr>
          <w:rFonts w:ascii="Calibri" w:hAnsi="Calibri" w:cs="Calibri"/>
          <w:i/>
          <w:iCs/>
          <w:noProof/>
          <w:szCs w:val="24"/>
        </w:rPr>
        <w:t>395</w:t>
      </w:r>
      <w:r w:rsidRPr="004C09BA">
        <w:rPr>
          <w:rFonts w:ascii="Calibri" w:hAnsi="Calibri" w:cs="Calibri"/>
          <w:noProof/>
          <w:szCs w:val="24"/>
        </w:rPr>
        <w:t>(10223), 514–523. https://doi.org/https://doi.org/10.1016/S0140-6736(20)30154-9</w:t>
      </w:r>
    </w:p>
    <w:p w14:paraId="421654EF" w14:textId="77777777" w:rsidR="004C09BA" w:rsidRPr="004C09BA" w:rsidRDefault="004C09BA" w:rsidP="004C09BA">
      <w:pPr>
        <w:widowControl w:val="0"/>
        <w:autoSpaceDE w:val="0"/>
        <w:autoSpaceDN w:val="0"/>
        <w:adjustRightInd w:val="0"/>
        <w:spacing w:line="240" w:lineRule="auto"/>
        <w:ind w:left="480" w:hanging="480"/>
        <w:rPr>
          <w:rFonts w:ascii="Calibri" w:hAnsi="Calibri" w:cs="Calibri"/>
          <w:noProof/>
          <w:szCs w:val="24"/>
        </w:rPr>
      </w:pPr>
      <w:r w:rsidRPr="004C09BA">
        <w:rPr>
          <w:rFonts w:ascii="Calibri" w:hAnsi="Calibri" w:cs="Calibri"/>
          <w:noProof/>
          <w:szCs w:val="24"/>
        </w:rPr>
        <w:t xml:space="preserve">Fehr, A. R., &amp; Perlman, S. (2015). </w:t>
      </w:r>
      <w:r w:rsidRPr="004C09BA">
        <w:rPr>
          <w:rFonts w:ascii="Calibri" w:hAnsi="Calibri" w:cs="Calibri"/>
          <w:i/>
          <w:iCs/>
          <w:noProof/>
          <w:szCs w:val="24"/>
        </w:rPr>
        <w:t>Coronaviruses: An Overview of Their Replication and Pathogenesis BT  - Coronaviruses: Methods and Protocols</w:t>
      </w:r>
      <w:r w:rsidRPr="004C09BA">
        <w:rPr>
          <w:rFonts w:ascii="Calibri" w:hAnsi="Calibri" w:cs="Calibri"/>
          <w:noProof/>
          <w:szCs w:val="24"/>
        </w:rPr>
        <w:t xml:space="preserve"> (H. J. Maier, E. Bickerton, &amp; P. Britton (eds.); pp. 1–23). Springer New York. https://doi.org/10.1007/978-1-4939-2438-7_1</w:t>
      </w:r>
    </w:p>
    <w:p w14:paraId="6DC51FD3" w14:textId="77777777" w:rsidR="004C09BA" w:rsidRPr="004C09BA" w:rsidRDefault="004C09BA" w:rsidP="004C09BA">
      <w:pPr>
        <w:widowControl w:val="0"/>
        <w:autoSpaceDE w:val="0"/>
        <w:autoSpaceDN w:val="0"/>
        <w:adjustRightInd w:val="0"/>
        <w:spacing w:line="240" w:lineRule="auto"/>
        <w:ind w:left="480" w:hanging="480"/>
        <w:rPr>
          <w:rFonts w:ascii="Calibri" w:hAnsi="Calibri" w:cs="Calibri"/>
          <w:noProof/>
          <w:szCs w:val="24"/>
        </w:rPr>
      </w:pPr>
      <w:r w:rsidRPr="004C09BA">
        <w:rPr>
          <w:rFonts w:ascii="Calibri" w:hAnsi="Calibri" w:cs="Calibri"/>
          <w:noProof/>
          <w:szCs w:val="24"/>
        </w:rPr>
        <w:t xml:space="preserve">Huang, C., Wang, Y., Li, X., Ren, L., Zhao, J., Hu, Y., Zhang, L., Fan, G., Xu, J., Gu, X., Cheng, Z., Yu, T., Xia, J., Wei, Y., Wu, W., Xie, X., Yin, W., Li, H., Liu, M., … Cao, B. (2020). Clinical features of patients infected with 2019 novel coronavirus in Wuhan, China. </w:t>
      </w:r>
      <w:r w:rsidRPr="004C09BA">
        <w:rPr>
          <w:rFonts w:ascii="Calibri" w:hAnsi="Calibri" w:cs="Calibri"/>
          <w:i/>
          <w:iCs/>
          <w:noProof/>
          <w:szCs w:val="24"/>
        </w:rPr>
        <w:t>The Lancet</w:t>
      </w:r>
      <w:r w:rsidRPr="004C09BA">
        <w:rPr>
          <w:rFonts w:ascii="Calibri" w:hAnsi="Calibri" w:cs="Calibri"/>
          <w:noProof/>
          <w:szCs w:val="24"/>
        </w:rPr>
        <w:t xml:space="preserve">, </w:t>
      </w:r>
      <w:r w:rsidRPr="004C09BA">
        <w:rPr>
          <w:rFonts w:ascii="Calibri" w:hAnsi="Calibri" w:cs="Calibri"/>
          <w:i/>
          <w:iCs/>
          <w:noProof/>
          <w:szCs w:val="24"/>
        </w:rPr>
        <w:t>395</w:t>
      </w:r>
      <w:r w:rsidRPr="004C09BA">
        <w:rPr>
          <w:rFonts w:ascii="Calibri" w:hAnsi="Calibri" w:cs="Calibri"/>
          <w:noProof/>
          <w:szCs w:val="24"/>
        </w:rPr>
        <w:t>(10223), 497–506. https://doi.org/https://doi.org/10.1016/S0140-6736(20)30183-5</w:t>
      </w:r>
    </w:p>
    <w:p w14:paraId="3E62DB09" w14:textId="77777777" w:rsidR="004C09BA" w:rsidRPr="004C09BA" w:rsidRDefault="004C09BA" w:rsidP="004C09BA">
      <w:pPr>
        <w:widowControl w:val="0"/>
        <w:autoSpaceDE w:val="0"/>
        <w:autoSpaceDN w:val="0"/>
        <w:adjustRightInd w:val="0"/>
        <w:spacing w:line="240" w:lineRule="auto"/>
        <w:ind w:left="480" w:hanging="480"/>
        <w:rPr>
          <w:rFonts w:ascii="Calibri" w:hAnsi="Calibri" w:cs="Calibri"/>
          <w:noProof/>
          <w:szCs w:val="24"/>
        </w:rPr>
      </w:pPr>
      <w:r w:rsidRPr="004C09BA">
        <w:rPr>
          <w:rFonts w:ascii="Calibri" w:hAnsi="Calibri" w:cs="Calibri"/>
          <w:noProof/>
          <w:szCs w:val="24"/>
        </w:rPr>
        <w:t xml:space="preserve">Lu, H., Stratton, C. W., &amp; Tang, Y.-W. (2020). Outbreak of pneumonia of unknown etiology in Wuhan, China: The mystery and the miracle. </w:t>
      </w:r>
      <w:r w:rsidRPr="004C09BA">
        <w:rPr>
          <w:rFonts w:ascii="Calibri" w:hAnsi="Calibri" w:cs="Calibri"/>
          <w:i/>
          <w:iCs/>
          <w:noProof/>
          <w:szCs w:val="24"/>
        </w:rPr>
        <w:t>Journal of Medical Virology</w:t>
      </w:r>
      <w:r w:rsidRPr="004C09BA">
        <w:rPr>
          <w:rFonts w:ascii="Calibri" w:hAnsi="Calibri" w:cs="Calibri"/>
          <w:noProof/>
          <w:szCs w:val="24"/>
        </w:rPr>
        <w:t xml:space="preserve">, </w:t>
      </w:r>
      <w:r w:rsidRPr="004C09BA">
        <w:rPr>
          <w:rFonts w:ascii="Calibri" w:hAnsi="Calibri" w:cs="Calibri"/>
          <w:i/>
          <w:iCs/>
          <w:noProof/>
          <w:szCs w:val="24"/>
        </w:rPr>
        <w:t>92</w:t>
      </w:r>
      <w:r w:rsidRPr="004C09BA">
        <w:rPr>
          <w:rFonts w:ascii="Calibri" w:hAnsi="Calibri" w:cs="Calibri"/>
          <w:noProof/>
          <w:szCs w:val="24"/>
        </w:rPr>
        <w:t>(4), 401–402. https://doi.org/10.1002/jmv.25678</w:t>
      </w:r>
    </w:p>
    <w:p w14:paraId="7179CBFF" w14:textId="77777777" w:rsidR="004C09BA" w:rsidRPr="004C09BA" w:rsidRDefault="004C09BA" w:rsidP="004C09BA">
      <w:pPr>
        <w:widowControl w:val="0"/>
        <w:autoSpaceDE w:val="0"/>
        <w:autoSpaceDN w:val="0"/>
        <w:adjustRightInd w:val="0"/>
        <w:spacing w:line="240" w:lineRule="auto"/>
        <w:ind w:left="480" w:hanging="480"/>
        <w:rPr>
          <w:rFonts w:ascii="Calibri" w:hAnsi="Calibri" w:cs="Calibri"/>
          <w:noProof/>
          <w:szCs w:val="24"/>
        </w:rPr>
      </w:pPr>
      <w:r w:rsidRPr="004C09BA">
        <w:rPr>
          <w:rFonts w:ascii="Calibri" w:hAnsi="Calibri" w:cs="Calibri"/>
          <w:noProof/>
          <w:szCs w:val="24"/>
        </w:rPr>
        <w:t xml:space="preserve">Lu, R., Zhao, X., Li, J., Niu, P., Yang, B., Wu, H., Wang, W., Song, H., Huang, B., Zhu, N., Bi, Y., Ma, X., Zhan, F., Wang, L., Hu, T., Zhou, H., Hu, Z., Zhou, W., Zhao, L., … Tan, W. (2020). Genomic characterisation and epidemiology of 2019 novel coronavirus: implications for virus origins and receptor binding. </w:t>
      </w:r>
      <w:r w:rsidRPr="004C09BA">
        <w:rPr>
          <w:rFonts w:ascii="Calibri" w:hAnsi="Calibri" w:cs="Calibri"/>
          <w:i/>
          <w:iCs/>
          <w:noProof/>
          <w:szCs w:val="24"/>
        </w:rPr>
        <w:t>The Lancet</w:t>
      </w:r>
      <w:r w:rsidRPr="004C09BA">
        <w:rPr>
          <w:rFonts w:ascii="Calibri" w:hAnsi="Calibri" w:cs="Calibri"/>
          <w:noProof/>
          <w:szCs w:val="24"/>
        </w:rPr>
        <w:t xml:space="preserve">, </w:t>
      </w:r>
      <w:r w:rsidRPr="004C09BA">
        <w:rPr>
          <w:rFonts w:ascii="Calibri" w:hAnsi="Calibri" w:cs="Calibri"/>
          <w:i/>
          <w:iCs/>
          <w:noProof/>
          <w:szCs w:val="24"/>
        </w:rPr>
        <w:t>395</w:t>
      </w:r>
      <w:r w:rsidRPr="004C09BA">
        <w:rPr>
          <w:rFonts w:ascii="Calibri" w:hAnsi="Calibri" w:cs="Calibri"/>
          <w:noProof/>
          <w:szCs w:val="24"/>
        </w:rPr>
        <w:t>(10224), 565–574. https://doi.org/https://doi.org/10.1016/S0140-6736(20)30251-8</w:t>
      </w:r>
    </w:p>
    <w:p w14:paraId="6893ECC5" w14:textId="77777777" w:rsidR="004C09BA" w:rsidRPr="004C09BA" w:rsidRDefault="004C09BA" w:rsidP="004C09BA">
      <w:pPr>
        <w:widowControl w:val="0"/>
        <w:autoSpaceDE w:val="0"/>
        <w:autoSpaceDN w:val="0"/>
        <w:adjustRightInd w:val="0"/>
        <w:spacing w:line="240" w:lineRule="auto"/>
        <w:ind w:left="480" w:hanging="480"/>
        <w:rPr>
          <w:rFonts w:ascii="Calibri" w:hAnsi="Calibri" w:cs="Calibri"/>
          <w:noProof/>
        </w:rPr>
      </w:pPr>
      <w:r w:rsidRPr="004C09BA">
        <w:rPr>
          <w:rFonts w:ascii="Calibri" w:hAnsi="Calibri" w:cs="Calibri"/>
          <w:noProof/>
          <w:szCs w:val="24"/>
        </w:rPr>
        <w:t xml:space="preserve">Sohrabi, C., Alsafi, Z., Neill, N. O., Khan, M., Kerwan, A., Al-jabir, A., Iosifidis, C., &amp; Agha, R. (2020). World Health Organization declares global emergency : A review of the 2019 novel coronavirus ( COVID-19 ). </w:t>
      </w:r>
      <w:r w:rsidRPr="004C09BA">
        <w:rPr>
          <w:rFonts w:ascii="Calibri" w:hAnsi="Calibri" w:cs="Calibri"/>
          <w:i/>
          <w:iCs/>
          <w:noProof/>
          <w:szCs w:val="24"/>
        </w:rPr>
        <w:t>International Journal of Surgery</w:t>
      </w:r>
      <w:r w:rsidRPr="004C09BA">
        <w:rPr>
          <w:rFonts w:ascii="Calibri" w:hAnsi="Calibri" w:cs="Calibri"/>
          <w:noProof/>
          <w:szCs w:val="24"/>
        </w:rPr>
        <w:t xml:space="preserve">, </w:t>
      </w:r>
      <w:r w:rsidRPr="004C09BA">
        <w:rPr>
          <w:rFonts w:ascii="Calibri" w:hAnsi="Calibri" w:cs="Calibri"/>
          <w:i/>
          <w:iCs/>
          <w:noProof/>
          <w:szCs w:val="24"/>
        </w:rPr>
        <w:t>76</w:t>
      </w:r>
      <w:r w:rsidRPr="004C09BA">
        <w:rPr>
          <w:rFonts w:ascii="Calibri" w:hAnsi="Calibri" w:cs="Calibri"/>
          <w:noProof/>
          <w:szCs w:val="24"/>
        </w:rPr>
        <w:t>(February), 71–76. https://doi.org/10.1016/j.ijsu.2020.02.034</w:t>
      </w:r>
    </w:p>
    <w:p w14:paraId="3479A5BE" w14:textId="73995B43" w:rsidR="004C09BA" w:rsidRDefault="004C09BA">
      <w:r>
        <w:fldChar w:fldCharType="end"/>
      </w:r>
    </w:p>
    <w:sectPr w:rsidR="004C0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1CB16" w14:textId="77777777" w:rsidR="00DA365D" w:rsidRDefault="00DA365D" w:rsidP="004C09BA">
      <w:pPr>
        <w:spacing w:after="0" w:line="240" w:lineRule="auto"/>
      </w:pPr>
      <w:r>
        <w:separator/>
      </w:r>
    </w:p>
  </w:endnote>
  <w:endnote w:type="continuationSeparator" w:id="0">
    <w:p w14:paraId="595474E4" w14:textId="77777777" w:rsidR="00DA365D" w:rsidRDefault="00DA365D" w:rsidP="004C0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FD45D" w14:textId="77777777" w:rsidR="00DA365D" w:rsidRDefault="00DA365D" w:rsidP="004C09BA">
      <w:pPr>
        <w:spacing w:after="0" w:line="240" w:lineRule="auto"/>
      </w:pPr>
      <w:r>
        <w:separator/>
      </w:r>
    </w:p>
  </w:footnote>
  <w:footnote w:type="continuationSeparator" w:id="0">
    <w:p w14:paraId="34783D8E" w14:textId="77777777" w:rsidR="00DA365D" w:rsidRDefault="00DA365D" w:rsidP="004C09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BA"/>
    <w:rsid w:val="004C09BA"/>
    <w:rsid w:val="00772F3C"/>
    <w:rsid w:val="00DA365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80AC3"/>
  <w15:chartTrackingRefBased/>
  <w15:docId w15:val="{BF69F7DC-1327-4EA3-8BB9-4E309C66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C09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09BA"/>
    <w:rPr>
      <w:sz w:val="20"/>
      <w:szCs w:val="20"/>
      <w:lang w:val="it-IT"/>
    </w:rPr>
  </w:style>
  <w:style w:type="character" w:styleId="FootnoteReference">
    <w:name w:val="footnote reference"/>
    <w:basedOn w:val="DefaultParagraphFont"/>
    <w:uiPriority w:val="99"/>
    <w:semiHidden/>
    <w:unhideWhenUsed/>
    <w:rsid w:val="004C09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6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A0C46-0EDA-4468-B6F6-2C8162F1A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4787</Words>
  <Characters>27292</Characters>
  <Application>Microsoft Office Word</Application>
  <DocSecurity>0</DocSecurity>
  <Lines>227</Lines>
  <Paragraphs>64</Paragraphs>
  <ScaleCrop>false</ScaleCrop>
  <Company/>
  <LinksUpToDate>false</LinksUpToDate>
  <CharactersWithSpaces>32015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De Luca</dc:creator>
  <cp:keywords/>
  <dc:description/>
  <cp:lastModifiedBy>Alessandro De Luca</cp:lastModifiedBy>
  <cp:revision>1</cp:revision>
  <dcterms:created xsi:type="dcterms:W3CDTF">2021-03-23T07:31:00Z</dcterms:created>
  <dcterms:modified xsi:type="dcterms:W3CDTF">2021-03-23T07:35:00Z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b5f0ce6e-7c80-3b90-9c6b-139a7bc65825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