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65DF" w14:textId="70D1D602" w:rsidR="00822C61"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2020)","previouslyFormattedCitation":"(Sohrabi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2015)","previouslyFormattedCitation":"(Fehr &amp; Perlman, 2015)"},"properties":{"noteIndex":0},"schema":"https://github.com/citation-style-language/schema/raw/master/csl-citation.json"}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2020)","previouslyFormattedCitation":"(Bassetti et al., 2020; Chan et al., 2020; Huang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sidR="005E555B">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2020)","previouslyFormattedCitation":"(Rothan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r w:rsidR="001501BF">
        <w:rPr>
          <w:rFonts w:ascii="Times New Roman" w:hAnsi="Times New Roman" w:cs="Times New Roman"/>
          <w:sz w:val="24"/>
          <w:szCs w:val="24"/>
          <w:lang w:val="en-CH"/>
        </w:rPr>
        <w:t xml:space="preserve"> </w:t>
      </w:r>
      <w:r w:rsidR="001501BF" w:rsidRPr="001501BF">
        <w:rPr>
          <w:rFonts w:ascii="Times New Roman" w:hAnsi="Times New Roman" w:cs="Times New Roman"/>
          <w:sz w:val="24"/>
          <w:szCs w:val="24"/>
          <w:lang w:val="en-CH"/>
        </w:rPr>
        <w:t>The person-to-person transmission of COVID-19 occurs through direct contact or through droplets derived from coughing or sneezing of infected patients (</w:t>
      </w:r>
      <w:proofErr w:type="spellStart"/>
      <w:r w:rsidR="001501BF" w:rsidRPr="001501BF">
        <w:rPr>
          <w:rFonts w:ascii="Times New Roman" w:hAnsi="Times New Roman" w:cs="Times New Roman"/>
          <w:sz w:val="24"/>
          <w:szCs w:val="24"/>
          <w:lang w:val="en-CH"/>
        </w:rPr>
        <w:t>Rothan</w:t>
      </w:r>
      <w:proofErr w:type="spellEnd"/>
      <w:r w:rsidR="001501BF" w:rsidRPr="001501BF">
        <w:rPr>
          <w:rFonts w:ascii="Times New Roman" w:hAnsi="Times New Roman" w:cs="Times New Roman"/>
          <w:sz w:val="24"/>
          <w:szCs w:val="24"/>
          <w:lang w:val="en-CH"/>
        </w:rPr>
        <w:t xml:space="preserve"> &amp; </w:t>
      </w:r>
      <w:proofErr w:type="spellStart"/>
      <w:r w:rsidR="001501BF" w:rsidRPr="001501BF">
        <w:rPr>
          <w:rFonts w:ascii="Times New Roman" w:hAnsi="Times New Roman" w:cs="Times New Roman"/>
          <w:sz w:val="24"/>
          <w:szCs w:val="24"/>
          <w:lang w:val="en-CH"/>
        </w:rPr>
        <w:t>Byrareddy</w:t>
      </w:r>
      <w:proofErr w:type="spellEnd"/>
      <w:r w:rsidR="001501BF" w:rsidRPr="001501BF">
        <w:rPr>
          <w:rFonts w:ascii="Times New Roman" w:hAnsi="Times New Roman" w:cs="Times New Roman"/>
          <w:sz w:val="24"/>
          <w:szCs w:val="24"/>
          <w:lang w:val="en-CH"/>
        </w:rPr>
        <w:t>, 2020)</w:t>
      </w:r>
      <w:r w:rsidR="001501BF">
        <w:rPr>
          <w:rFonts w:ascii="Times New Roman" w:hAnsi="Times New Roman" w:cs="Times New Roman"/>
          <w:sz w:val="24"/>
          <w:szCs w:val="24"/>
          <w:lang w:val="en-CH"/>
        </w:rPr>
        <w:t xml:space="preserve">. </w:t>
      </w:r>
    </w:p>
    <w:p w14:paraId="4D56D779" w14:textId="5ACC6EAF" w:rsidR="00772F3C" w:rsidRDefault="001501BF">
      <w:pPr>
        <w:rPr>
          <w:rFonts w:ascii="Times New Roman" w:hAnsi="Times New Roman" w:cs="Times New Roman"/>
          <w:sz w:val="24"/>
          <w:szCs w:val="24"/>
        </w:rPr>
      </w:pPr>
      <w:r>
        <w:rPr>
          <w:rFonts w:ascii="Times New Roman" w:hAnsi="Times New Roman" w:cs="Times New Roman"/>
          <w:sz w:val="24"/>
          <w:szCs w:val="24"/>
          <w:lang w:val="en-CH"/>
        </w:rPr>
        <w:t>O</w:t>
      </w:r>
      <w:r>
        <w:rPr>
          <w:rFonts w:ascii="Times New Roman" w:hAnsi="Times New Roman" w:cs="Times New Roman"/>
          <w:sz w:val="24"/>
          <w:szCs w:val="24"/>
        </w:rPr>
        <w:t xml:space="preserve">n the 30th of January 2020 the WHO declared COVID-19 a Public Health Emergency of International Concern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2020)","manualFormatting":"(Sohrabi et al., 2020; World Health Organization, 11 February 2020)","plainTextFormattedCitation":"(Sohrabi et al., 2020)","previouslyFormattedCitation":"(Sohrabi et al., 2020)"},"properties":{"noteIndex":0},"schema":"https://github.com/citation-style-language/schema/raw/master/csl-citation.json"}</w:instrText>
      </w:r>
      <w:r>
        <w:rPr>
          <w:rFonts w:ascii="Times New Roman" w:hAnsi="Times New Roman" w:cs="Times New Roman"/>
          <w:sz w:val="24"/>
          <w:szCs w:val="24"/>
        </w:rPr>
        <w:fldChar w:fldCharType="separate"/>
      </w:r>
      <w:r w:rsidRPr="00CC4987">
        <w:rPr>
          <w:rFonts w:ascii="Times New Roman" w:hAnsi="Times New Roman" w:cs="Times New Roman"/>
          <w:noProof/>
          <w:sz w:val="24"/>
          <w:szCs w:val="24"/>
        </w:rPr>
        <w:t>(Sohrabi et al., 2020</w:t>
      </w:r>
      <w:r>
        <w:rPr>
          <w:rFonts w:ascii="Times New Roman" w:hAnsi="Times New Roman" w:cs="Times New Roman"/>
          <w:noProof/>
          <w:sz w:val="24"/>
          <w:szCs w:val="24"/>
        </w:rPr>
        <w:t>; World Health Organization, 11 February 2020</w:t>
      </w:r>
      <w:r w:rsidRPr="00CC498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After cases in multiple countries such as Italy, France, Germany, Spain, South Korea, Iran, USA, and evidence of local person-to-person transmission of the disease, on the 13th of March 2020 the WHO declared COVID-19 a pandemic (World Health Organization, 13 March 2020).</w:t>
      </w:r>
      <w:r w:rsidR="000E02CE">
        <w:rPr>
          <w:rFonts w:ascii="Times New Roman" w:hAnsi="Times New Roman" w:cs="Times New Roman"/>
          <w:sz w:val="24"/>
          <w:szCs w:val="24"/>
          <w:lang w:val="en-CH"/>
        </w:rPr>
        <w:t xml:space="preserve"> </w:t>
      </w:r>
      <w:r w:rsidR="000E02CE">
        <w:rPr>
          <w:rFonts w:ascii="Times New Roman" w:hAnsi="Times New Roman" w:cs="Times New Roman"/>
          <w:sz w:val="24"/>
          <w:szCs w:val="24"/>
        </w:rPr>
        <w:t>The classification of COVID-19 as a pandemic resulted in the implementation of multiple mitigation measures by the affected countries, in order to control the outbreak. This is especially important in the first phases of the outbreak as SARS-CoV-2 has a reported average R</w:t>
      </w:r>
      <w:r w:rsidR="000E02CE">
        <w:rPr>
          <w:rFonts w:ascii="Times New Roman" w:hAnsi="Times New Roman" w:cs="Times New Roman"/>
          <w:sz w:val="24"/>
          <w:szCs w:val="24"/>
          <w:vertAlign w:val="subscript"/>
        </w:rPr>
        <w:t>0</w:t>
      </w:r>
      <w:r w:rsidR="000E02CE">
        <w:rPr>
          <w:rFonts w:ascii="Times New Roman" w:hAnsi="Times New Roman" w:cs="Times New Roman"/>
          <w:sz w:val="24"/>
          <w:szCs w:val="24"/>
        </w:rPr>
        <w:t xml:space="preserve"> of 3.28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{"citationItems":[{"id":"ITEM-1","itemData":{"DOI":"10.1093/jtm/taaa021","author":[{"dropping-particle":"","family":"Liu","given":"Ying","non-dropping-particle":"","parse-names":false,"suffix":""},{"dropping-particle":"","family":"Gayle","given":"Albert A","non-dropping-particle":"","parse-names":false,"suffix":""},{"dropping-particle":"","family":"Wilder-smith","given":"Annelies","non-dropping-particle":"","parse-names":false,"suffix":""},{"dropping-particle":"","family":"Rocklöv","given":"Joacim","non-dropping-particle":"","parse-names":false,"suffix":""}],"id":"ITEM-1","issue":"Figure 1","issued":{"date-parts":[["2020"]]},"page":"1-4","title":"The reproductive number of COVID-19 is higher compared to SARS coronavirus","type":"article-journal"},"uris":["http://www.mendeley.com/documents/?uuid=4baf0e20-296f-4ae9-a3b3-738f884102b7"]}],"mendeley":{"formattedCitation":"(Liu et al., 2020)","plainTextFormattedCitation":"(Liu et al., 2020)","previouslyFormattedCitation":"(Liu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9B0105">
        <w:rPr>
          <w:rFonts w:ascii="Times New Roman" w:hAnsi="Times New Roman" w:cs="Times New Roman"/>
          <w:noProof/>
          <w:sz w:val="24"/>
          <w:szCs w:val="24"/>
        </w:rPr>
        <w:t>(Liu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Usually as the epidemic progresses the reproductive number of a virus declines steadily until it reaches a value lower than 1 and decays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This is due to lack of susceptible individuals or because of the effect of implementation of multiple mitigation measures. This is supported by simulation studies on COVID-19 transmission using SEIR models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{"citationItems":[{"id":"ITEM-1","itemData":{"DOI":"10.1002/jmv.25750","ISSN":"0146-6615","abstract":"Abstract Using the parameterized susceptible-exposed-infectious-recovered model, we simulated the spread dynamics of coronavirus disease 2019 (COVID-19) outbreak and impact of different control measures, conducted the sensitivity analysis to identify the key factor, plotted the trend curve of effective reproductive number (R), and performed data fitting after the simulation. By simulation and data fitting, the model showed the peak existing confirmed cases of 59?769 arriving on 15 February 2020, with the coefficient of determination close to 1 and the fitting bias 3.02%, suggesting high precision of the data-fitting results. More rigorous government control policies were associated with a slower increase in the infected population. Isolation and protective procedures would be less effective as more cases accrue, so the optimization of the treatment plan and the development of specific drugs would be of more importance. There was an upward trend of R in the beginning, followed by a downward trend, a temporary rebound, and another continuous decline. The feature of high infectiousness for severe acute respiratory syndrome coronavirus 2(SARS-CoV-2) led to an upward trend, and government measures contributed to the temporary rebound and declines. The declines of R could be exploited as strong evidence for the effectiveness of the interventions. Evidence from the four-phase stringent measures showed that it was significant to ensure early detection, early isolation, early treatment, adequate medical supplies, patients? being admitted to designated hospitals, and comprehensive therapeutic strategy. Collaborative efforts are required to combat the novel coronavirus, focusing on both persistent strict domestic interventions and vigilance against exogenous imported cases.","author":[{"dropping-particle":"","family":"Fang","given":"Yaqing","non-dropping-particle":"","parse-names":false,"suffix":""},{"dropping-particle":"","family":"Nie","given":"Yiting","non-dropping-particle":"","parse-names":false,"suffix":""},{"dropping-particle":"","family":"Penny","given":"Marshare","non-dropping-particle":"","parse-names":false,"suffix":""}],"container-title":"Journal of Medical Virology","id":"ITEM-1","issue":"6","issued":{"date-parts":[["2020","6","1"]]},"note":"doi: 10.1002/jmv.25750","page":"645-659","publisher":"John Wiley &amp; Sons, Ltd","title":"Transmission dynamics of the COVID-19 outbreak and effectiveness of government interventions: A data-driven analysis","type":"article-journal","volume":"92"},"uris":["http://www.mendeley.com/documents/?uuid=a831ac76-01de-4445-9f07-7451ea69fcb8"]}],"mendeley":{"formattedCitation":"(Fang et al., 2020)","plainTextFormattedCitation":"(Fang et al., 2020)","previouslyFormattedCitation":"(Fang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(Fang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The main objectives of mitigation measures are minimising morbidity and mortality, avoiding or shifting in time epidemic peaks to avoid overwhelming the health-care system and </w:t>
      </w:r>
      <w:r w:rsidR="000E02CE">
        <w:rPr>
          <w:rFonts w:ascii="Times New Roman" w:hAnsi="Times New Roman" w:cs="Times New Roman"/>
          <w:sz w:val="24"/>
          <w:szCs w:val="24"/>
          <w:lang w:val="en-CH"/>
        </w:rPr>
        <w:t xml:space="preserve">to </w:t>
      </w:r>
      <w:r w:rsidR="000E02CE">
        <w:rPr>
          <w:rFonts w:ascii="Times New Roman" w:hAnsi="Times New Roman" w:cs="Times New Roman"/>
          <w:sz w:val="24"/>
          <w:szCs w:val="24"/>
        </w:rPr>
        <w:t xml:space="preserve">flatten the epidemic curve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D05301">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w:t>
      </w:r>
    </w:p>
    <w:p w14:paraId="2E0AA0E4" w14:textId="77777777" w:rsidR="00A97DEC" w:rsidRDefault="005E555B">
      <w:pPr>
        <w:rPr>
          <w:rFonts w:ascii="Times New Roman" w:hAnsi="Times New Roman" w:cs="Times New Roman"/>
          <w:sz w:val="24"/>
          <w:szCs w:val="24"/>
          <w:lang w:val="en-CH"/>
        </w:rPr>
      </w:pPr>
      <w:r>
        <w:rPr>
          <w:rFonts w:ascii="Times New Roman" w:hAnsi="Times New Roman" w:cs="Times New Roman"/>
          <w:sz w:val="24"/>
          <w:szCs w:val="24"/>
          <w:lang w:val="en-CH"/>
        </w:rPr>
        <w:t>As COVID-19 has evolved to a global pandemic discussion about it has been continuing through the past year and on numerous platforms. Probably the largest amount of discussing about the pandemic has happened on social media, especially by the general public</w:t>
      </w:r>
      <w:r w:rsidR="000C2E52">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{"citationItems":[{"id":"ITEM-1","itemData":{"author":[{"dropping-particle":"","family":"Pastor","given":"Cherish Kay","non-dropping-particle":"","parse-names":false,"suffix":""}],"container-title":"Available at SSRN 3574385","id":"ITEM-1","issued":{"date-parts":[["2020"]]},"title":"Sentiment analysis of Filipinos and effects of extreme community quarantine due to coronavirus (Covid-19) pandemic","type":"article-journal"},"uris":["http://www.mendeley.com/documents/?uuid=d7b2def0-c44b-4e55-82c0-2b1dbc79bda1"]}],"mendeley":{"formattedCitation":"(Pastor, 2020)","plainTextFormattedCitation":"(Pastor, 2020)","previouslyFormattedCitation":"(Pastor,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(Pastor, 2020)</w:t>
      </w:r>
      <w:r w:rsidR="000C2E52">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Due its enormous usage social media is considered one of the global centres of big data </w:t>
      </w:r>
      <w:r>
        <w:rPr>
          <w:rStyle w:val="FootnoteReference"/>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{"citationItems":[{"id":"ITEM-1","itemData":{"DOI":"https://doi.org/10.1016/j.telpol.2015.04.003","ISSN":"0308-5961","abstract":"An emerging area of inquiry in Internet governance scholarship is the role of private information intermediaries in enacting governance via technical design choices and user policies. Following this trajectory, this paper addresses governance by social media rather than governance of social media. Informed by conceptual frameworks from Internet governance and Science and Technology Studies, it examines the extent to which these platforms either promote or constrain rights in three thematic areas: (1) anonymous speech and individual privacy; (2) the ability to express ideas or, stated as a negative liberty, freedom from censorship; and (3) technical affordances of interoperability and permissionless innovation. Because of their unique role as the intermediaries providing citizens with access to the digital public sphere, social media platforms are central points of control on the Internet. Viewing these private platforms through an Internet governance lens, rather than a content lens, suggests that social media technical architectures and policies actually pose several challenges to communication rights as well as to the open Internet. There is an opportunity for Internet governance studies, which have primarily focused on governmental policies and new global institutions, to give greater consideration to the direct policymaking role of private intermediaries and the accompanying phenomenon of the privatization of human rights.","author":[{"dropping-particle":"","family":"DeNardis","given":"L","non-dropping-particle":"","parse-names":false,"suffix":""},{"dropping-particle":"","family":"Hackl","given":"A M","non-dropping-particle":"","parse-names":false,"suffix":""}],"container-title":"Telecommunications Policy","id":"ITEM-1","issue":"9","issued":{"date-parts":[["2015"]]},"note":"SPECIAL ISSUE ON THE GOVERNANCE OF SOCIAL MEDIA","page":"761-770","title":"Internet governance by social media platforms","type":"article-journal","volume":"39"},"uris":["http://www.mendeley.com/documents/?uuid=eecacc01-222a-4f26-b9a6-4959624214bb"]}],"mendeley":{"formattedCitation":"(DeNardis &amp; Hackl, 2015)","plainTextFormattedCitation":"(DeNardis &amp; Hackl, 2015)","previouslyFormattedCitation":"(DeNardis &amp; Hackl, 2015)"},"properties":{"noteIndex":0},"schema":"https://github.com/citation-style-language/schema/raw/master/csl-citation.json"}</w:instrText>
      </w:r>
      <w:r>
        <w:rPr>
          <w:rStyle w:val="FootnoteReference"/>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(DeNardis &amp; Hackl, 2015)</w:t>
      </w:r>
      <w:r>
        <w:rPr>
          <w:rStyle w:val="FootnoteReference"/>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The amount of information and the length of time spent on social media by users has been shown to have an influence on the users’ behaviour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{"citationItems":[{"id":"ITEM-1","itemData":{"DOI":"10.1016/j.eswa.2020.114155","ISSN":"0957-4174","abstract":"The COVID-19 pandemic caused by the novel coronavirus SARS-CoV-2 occurred unexpectedly in China in December 2019. Tens of millions of confirmed cases and more than hundreds of thousands of confirmed deaths are reported worldwide according to the World Health Organisation. News about the virus is spreading all over social media websites. Consequently, these social media outlets are experiencing and presenting different views, opinions and emotions during various outbreak-related incidents. For computer scientists and researchers, big data are valuable assets for understanding people's sentiments regarding current events, especially those related to the pandemic. Therefore, analysing these sentiments will yield remarkable findings. To the best of our knowledge, previous related studies have focused on one kind of infectious disease. No previous study has examined multiple diseases via sentiment analysis. Accordingly, this research aimed to review and analyse articles about the occurrence of different types of infectious diseases, such as epidemics, pandemics, viruses or outbreaks, during the last 10 years, understand the application of sentiment analysis and obtain the most important literature findings. Articles on related topics were systematically searched in five major databases, namely, ScienceDirect, PubMed, Web of Science, IEEE Xplore and Scopus, from 1 January 2010 to 30 June 2020. These indices were considered sufficiently extensive and reliable to cover our scope of the literature. Articles were selected based on our inclusion and exclusion criteria for the systematic review, with a total of n = 28 articles selected. All these articles were formed into a coherent taxonomy to describe the corresponding current standpoints in the literature in accordance with four main categories: lexicon-based models, machine learning-based models, hybrid-based models and individuals. The obtained articles were categorised into motivations related to disease mitigation, data analysis and challenges faced by researchers with respect to data, social media platforms and community. Other aspects, such as the protocol being followed by the systematic review and demographic statistics of the literature distribution, were included in the review. Interesting patterns were observed in the literature, and the identified articles were grouped accordingly. This study emphasised the current standpoint and opportunities for research in this area and promoted additional efforts…","author":[{"dropping-particle":"","family":"Alamoodi","given":"A H","non-dropping-particle":"","parse-names":false,"suffix":""},{"dropping-particle":"","family":"Zaidan","given":"B B","non-dropping-particle":"","parse-names":false,"suffix":""},{"dropping-particle":"","family":"Zaidan","given":"A A","non-dropping-particle":"","parse-names":false,"suffix":""},{"dropping-particle":"","family":"Albahri","given":"O S","non-dropping-particle":"","parse-names":false,"suffix":""},{"dropping-particle":"","family":"Mohammed","given":"K I","non-dropping-particle":"","parse-names":false,"suffix":""},{"dropping-particle":"","family":"Malik","given":"R Q","non-dropping-particle":"","parse-names":false,"suffix":""},{"dropping-particle":"","family":"Almahdi","given":"E M","non-dropping-particle":"","parse-names":false,"suffix":""},{"dropping-particle":"","family":"Chyad","given":"M A","non-dropping-particle":"","parse-names":false,"suffix":""},{"dropping-particle":"","family":"Tareq","given":"Z","non-dropping-particle":"","parse-names":false,"suffix":""},{"dropping-particle":"","family":"Albahri","given":"A S","non-dropping-particle":"","parse-names":false,"suffix":""},{"dropping-particle":"","family":"Hameed","given":"Hamsa","non-dropping-particle":"","parse-names":false,"suffix":""},{"dropping-particle":"","family":"Alaa","given":"Musaab","non-dropping-particle":"","parse-names":false,"suffix":""}],"container-title":"Expert systems with applications","edition":"2020/10/28","id":"ITEM-1","issued":{"date-parts":[["2021","4","1"]]},"language":"eng","page":"114155","publisher":"Elsevier Ltd.","title":"Sentiment analysis and its applications in fighting COVID-19 and infectious diseases: A systematic review","type":"article-journal","volume":"167"},"uris":["http://www.mendeley.com/documents/?uuid=8bd13518-9a6c-46f9-b310-a7f05805f662"]}],"mendeley":{"formattedCitation":"(Alamoodi et al., 2021)","plainTextFormattedCitation":"(Alamoodi et al., 2021)","previouslyFormattedCitation":"(Alamoodi et al., 2021)"},"properties":{"noteIndex":0},"schema":"https://github.com/citation-style-language/schema/raw/master/csl-citation.json"}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(Alamoodi et al., 2021)</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This is influence has an effect not only on the users themselves but is also essential to governmental decision making as it is a direct catalogue of public opinion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author":[{"dropping-particle":"","family":"Chung","given":"Wingyan","non-dropping-particle":"","parse-names":false,"suffix":""},{"dropping-particle":"","family":"He","given":"Saike","non-dropping-particle":"","parse-names":false,"suffix":""},{"dropping-particle":"","family":"Zeng","given":"Daniel","non-dropping-particle":"","parse-names":false,"suffix":""}],"id":"ITEM-1","issued":{"date-parts":[["2015"]]},"title":"eMood: Modeling emotion for social media analytics on Ebola disease outbreak","type":"article-journal"},"uris":["http://www.mendeley.com/documents/?uuid=4fbc5a55-be5f-4b11-8042-dcf02058bce3"]}],"mendeley":{"formattedCitation":"(Chung et al., 2015)","plainTextFormattedCitation":"(Chung et al., 2015)","previouslyFormattedCitation":"(Chung et al., 2015)"},"properties":{"noteIndex":0},"schema":"https://github.com/citation-style-language/schema/raw/master/csl-citation.json"}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(Chung et al., 2015)</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One of the ways of extracting information from social media data is sentiment analysis as it can contribute to the understanding of human emotions through the users’ engagement with social media </w:t>
      </w:r>
      <w:r>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{"citationItems":[{"id":"ITEM-1","itemData":{"DOI":"10.1007/978-3-319-30319-2_17","ISBN":"978-3-319-30319-2","abstract":"Disease monitoring and tracking is of tremendous value, not only for containing the spread of contagious diseases but also for avoiding unnecessary public concerns and even panic. In this chapter, we present a near real-time sentiment analysis service of public health-related tweets. Traditionally, it is impossible for humans to effectively measure the degree of public health concerns due to limited resources and significant time delays. To solve this problem, we have developed a computational intelligenceComputational intelligence\tapproach for Epidemic Sentiment Monitoring System (ESMOS) to automatically analyze the disease sentiments and gauge the Measure of Concern (MOC) expressed by Twitter users. More specifically, we present a knowledge-based approach that employs a disease ontology to detect the outbreak of diseases and to analyze the linguistic expressions that convey subjective expressions and sentiment polarity of emotions, feelings, opinions, personal attitudes, etc. with a sentiment classifier. The two-step sentiment classification method utilizes the subjective vocabulary corpus (MPQA), sentiment strength corpus (AFINN), as well as emoticons and profanity words that are often used in social media postings. It first automatically classifies the tweets into personal and non-personal classes, eliminating many tweets such as non-personal ``retweets'' of news articles from further consideration. In the second stage, the personal tweets are classified into Negative and non-Negative sentiments. In addition, we present a model to quantify the public's Measure of Concern (MOC) about a disease, based on sentiment classification results. The trends of the public MOC are visualized on a timeline. Correlation analyses between MOC timeline and disease-related sentiment category timelines show that the peaks of the MOC are weakly correlated with the peaks of the News timeline without any appreciable time delay or lead. Our sentiment analysis method and the MOC trend analyses can be generalized to other topical domains, such as mental health monitoring and crisis management. We present the ESMOS prototype for public health-related disease monitoring, for public concern trending and for mapping analyses.","author":[{"dropping-particle":"","family":"Ji","given":"Xiang","non-dropping-particle":"","parse-names":false,"suffix":""},{"dropping-particle":"","family":"Chun","given":"Soon Ae","non-dropping-particle":"","parse-names":false,"suffix":""},{"dropping-particle":"","family":"Geller","given":"James","non-dropping-particle":"","parse-names":false,"suffix":""}],"container-title":"Sentiment Analysis and Ontology Engineering: An Environment of Computational Intelligence","editor":[{"dropping-particle":"","family":"Pedrycz","given":"Witold","non-dropping-particle":"","parse-names":false,"suffix":""},{"dropping-particle":"","family":"Chen","given":"Shyi-Ming","non-dropping-particle":"","parse-names":false,"suffix":""}],"id":"ITEM-1","issued":{"date-parts":[["2016"]]},"page":"425-454","publisher":"Springer International Publishing","publisher-place":"Cham","title":"Knowledge-Based Tweet Classification for Disease Sentiment Monitoring","type":"chapter"},"uris":["http://www.mendeley.com/documents/?uuid=7f8c3fc0-e858-4091-a796-bcd91ac51c3b"]}],"mendeley":{"formattedCitation":"(Ji et al., 2016)","plainTextFormattedCitation":"(Ji et al., 2016)","previouslyFormattedCitation":"(Ji et al., 2016)"},"properties":{"noteIndex":0},"schema":"https://github.com/citation-style-language/schema/raw/master/csl-citation.json"}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(Ji et al., 2016)</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t xml:space="preserve">A sentiment based approach to </w:t>
      </w:r>
      <w:r w:rsidR="000C2E52">
        <w:rPr>
          <w:rFonts w:ascii="Times New Roman" w:hAnsi="Times New Roman" w:cs="Times New Roman"/>
          <w:sz w:val="24"/>
          <w:szCs w:val="24"/>
          <w:lang w:val="en-CH"/>
        </w:rPr>
        <w:lastRenderedPageBreak/>
        <w:t xml:space="preserve">analysing the COVID-19 pandemic has already shown good results in both prediction and inference of the general public’s opinion on both mitigation measures and the pandemic as a whole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Wang","given":"Shihan","non-dropping-particle":"","parse-names":false,"suffix":""},{"dropping-particle":"","family":"Schraagen","given":"Marijn","non-dropping-particle":"","parse-names":false,"suffix":""},{"dropping-particle":"","family":"Sang","given":"Erik Tjong Kim","non-dropping-particle":"","parse-names":false,"suffix":""},{"dropping-particle":"","family":"Dastani","given":"Mehdi","non-dropping-particle":"","parse-names":false,"suffix":""}],"id":"ITEM-1","issued":{"date-parts":[["2020"]]},"title":"Public Sentiment on Governmental COVID-19 Measures in Dutch Social Media","type":"article-journal"},"uris":["http://www.mendeley.com/documents/?uuid=0cf2f944-197c-47c5-a29e-8b7bbc4f8747"]},{"id":"ITEM-2","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-2","issued":{"date-parts":[["2021"]]},"title":"Social Media and Policy Responses to the COVID-19 Pandemic in Switzerland","type":"article-journal"},"uris":["http://www.mendeley.com/documents/?uuid=bacb0451-e9f2-4bb5-b305-d1430f07cda6"]},{"id":"ITEM-3","itemData":{"author":[{"dropping-particle":"","family":"Aljameel","given":"Sumayh S","non-dropping-particle":"","parse-names":false,"suffix":""},{"dropping-particle":"","family":"Alabbad","given":"Dina A","non-dropping-particle":"","parse-names":false,"suffix":""},{"dropping-particle":"","family":"Alzahrani","given":"Norah A","non-dropping-particle":"","parse-names":false,"suffix":""},{"dropping-particle":"","family":"Alqarni","given":"Shouq M","non-dropping-particle":"","parse-names":false,"suffix":""},{"dropping-particle":"","family":"Alamoudi","given":"Fatimah A","non-dropping-particle":"","parse-names":false,"suffix":""},{"dropping-particle":"","family":"Babili","given":"Lana M","non-dropping-particle":"","parse-names":false,"suffix":""},{"dropping-particle":"","family":"Aljaafary","given":"Somiah K","non-dropping-particle":"","parse-names":false,"suffix":""},{"dropping-particle":"","family":"Alshamrani","given":"Fatima M","non-dropping-particle":"","parse-names":false,"suffix":""}],"container-title":"International journal of environmental research and public health","id":"ITEM-3","issue":"1","issued":{"date-parts":[["2021"]]},"page":"218","publisher":"Multidisciplinary Digital Publishing Institute","title":"A Sentiment Analysis Approach to Predict an Individual’s Awareness of the Precautionary Procedures to Prevent COVID-19 Outbreaks in Saudi Arabia","type":"article-journal","volume":"18"},"uris":["http://www.mendeley.com/documents/?uuid=07ae1fb9-9bd2-4603-a9af-14eeee37d454"]},{"id":"ITEM-4","itemData":{"author":[{"dropping-particle":"","family":"Alomari","given":"Ebtesam","non-dropping-particle":"","parse-names":false,"suffix":""},{"dropping-particle":"","family":"Katib","given":"Iyad","non-dropping-particle":"","parse-names":false,"suffix":""},{"dropping-particle":"","family":"Albeshri","given":"Aiiad","non-dropping-particle":"","parse-names":false,"suffix":""},{"dropping-particle":"","family":"Mehmood","given":"Rashid","non-dropping-particle":"","parse-names":false,"suffix":""}],"container-title":"International Journal of Environmental Research and Public Health","id":"ITEM-4","issue":"1","issued":{"date-parts":[["2021"]]},"page":"282","publisher":"Multidisciplinary Digital Publishing Institute","title":"COVID-19: Detecting Government Pandemic Measures and Public Concerns from Twitter Arabic Data Using Distributed Machine Learning","type":"article-journal","volume":"18"},"uris":["http://www.mendeley.com/documents/?uuid=146dd8be-1235-4fca-883a-73558a3e0611"]}],"mendeley":{"formattedCitation":"(Aljameel et al., 2021; Alomari et al., 2021; Gilardi et al., 2021; Wang et al., 2020)","plainTextFormattedCitation":"(Aljameel et al., 2021; Alomari et al., 2021; Gilardi et al., 2021; Wang et al., 2020)","previouslyFormattedCitation":"(Aljameel et al., 2021; Alomari et al., 2021; Gilardi et al., 2021; Wang et al.,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(Aljameel et al., 2021; Alomari et al., 2021; Gilardi et al., 2021; Wang et al., 2020)</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-1","issued":{"date-parts":[["2021"]]},"title":"Social Media and Policy Responses to the COVID-19 Pandemic in Switzerland","type":"article-journal"},"uris":["http://www.mendeley.com/documents/?uuid=bacb0451-e9f2-4bb5-b305-d1430f07cda6"]}],"mendeley":{"formattedCitation":"(Gilardi et al., 2021)","plainTextFormattedCitation":"(Gilardi et al., 2021)"},"properties":{"noteIndex":0},"schema":"https://github.com/citation-style-language/schema/raw/master/csl-citation.json"}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(Gilardi et al., 2021)</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w:t>
      </w:r>
    </w:p>
    <w:p w14:paraId="6FBF1FD0" w14:textId="6DC86E3A" w:rsidR="00A903DE" w:rsidRPr="005E555B" w:rsidRDefault="00A97DEC">
      <w:pPr>
        <w:rPr>
          <w:rFonts w:ascii="Times New Roman" w:hAnsi="Times New Roman" w:cs="Times New Roman"/>
          <w:sz w:val="24"/>
          <w:szCs w:val="24"/>
          <w:lang w:val="en-CH"/>
        </w:rPr>
      </w:pPr>
      <w:r>
        <w:rPr>
          <w:rFonts w:ascii="Times New Roman" w:hAnsi="Times New Roman" w:cs="Times New Roman"/>
          <w:sz w:val="24"/>
          <w:szCs w:val="24"/>
          <w:lang w:val="en-CH"/>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19353409"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b/>
          <w:bCs/>
          <w:color w:val="000000"/>
          <w:sz w:val="28"/>
          <w:szCs w:val="28"/>
          <w:lang w:val="en-CH" w:eastAsia="en-CH"/>
        </w:rPr>
        <w:t>Plan of Research</w:t>
      </w:r>
    </w:p>
    <w:p w14:paraId="2919FD8F"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 xml:space="preserve">In this project, </w:t>
      </w:r>
    </w:p>
    <w:p w14:paraId="65212AF1"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sz w:val="24"/>
          <w:szCs w:val="24"/>
          <w:lang w:val="en-CH" w:eastAsia="en-CH"/>
        </w:rPr>
        <w:t> </w:t>
      </w:r>
    </w:p>
    <w:p w14:paraId="44795124"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sentiment (neutral, pos, neg).</w:t>
      </w:r>
    </w:p>
    <w:p w14:paraId="7D2ABA00"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000000"/>
          <w:sz w:val="24"/>
          <w:szCs w:val="24"/>
          <w:lang w:val="en-CH" w:eastAsia="en-CH"/>
        </w:rPr>
        <w:t>challenge is that human behaviour does not follow one set of specific rules but rather tends to change from one community to another and from one person to another. </w:t>
      </w:r>
      <w:r w:rsidRPr="00D65A37">
        <w:rPr>
          <w:rFonts w:ascii="Times New Roman" w:eastAsia="Times New Roman" w:hAnsi="Times New Roman" w:cs="Times New Roman"/>
          <w:color w:val="4472C4"/>
          <w:sz w:val="24"/>
          <w:szCs w:val="24"/>
          <w:lang w:val="en-CH" w:eastAsia="en-CH"/>
        </w:rPr>
        <w:t>In answer to this the sentiment analysis algorithms basically work through dictionaries and give a polarity to each token (see tokenization) based on the word’s usage in language.</w:t>
      </w:r>
    </w:p>
    <w:p w14:paraId="6B2E8FBA"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color w:val="2F5696"/>
          <w:sz w:val="24"/>
          <w:szCs w:val="24"/>
          <w:lang w:val="en-CH" w:eastAsia="en-CH"/>
        </w:rPr>
        <w:t>Alessandro: I agree with this; that’s why possibly including more countries could be interesting (</w:t>
      </w:r>
      <w:proofErr w:type="spellStart"/>
      <w:r w:rsidRPr="00D65A37">
        <w:rPr>
          <w:rFonts w:ascii="Times New Roman" w:eastAsia="Times New Roman" w:hAnsi="Times New Roman" w:cs="Times New Roman"/>
          <w:color w:val="2F5696"/>
          <w:sz w:val="24"/>
          <w:szCs w:val="24"/>
          <w:lang w:val="en-CH" w:eastAsia="en-CH"/>
        </w:rPr>
        <w:t>i.e</w:t>
      </w:r>
      <w:proofErr w:type="spellEnd"/>
      <w:r w:rsidRPr="00D65A37">
        <w:rPr>
          <w:rFonts w:ascii="Times New Roman" w:eastAsia="Times New Roman" w:hAnsi="Times New Roman" w:cs="Times New Roman"/>
          <w:color w:val="2F5696"/>
          <w:sz w:val="24"/>
          <w:szCs w:val="24"/>
          <w:lang w:val="en-CH" w:eastAsia="en-CH"/>
        </w:rPr>
        <w:t xml:space="preserve"> English speaking countries, Italy since I speak Italian and could translate the searched words in the algorithm, and </w:t>
      </w:r>
      <w:proofErr w:type="spellStart"/>
      <w:r w:rsidRPr="00D65A37">
        <w:rPr>
          <w:rFonts w:ascii="Times New Roman" w:eastAsia="Times New Roman" w:hAnsi="Times New Roman" w:cs="Times New Roman"/>
          <w:color w:val="2F5696"/>
          <w:sz w:val="24"/>
          <w:szCs w:val="24"/>
          <w:lang w:val="en-CH" w:eastAsia="en-CH"/>
        </w:rPr>
        <w:t>Switzerlan</w:t>
      </w:r>
      <w:proofErr w:type="spellEnd"/>
      <w:r w:rsidRPr="00D65A37">
        <w:rPr>
          <w:rFonts w:ascii="Times New Roman" w:eastAsia="Times New Roman" w:hAnsi="Times New Roman" w:cs="Times New Roman"/>
          <w:color w:val="2F5696"/>
          <w:sz w:val="24"/>
          <w:szCs w:val="24"/>
          <w:lang w:val="en-CH" w:eastAsia="en-CH"/>
        </w:rPr>
        <w:t>/Germany?)</w:t>
      </w:r>
    </w:p>
    <w:p w14:paraId="744CCAFA" w14:textId="77777777" w:rsidR="00D65A37" w:rsidRPr="00D65A37" w:rsidRDefault="00D65A37" w:rsidP="00D65A37">
      <w:pPr>
        <w:spacing w:after="0" w:line="240" w:lineRule="auto"/>
        <w:rPr>
          <w:rFonts w:ascii="Times New Roman" w:eastAsia="Times New Roman" w:hAnsi="Times New Roman" w:cs="Times New Roman"/>
          <w:sz w:val="24"/>
          <w:szCs w:val="24"/>
          <w:lang w:val="en-CH" w:eastAsia="en-CH"/>
        </w:rPr>
      </w:pPr>
      <w:r w:rsidRPr="00D65A37">
        <w:rPr>
          <w:rFonts w:ascii="Times New Roman" w:eastAsia="Times New Roman" w:hAnsi="Times New Roman" w:cs="Times New Roman"/>
          <w:sz w:val="24"/>
          <w:szCs w:val="24"/>
          <w:lang w:val="en-CH" w:eastAsia="en-CH"/>
        </w:rPr>
        <w:t> </w:t>
      </w:r>
    </w:p>
    <w:p w14:paraId="494CE4FF"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Calibri" w:eastAsia="Times New Roman" w:hAnsi="Calibri" w:cs="Calibri"/>
          <w:b/>
          <w:bCs/>
          <w:color w:val="000000"/>
          <w:sz w:val="28"/>
          <w:szCs w:val="28"/>
          <w:lang w:val="en-CH" w:eastAsia="en-CH"/>
        </w:rPr>
        <w:t>Data</w:t>
      </w:r>
    </w:p>
    <w:p w14:paraId="25F9D9C3"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7D23E07B"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shd w:val="clear" w:color="auto" w:fill="FFFF00"/>
          <w:lang w:val="en-CH" w:eastAsia="en-CH"/>
        </w:rPr>
        <w:t>MICHAEL PART1</w:t>
      </w:r>
    </w:p>
    <w:p w14:paraId="6467DC4C"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7F7B3522"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Calibri" w:eastAsia="Times New Roman" w:hAnsi="Calibri" w:cs="Calibri"/>
          <w:b/>
          <w:bCs/>
          <w:color w:val="000000"/>
          <w:sz w:val="28"/>
          <w:szCs w:val="28"/>
          <w:lang w:val="en-CH" w:eastAsia="en-CH"/>
        </w:rPr>
        <w:t>Research Questions</w:t>
      </w:r>
    </w:p>
    <w:p w14:paraId="34B25E46"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39D78643"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shd w:val="clear" w:color="auto" w:fill="FFFF00"/>
          <w:lang w:val="en-CH" w:eastAsia="en-CH"/>
        </w:rPr>
        <w:t>MICHAEL PART</w:t>
      </w:r>
      <w:r w:rsidRPr="00EB3227">
        <w:rPr>
          <w:rFonts w:ascii="Calibri" w:eastAsia="Times New Roman" w:hAnsi="Calibri" w:cs="Calibri"/>
          <w:color w:val="000000"/>
          <w:sz w:val="24"/>
          <w:szCs w:val="24"/>
          <w:lang w:val="en-CH" w:eastAsia="en-CH"/>
        </w:rPr>
        <w:t>2</w:t>
      </w:r>
    </w:p>
    <w:p w14:paraId="1C468239"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57FE7BEE"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58E52E47"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6B2D4B4F"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Calibri" w:eastAsia="Times New Roman" w:hAnsi="Calibri" w:cs="Calibri"/>
          <w:b/>
          <w:bCs/>
          <w:color w:val="000000"/>
          <w:sz w:val="28"/>
          <w:szCs w:val="28"/>
          <w:lang w:val="en-CH" w:eastAsia="en-CH"/>
        </w:rPr>
        <w:t>Data processing and analysis</w:t>
      </w:r>
    </w:p>
    <w:p w14:paraId="43AEF6A8"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2A3966AC"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77248D94" w14:textId="77777777" w:rsidR="00EB3227" w:rsidRPr="00EB3227" w:rsidRDefault="00EB3227" w:rsidP="00EB3227">
      <w:pPr>
        <w:numPr>
          <w:ilvl w:val="0"/>
          <w:numId w:val="3"/>
        </w:numPr>
        <w:spacing w:after="0" w:line="240" w:lineRule="auto"/>
        <w:ind w:left="144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Clean the dataset and filter for the three </w:t>
      </w:r>
      <w:proofErr w:type="gramStart"/>
      <w:r w:rsidRPr="00EB3227">
        <w:rPr>
          <w:rFonts w:ascii="Calibri" w:eastAsia="Times New Roman" w:hAnsi="Calibri" w:cs="Calibri"/>
          <w:color w:val="000000"/>
          <w:sz w:val="24"/>
          <w:szCs w:val="24"/>
          <w:lang w:val="en-CH" w:eastAsia="en-CH"/>
        </w:rPr>
        <w:t>countries</w:t>
      </w:r>
      <w:proofErr w:type="gramEnd"/>
      <w:r w:rsidRPr="00EB3227">
        <w:rPr>
          <w:rFonts w:ascii="Calibri" w:eastAsia="Times New Roman" w:hAnsi="Calibri" w:cs="Calibri"/>
          <w:color w:val="000000"/>
          <w:sz w:val="24"/>
          <w:szCs w:val="24"/>
          <w:lang w:val="en-CH" w:eastAsia="en-CH"/>
        </w:rPr>
        <w:t xml:space="preserve"> </w:t>
      </w:r>
    </w:p>
    <w:p w14:paraId="50585057" w14:textId="77777777" w:rsidR="00EB3227" w:rsidRPr="00EB3227" w:rsidRDefault="00EB3227" w:rsidP="00EB3227">
      <w:pPr>
        <w:numPr>
          <w:ilvl w:val="0"/>
          <w:numId w:val="3"/>
        </w:numPr>
        <w:spacing w:after="0" w:line="240" w:lineRule="auto"/>
        <w:ind w:left="144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Exploratory data analysis (EDA) to conduct summary statistics and check for </w:t>
      </w:r>
      <w:proofErr w:type="gramStart"/>
      <w:r w:rsidRPr="00EB3227">
        <w:rPr>
          <w:rFonts w:ascii="Calibri" w:eastAsia="Times New Roman" w:hAnsi="Calibri" w:cs="Calibri"/>
          <w:color w:val="000000"/>
          <w:sz w:val="24"/>
          <w:szCs w:val="24"/>
          <w:lang w:val="en-CH" w:eastAsia="en-CH"/>
        </w:rPr>
        <w:t>correlation</w:t>
      </w:r>
      <w:proofErr w:type="gramEnd"/>
    </w:p>
    <w:p w14:paraId="670EF0E5" w14:textId="77777777" w:rsidR="00EB3227" w:rsidRPr="00EB3227" w:rsidRDefault="00EB3227" w:rsidP="00EB3227">
      <w:pPr>
        <w:numPr>
          <w:ilvl w:val="0"/>
          <w:numId w:val="3"/>
        </w:numPr>
        <w:spacing w:after="0" w:line="240" w:lineRule="auto"/>
        <w:ind w:left="144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Sentiment analysis &amp; modification of sentiment analysis for other languages (Italian and German): </w:t>
      </w:r>
    </w:p>
    <w:p w14:paraId="433C727C"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Tokenization (segregation into words)</w:t>
      </w:r>
    </w:p>
    <w:p w14:paraId="0100CB1A"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Cleaning (removing the special characters)</w:t>
      </w:r>
    </w:p>
    <w:p w14:paraId="167C65EF"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Removing Stop words (preposition, auxiliary verbs, etc.) </w:t>
      </w:r>
    </w:p>
    <w:p w14:paraId="3D5F5239"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Classification of words (+1: positive, -1 negative, 0: neutral)</w:t>
      </w:r>
    </w:p>
    <w:p w14:paraId="0CE2363B"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lastRenderedPageBreak/>
        <w:t>Apply supervised algorithm for classification (train model with word or lexicons, and test on the analysis statement)</w:t>
      </w:r>
    </w:p>
    <w:p w14:paraId="5D47253D" w14:textId="77777777" w:rsidR="00EB3227" w:rsidRPr="00EB3227" w:rsidRDefault="00EB3227" w:rsidP="00EB3227">
      <w:pPr>
        <w:numPr>
          <w:ilvl w:val="0"/>
          <w:numId w:val="4"/>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Calculate sentiment of statement (look at polarity) </w:t>
      </w:r>
    </w:p>
    <w:p w14:paraId="0D6C6AA8" w14:textId="77777777" w:rsidR="00EB3227" w:rsidRPr="00EB3227" w:rsidRDefault="00EB3227" w:rsidP="00EB3227">
      <w:pPr>
        <w:numPr>
          <w:ilvl w:val="0"/>
          <w:numId w:val="5"/>
        </w:numPr>
        <w:spacing w:after="0" w:line="240" w:lineRule="auto"/>
        <w:ind w:left="144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Categorization of mitigation measures (response variable) into strict, medium, and light</w:t>
      </w:r>
    </w:p>
    <w:p w14:paraId="13446C2D" w14:textId="77777777" w:rsidR="00EB3227" w:rsidRPr="00EB3227" w:rsidRDefault="00EB3227" w:rsidP="00EB3227">
      <w:pPr>
        <w:numPr>
          <w:ilvl w:val="0"/>
          <w:numId w:val="5"/>
        </w:numPr>
        <w:spacing w:after="0" w:line="240" w:lineRule="auto"/>
        <w:ind w:left="144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Predictive modelling of mitigation measure based on sentiment and pandemic </w:t>
      </w:r>
      <w:proofErr w:type="gramStart"/>
      <w:r w:rsidRPr="00EB3227">
        <w:rPr>
          <w:rFonts w:ascii="Calibri" w:eastAsia="Times New Roman" w:hAnsi="Calibri" w:cs="Calibri"/>
          <w:color w:val="000000"/>
          <w:sz w:val="24"/>
          <w:szCs w:val="24"/>
          <w:lang w:val="en-CH" w:eastAsia="en-CH"/>
        </w:rPr>
        <w:t>course</w:t>
      </w:r>
      <w:proofErr w:type="gramEnd"/>
    </w:p>
    <w:p w14:paraId="42F6B637" w14:textId="77777777" w:rsidR="00EB3227" w:rsidRPr="00EB3227" w:rsidRDefault="00EB3227" w:rsidP="00EB3227">
      <w:pPr>
        <w:numPr>
          <w:ilvl w:val="0"/>
          <w:numId w:val="6"/>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Importantly the response and predictors are polytomous variables (&gt;2 possible categories)</w:t>
      </w:r>
    </w:p>
    <w:p w14:paraId="0DB93AD8" w14:textId="77777777" w:rsidR="00EB3227" w:rsidRPr="00EB3227" w:rsidRDefault="00EB3227" w:rsidP="00EB3227">
      <w:pPr>
        <w:numPr>
          <w:ilvl w:val="0"/>
          <w:numId w:val="6"/>
        </w:numPr>
        <w:spacing w:after="0" w:line="240" w:lineRule="auto"/>
        <w:ind w:left="216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Possible machine learning models: </w:t>
      </w:r>
    </w:p>
    <w:p w14:paraId="1613224D" w14:textId="77777777" w:rsidR="00EB3227" w:rsidRPr="00EB3227" w:rsidRDefault="00EB3227" w:rsidP="00EB3227">
      <w:pPr>
        <w:numPr>
          <w:ilvl w:val="0"/>
          <w:numId w:val="7"/>
        </w:numPr>
        <w:spacing w:after="0" w:line="240" w:lineRule="auto"/>
        <w:ind w:left="2880" w:hanging="18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Logistic regression</w:t>
      </w:r>
    </w:p>
    <w:p w14:paraId="77178F6E" w14:textId="77777777" w:rsidR="00EB3227" w:rsidRPr="00EB3227" w:rsidRDefault="00EB3227" w:rsidP="00EB3227">
      <w:pPr>
        <w:numPr>
          <w:ilvl w:val="0"/>
          <w:numId w:val="7"/>
        </w:numPr>
        <w:spacing w:after="0" w:line="240" w:lineRule="auto"/>
        <w:ind w:left="2880" w:hanging="18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Artificial neural network</w:t>
      </w:r>
    </w:p>
    <w:p w14:paraId="5DE65649" w14:textId="77777777" w:rsidR="00EB3227" w:rsidRPr="00EB3227" w:rsidRDefault="00EB3227" w:rsidP="00EB3227">
      <w:pPr>
        <w:numPr>
          <w:ilvl w:val="0"/>
          <w:numId w:val="8"/>
        </w:numPr>
        <w:spacing w:after="0" w:line="240" w:lineRule="auto"/>
        <w:ind w:left="1440" w:hanging="360"/>
        <w:rPr>
          <w:rFonts w:ascii="Times New Roman" w:eastAsia="Times New Roman" w:hAnsi="Times New Roman" w:cs="Times New Roman"/>
          <w:sz w:val="24"/>
          <w:szCs w:val="24"/>
          <w:lang w:val="en-CH" w:eastAsia="en-CH"/>
        </w:rPr>
      </w:pPr>
      <w:r w:rsidRPr="00EB3227">
        <w:rPr>
          <w:rFonts w:ascii="Calibri" w:eastAsia="Times New Roman" w:hAnsi="Calibri" w:cs="Calibri"/>
          <w:color w:val="000000"/>
          <w:sz w:val="24"/>
          <w:szCs w:val="24"/>
          <w:lang w:val="en-CH" w:eastAsia="en-CH"/>
        </w:rPr>
        <w:t xml:space="preserve">If time: temporal analysis of repone changes (i.e., first wave, second wave) using the same </w:t>
      </w:r>
      <w:proofErr w:type="gramStart"/>
      <w:r w:rsidRPr="00EB3227">
        <w:rPr>
          <w:rFonts w:ascii="Calibri" w:eastAsia="Times New Roman" w:hAnsi="Calibri" w:cs="Calibri"/>
          <w:color w:val="000000"/>
          <w:sz w:val="24"/>
          <w:szCs w:val="24"/>
          <w:lang w:val="en-CH" w:eastAsia="en-CH"/>
        </w:rPr>
        <w:t>predictors</w:t>
      </w:r>
      <w:proofErr w:type="gramEnd"/>
    </w:p>
    <w:p w14:paraId="68891AF0"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w:t>
      </w:r>
      <w:r w:rsidR="000C2E52" w:rsidRPr="000C2E52">
        <w:rPr>
          <w:rFonts w:ascii="Calibri" w:hAnsi="Calibri" w:cs="Calibri"/>
          <w:noProof/>
          <w:szCs w:val="24"/>
        </w:rPr>
        <w:lastRenderedPageBreak/>
        <w:t xml:space="preserve">M., Chyad, M. A., Tareq, Z., Albahri, A. S., Hameed, H., &amp; Alaa, M. (2021). Sentiment analysis 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(9), 761–770. 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 xml:space="preserve">The reproductive number of COVID-19 is </w:t>
      </w:r>
      <w:r w:rsidRPr="000C2E52">
        <w:rPr>
          <w:rFonts w:ascii="Calibri" w:hAnsi="Calibri" w:cs="Calibri"/>
          <w:i/>
          <w:iCs/>
          <w:noProof/>
          <w:szCs w:val="24"/>
        </w:rPr>
        <w:lastRenderedPageBreak/>
        <w:t>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Public Sentiment on Governmental 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278D5" w14:textId="77777777" w:rsidR="00F66266" w:rsidRDefault="00F66266" w:rsidP="004C09BA">
      <w:pPr>
        <w:spacing w:after="0" w:line="240" w:lineRule="auto"/>
      </w:pPr>
      <w:r>
        <w:separator/>
      </w:r>
    </w:p>
  </w:endnote>
  <w:endnote w:type="continuationSeparator" w:id="0">
    <w:p w14:paraId="1A587C6F" w14:textId="77777777" w:rsidR="00F66266" w:rsidRDefault="00F66266"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8A684" w14:textId="77777777" w:rsidR="00F66266" w:rsidRDefault="00F66266" w:rsidP="004C09BA">
      <w:pPr>
        <w:spacing w:after="0" w:line="240" w:lineRule="auto"/>
      </w:pPr>
      <w:r>
        <w:separator/>
      </w:r>
    </w:p>
  </w:footnote>
  <w:footnote w:type="continuationSeparator" w:id="0">
    <w:p w14:paraId="192A16A1" w14:textId="77777777" w:rsidR="00F66266" w:rsidRDefault="00F66266" w:rsidP="004C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3026"/>
    <w:multiLevelType w:val="multilevel"/>
    <w:tmpl w:val="9E5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7071"/>
    <w:multiLevelType w:val="multilevel"/>
    <w:tmpl w:val="C60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84226"/>
    <w:multiLevelType w:val="multilevel"/>
    <w:tmpl w:val="E7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0">
      <w:lvl w:ilvl="0">
        <w:numFmt w:val="lowerLetter"/>
        <w:lvlText w:val="%1."/>
        <w:lvlJc w:val="left"/>
      </w:lvl>
    </w:lvlOverride>
  </w:num>
  <w:num w:numId="5">
    <w:abstractNumId w:val="1"/>
    <w:lvlOverride w:ilvl="0">
      <w:lvl w:ilvl="0">
        <w:numFmt w:val="decimal"/>
        <w:lvlText w:val="%1."/>
        <w:lvlJc w:val="left"/>
      </w:lvl>
    </w:lvlOverride>
  </w:num>
  <w:num w:numId="6">
    <w:abstractNumId w:val="1"/>
    <w:lvlOverride w:ilvl="0">
      <w:lvl w:ilvl="0">
        <w:numFmt w:val="lowerLetter"/>
        <w:lvlText w:val="%1."/>
        <w:lvlJc w:val="left"/>
      </w:lvl>
    </w:lvlOverride>
  </w:num>
  <w:num w:numId="7">
    <w:abstractNumId w:val="1"/>
    <w:lvlOverride w:ilvl="0">
      <w:lvl w:ilvl="0">
        <w:numFmt w:val="lowerRoman"/>
        <w:lvlText w:val="%1."/>
        <w:lvlJc w:val="right"/>
      </w:lvl>
    </w:lvlOverride>
  </w:num>
  <w:num w:numId="8">
    <w:abstractNumId w:val="1"/>
    <w:lvlOverride w:ilvl="0">
      <w:lvl w:ilvl="0">
        <w:numFmt w:val="decimal"/>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E555B"/>
    <w:rsid w:val="00772F3C"/>
    <w:rsid w:val="00821519"/>
    <w:rsid w:val="00822C61"/>
    <w:rsid w:val="009100A8"/>
    <w:rsid w:val="00A903DE"/>
    <w:rsid w:val="00A97DEC"/>
    <w:rsid w:val="00D65A37"/>
    <w:rsid w:val="00EB3227"/>
    <w:rsid w:val="00F23195"/>
    <w:rsid w:val="00F662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 w:type="paragraph" w:styleId="NormalWeb">
    <w:name w:val="Normal (Web)"/>
    <w:basedOn w:val="Normal"/>
    <w:uiPriority w:val="99"/>
    <w:semiHidden/>
    <w:unhideWhenUsed/>
    <w:rsid w:val="00D65A37"/>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31310">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8412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9770</Words>
  <Characters>55695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9</cp:revision>
  <dcterms:created xsi:type="dcterms:W3CDTF">2021-03-23T07:31:00Z</dcterms:created>
  <dcterms:modified xsi:type="dcterms:W3CDTF">2021-03-26T10:47:00Z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