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045AF" w14:textId="77777777" w:rsidR="00B900D2" w:rsidRPr="006C70C5" w:rsidRDefault="00B900D2" w:rsidP="002601E0">
      <w:pPr>
        <w:rPr>
          <w:color w:val="000000" w:themeColor="text1"/>
        </w:rPr>
      </w:pPr>
    </w:p>
    <w:p w14:paraId="10BE42D7" w14:textId="33C3A9A5" w:rsidR="00E432C2" w:rsidRPr="00CF1C12" w:rsidRDefault="00E432C2" w:rsidP="00E432C2">
      <w:pPr>
        <w:pStyle w:val="Body"/>
        <w:rPr>
          <w:color w:val="000000" w:themeColor="text1"/>
          <w:highlight w:val="cyan"/>
        </w:rPr>
      </w:pPr>
      <w:commentRangeStart w:id="0"/>
      <w:r w:rsidRPr="00CF1C12">
        <w:rPr>
          <w:color w:val="000000" w:themeColor="text1"/>
          <w:highlight w:val="cyan"/>
        </w:rPr>
        <w:t>Name</w:t>
      </w:r>
      <w:commentRangeEnd w:id="0"/>
      <w:r w:rsidR="00F36A6F" w:rsidRPr="00CF1C12">
        <w:rPr>
          <w:rStyle w:val="CommentReference"/>
          <w:color w:val="000000" w:themeColor="text1"/>
          <w:sz w:val="22"/>
          <w:szCs w:val="20"/>
          <w:highlight w:val="cyan"/>
        </w:rPr>
        <w:commentReference w:id="0"/>
      </w:r>
      <w:r w:rsidRPr="00CF1C12">
        <w:rPr>
          <w:color w:val="000000" w:themeColor="text1"/>
          <w:highlight w:val="cyan"/>
        </w:rPr>
        <w:t>:</w:t>
      </w:r>
      <w:r w:rsidR="004C1DED" w:rsidRPr="00CF1C12">
        <w:rPr>
          <w:color w:val="000000" w:themeColor="text1"/>
          <w:highlight w:val="cyan"/>
        </w:rPr>
        <w:t xml:space="preserve"> </w:t>
      </w:r>
      <w:r w:rsidR="00CF1C12" w:rsidRPr="00CF1C12">
        <w:rPr>
          <w:color w:val="000000" w:themeColor="text1"/>
          <w:highlight w:val="cyan"/>
        </w:rPr>
        <w:t>XX</w:t>
      </w:r>
    </w:p>
    <w:p w14:paraId="6E16DF23" w14:textId="55E7CD77" w:rsidR="00E432C2" w:rsidRPr="00CF1C12" w:rsidRDefault="00E432C2" w:rsidP="00E432C2">
      <w:pPr>
        <w:pStyle w:val="Body"/>
        <w:rPr>
          <w:color w:val="000000" w:themeColor="text1"/>
          <w:highlight w:val="cyan"/>
        </w:rPr>
      </w:pPr>
      <w:r w:rsidRPr="00CF1C12">
        <w:rPr>
          <w:color w:val="000000" w:themeColor="text1"/>
          <w:highlight w:val="cyan"/>
        </w:rPr>
        <w:t>Learner ID:</w:t>
      </w:r>
      <w:r w:rsidR="004C1DED" w:rsidRPr="00CF1C12">
        <w:rPr>
          <w:color w:val="000000" w:themeColor="text1"/>
          <w:highlight w:val="cyan"/>
        </w:rPr>
        <w:t xml:space="preserve"> </w:t>
      </w:r>
      <w:r w:rsidR="00CF1C12" w:rsidRPr="00CF1C12">
        <w:rPr>
          <w:color w:val="000000" w:themeColor="text1"/>
          <w:highlight w:val="cyan"/>
        </w:rPr>
        <w:t>XX</w:t>
      </w:r>
    </w:p>
    <w:p w14:paraId="7E7B21EB" w14:textId="0AF1515E" w:rsidR="00E432C2" w:rsidRPr="00AC3820" w:rsidRDefault="00E432C2" w:rsidP="00E432C2">
      <w:pPr>
        <w:pStyle w:val="Body"/>
        <w:rPr>
          <w:color w:val="000000" w:themeColor="text1"/>
        </w:rPr>
      </w:pPr>
      <w:r w:rsidRPr="00CF1C12">
        <w:rPr>
          <w:color w:val="000000" w:themeColor="text1"/>
          <w:highlight w:val="cyan"/>
        </w:rPr>
        <w:t>Learner Email Address:</w:t>
      </w:r>
      <w:r w:rsidR="00CF1C12" w:rsidRPr="00CF1C12">
        <w:rPr>
          <w:color w:val="000000" w:themeColor="text1"/>
          <w:highlight w:val="cyan"/>
        </w:rPr>
        <w:t xml:space="preserve"> XX</w:t>
      </w:r>
    </w:p>
    <w:p w14:paraId="54D13D44" w14:textId="77777777" w:rsidR="00E432C2" w:rsidRPr="00AC3820" w:rsidRDefault="00E432C2" w:rsidP="00E432C2">
      <w:pPr>
        <w:pStyle w:val="Body"/>
        <w:rPr>
          <w:color w:val="000000" w:themeColor="text1"/>
        </w:rPr>
      </w:pPr>
      <w:r w:rsidRPr="00AC3820">
        <w:rPr>
          <w:color w:val="000000" w:themeColor="text1"/>
        </w:rPr>
        <w:t>School:</w:t>
      </w:r>
      <w:r w:rsidR="004C1DED" w:rsidRPr="00AC3820">
        <w:rPr>
          <w:color w:val="000000" w:themeColor="text1"/>
        </w:rPr>
        <w:t xml:space="preserve"> Doctoral in Business Management</w:t>
      </w:r>
    </w:p>
    <w:p w14:paraId="7A282E25" w14:textId="77777777" w:rsidR="00E432C2" w:rsidRPr="00AC3820" w:rsidRDefault="00E432C2" w:rsidP="00E432C2">
      <w:pPr>
        <w:pStyle w:val="Body"/>
        <w:rPr>
          <w:color w:val="000000" w:themeColor="text1"/>
        </w:rPr>
      </w:pPr>
      <w:r w:rsidRPr="00AC3820">
        <w:rPr>
          <w:color w:val="000000" w:themeColor="text1"/>
        </w:rPr>
        <w:t>Program/Specialization:</w:t>
      </w:r>
      <w:r w:rsidR="004C1DED" w:rsidRPr="00AC3820">
        <w:rPr>
          <w:color w:val="000000" w:themeColor="text1"/>
        </w:rPr>
        <w:t xml:space="preserve"> </w:t>
      </w:r>
      <w:r w:rsidR="004C1DED" w:rsidRPr="00AC3820">
        <w:rPr>
          <w:rStyle w:val="plan"/>
          <w:color w:val="000000" w:themeColor="text1"/>
        </w:rPr>
        <w:t>Information Technology Management</w:t>
      </w:r>
    </w:p>
    <w:p w14:paraId="727F367A" w14:textId="77777777" w:rsidR="00E432C2" w:rsidRPr="00AC3820" w:rsidRDefault="00E432C2" w:rsidP="00E432C2">
      <w:pPr>
        <w:pStyle w:val="Body"/>
        <w:rPr>
          <w:color w:val="000000" w:themeColor="text1"/>
        </w:rPr>
      </w:pPr>
      <w:r w:rsidRPr="00AC3820">
        <w:rPr>
          <w:color w:val="000000" w:themeColor="text1"/>
        </w:rPr>
        <w:t>Type of project (e.g., dissertation, capstone, etc.):</w:t>
      </w:r>
      <w:r w:rsidR="004C1DED" w:rsidRPr="00AC3820">
        <w:rPr>
          <w:color w:val="000000" w:themeColor="text1"/>
        </w:rPr>
        <w:t xml:space="preserve"> ITDRPaaS Dissertation</w:t>
      </w:r>
    </w:p>
    <w:p w14:paraId="1559DBE3" w14:textId="77777777" w:rsidR="00E26A16" w:rsidRPr="00AC3820" w:rsidRDefault="00E26A16" w:rsidP="00E432C2">
      <w:pPr>
        <w:pStyle w:val="Body"/>
        <w:rPr>
          <w:color w:val="000000" w:themeColor="text1"/>
        </w:rPr>
      </w:pPr>
      <w:r w:rsidRPr="00AC3820">
        <w:rPr>
          <w:color w:val="000000" w:themeColor="text1"/>
        </w:rPr>
        <w:t>Methodology – Quantitative or Qualitative:</w:t>
      </w:r>
      <w:r w:rsidR="004C1DED" w:rsidRPr="00AC3820">
        <w:rPr>
          <w:color w:val="000000" w:themeColor="text1"/>
        </w:rPr>
        <w:t xml:space="preserve"> Qualitative</w:t>
      </w:r>
    </w:p>
    <w:p w14:paraId="335546CB" w14:textId="77777777" w:rsidR="00E432C2" w:rsidRPr="00AC3820" w:rsidRDefault="00E432C2" w:rsidP="00E432C2">
      <w:pPr>
        <w:pStyle w:val="Body"/>
        <w:rPr>
          <w:color w:val="000000" w:themeColor="text1"/>
        </w:rPr>
      </w:pPr>
      <w:r w:rsidRPr="00AC3820">
        <w:rPr>
          <w:color w:val="000000" w:themeColor="text1"/>
        </w:rPr>
        <w:t>Quarter/Year of V8927completion:</w:t>
      </w:r>
      <w:r w:rsidR="004C1DED" w:rsidRPr="00AC3820">
        <w:rPr>
          <w:color w:val="000000" w:themeColor="text1"/>
        </w:rPr>
        <w:t xml:space="preserve"> Summer 2026</w:t>
      </w:r>
    </w:p>
    <w:p w14:paraId="69899D7B" w14:textId="77777777" w:rsidR="00B900D2" w:rsidRPr="00AC3820" w:rsidRDefault="00B900D2" w:rsidP="002601E0">
      <w:pPr>
        <w:rPr>
          <w:color w:val="000000" w:themeColor="text1"/>
        </w:rPr>
      </w:pPr>
    </w:p>
    <w:p w14:paraId="5F6B5950" w14:textId="77777777" w:rsidR="00B900D2"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topic</w:t>
      </w:r>
    </w:p>
    <w:p w14:paraId="344E45E7"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Topic proposal is grounded in a problem and aligned with program of study.</w:t>
      </w:r>
    </w:p>
    <w:p w14:paraId="39DC81B7" w14:textId="77777777" w:rsidR="008529C6" w:rsidRPr="00AC3820" w:rsidRDefault="008529C6" w:rsidP="008529C6">
      <w:pPr>
        <w:pStyle w:val="Body"/>
        <w:spacing w:line="480" w:lineRule="auto"/>
        <w:rPr>
          <w:rStyle w:val="css-1f2ahkg-view"/>
          <w:rFonts w:cs="Times New Roman"/>
          <w:color w:val="000000" w:themeColor="text1"/>
          <w:szCs w:val="24"/>
        </w:rPr>
      </w:pPr>
    </w:p>
    <w:p w14:paraId="5B69184E" w14:textId="77777777" w:rsidR="008529C6" w:rsidRPr="00AC3820" w:rsidRDefault="008529C6" w:rsidP="008529C6">
      <w:pPr>
        <w:pStyle w:val="Body"/>
        <w:spacing w:line="480" w:lineRule="auto"/>
        <w:rPr>
          <w:rFonts w:cs="Times New Roman"/>
          <w:color w:val="000000" w:themeColor="text1"/>
          <w:sz w:val="24"/>
          <w:szCs w:val="24"/>
        </w:rPr>
      </w:pPr>
      <w:r w:rsidRPr="00AC3820">
        <w:rPr>
          <w:rStyle w:val="css-1f2ahkg-view"/>
          <w:rFonts w:cs="Times New Roman"/>
          <w:color w:val="000000" w:themeColor="text1"/>
          <w:sz w:val="24"/>
          <w:szCs w:val="24"/>
        </w:rPr>
        <w:t xml:space="preserve">The topic for the proposed study is </w:t>
      </w:r>
      <w:r w:rsidRPr="00AC3820">
        <w:rPr>
          <w:rStyle w:val="Strong"/>
          <w:rFonts w:cs="Times New Roman"/>
          <w:b w:val="0"/>
          <w:bCs w:val="0"/>
          <w:color w:val="000000" w:themeColor="text1"/>
          <w:sz w:val="24"/>
          <w:szCs w:val="24"/>
        </w:rPr>
        <w:t>Stakeholder-Salience Governance of ITDRPaaS in SMEs: via Aligning IT Strategy and Decision Rights Governance.</w:t>
      </w:r>
    </w:p>
    <w:p w14:paraId="69D64578" w14:textId="77777777" w:rsidR="00215499" w:rsidRPr="00AC3820" w:rsidRDefault="00215499" w:rsidP="00215499">
      <w:pPr>
        <w:pStyle w:val="Heading5"/>
        <w:rPr>
          <w:color w:val="000000" w:themeColor="text1"/>
        </w:rPr>
      </w:pPr>
      <w:commentRangeStart w:id="1"/>
      <w:commentRangeStart w:id="2"/>
      <w:r w:rsidRPr="00AC3820">
        <w:rPr>
          <w:color w:val="000000" w:themeColor="text1"/>
        </w:rPr>
        <w:t>Alignment to the Program of Study</w:t>
      </w:r>
      <w:commentRangeEnd w:id="1"/>
      <w:r w:rsidR="00595C3E" w:rsidRPr="00AC3820">
        <w:rPr>
          <w:rStyle w:val="CommentReference"/>
          <w:color w:val="000000" w:themeColor="text1"/>
          <w:sz w:val="24"/>
          <w:szCs w:val="26"/>
        </w:rPr>
        <w:commentReference w:id="1"/>
      </w:r>
      <w:commentRangeEnd w:id="2"/>
      <w:r w:rsidR="00D92E80" w:rsidRPr="00AC3820">
        <w:rPr>
          <w:rStyle w:val="CommentReference"/>
          <w:color w:val="000000" w:themeColor="text1"/>
          <w:sz w:val="24"/>
          <w:szCs w:val="26"/>
        </w:rPr>
        <w:commentReference w:id="2"/>
      </w:r>
    </w:p>
    <w:p w14:paraId="5C340454" w14:textId="77777777" w:rsidR="00215499" w:rsidRPr="00AC3820" w:rsidRDefault="00215499" w:rsidP="00215499">
      <w:pPr>
        <w:pStyle w:val="Body"/>
        <w:rPr>
          <w:i/>
          <w:iCs/>
          <w:color w:val="000000" w:themeColor="text1"/>
        </w:rPr>
      </w:pPr>
      <w:r w:rsidRPr="00AC3820">
        <w:rPr>
          <w:i/>
          <w:iCs/>
          <w:color w:val="000000" w:themeColor="text1"/>
        </w:rPr>
        <w:t xml:space="preserve">Presents an introduction to a clear topic proposal grounded in a problem within the program, project, and topic. Suggested length 1 paragraph. </w:t>
      </w:r>
    </w:p>
    <w:p w14:paraId="5296EE65" w14:textId="77777777" w:rsidR="008529C6" w:rsidRPr="00AC3820" w:rsidRDefault="008529C6" w:rsidP="00215499">
      <w:pPr>
        <w:pStyle w:val="Body"/>
        <w:rPr>
          <w:i/>
          <w:iCs/>
          <w:color w:val="000000" w:themeColor="text1"/>
        </w:rPr>
      </w:pPr>
    </w:p>
    <w:p w14:paraId="03447768" w14:textId="77777777" w:rsidR="008529C6" w:rsidRPr="00AC3820" w:rsidRDefault="008529C6" w:rsidP="008529C6">
      <w:pPr>
        <w:spacing w:line="480" w:lineRule="auto"/>
        <w:ind w:firstLine="720"/>
        <w:rPr>
          <w:strike/>
          <w:color w:val="000000" w:themeColor="text1"/>
        </w:rPr>
      </w:pPr>
      <w:r w:rsidRPr="00AC3820">
        <w:rPr>
          <w:color w:val="000000" w:themeColor="text1"/>
        </w:rPr>
        <w:t xml:space="preserve">Many small and medium-sized enterprises (SMEs) either lack a formally established disaster recovery plan or fail to embed recovery capabilities within enforceable governance structures, resulting in inconsistent and difficult-to-demonstrate recoverability during disruption (Liu et al., 2020; Park et al., 2023). The central phenomenon of this study is </w:t>
      </w:r>
      <w:r w:rsidRPr="00AC3820">
        <w:rPr>
          <w:rStyle w:val="Strong"/>
          <w:b w:val="0"/>
          <w:bCs w:val="0"/>
          <w:color w:val="000000" w:themeColor="text1"/>
        </w:rPr>
        <w:t>how U.S. SME IT managers establish, interpret, and operationalize</w:t>
      </w:r>
      <w:r w:rsidRPr="00AC3820">
        <w:rPr>
          <w:rStyle w:val="Strong"/>
          <w:color w:val="000000" w:themeColor="text1"/>
        </w:rPr>
        <w:t xml:space="preserve"> </w:t>
      </w:r>
      <w:r w:rsidRPr="00AC3820">
        <w:rPr>
          <w:color w:val="000000" w:themeColor="text1"/>
        </w:rPr>
        <w:t xml:space="preserve">an operational IT disaster recovery capability, including ITDRPaaS, within SME environments where authority, accountability, and escalation pathways are not structurally synchronized (Freeman et al., 2020). A generic qualitative inquiry is appropriate for this dissertation because it facilitates an in-depth examination of how IT managers interpret and operationalize governance decisions, escalation pathways, and practices related to evidence of recoverability during crisis while privileging participants’ applied </w:t>
      </w:r>
      <w:r w:rsidRPr="00AC3820">
        <w:rPr>
          <w:color w:val="000000" w:themeColor="text1"/>
        </w:rPr>
        <w:lastRenderedPageBreak/>
        <w:t>perspectives and context-specific decision-making processes (Caelli et al., 2003; Cooper &amp; Endacott, 2007; Kahlke, 2014). Such a methodological fit enhances design congruence by aligning the study's practice-oriented research objectives with a flexible qualitative approach that is well-suited for investigating organizational processes, managerial judgments, and meaning-making in practical settings (Caelli et al., 2003; Kahlke, 2014).</w:t>
      </w:r>
    </w:p>
    <w:p w14:paraId="74A574AB" w14:textId="4F04C42A" w:rsidR="008529C6" w:rsidRPr="00AC3820" w:rsidRDefault="008529C6" w:rsidP="008529C6">
      <w:pPr>
        <w:spacing w:line="480" w:lineRule="auto"/>
        <w:ind w:firstLine="720"/>
        <w:rPr>
          <w:strike/>
          <w:color w:val="000000" w:themeColor="text1"/>
        </w:rPr>
      </w:pPr>
      <w:r w:rsidRPr="00AC3820">
        <w:rPr>
          <w:color w:val="000000" w:themeColor="text1"/>
        </w:rPr>
        <w:t>Under stakeholder-salience conditions, power, legitimacy, and urgency dynamically shape who is authorized to decide, how escalation unfolds, and what constitutes acceptable proof of recoverability when urgency intensifies (</w:t>
      </w:r>
      <w:r w:rsidRPr="008C1B5E">
        <w:rPr>
          <w:color w:val="000000" w:themeColor="text1"/>
          <w:highlight w:val="cyan"/>
        </w:rPr>
        <w:t>Freeman et al., 2020;</w:t>
      </w:r>
      <w:r w:rsidRPr="00AC3820">
        <w:rPr>
          <w:color w:val="000000" w:themeColor="text1"/>
        </w:rPr>
        <w:t xml:space="preserve"> Lowry et al., 2025</w:t>
      </w:r>
      <w:r w:rsidR="008C1B5E">
        <w:rPr>
          <w:color w:val="000000" w:themeColor="text1"/>
        </w:rPr>
        <w:t>)</w:t>
      </w:r>
      <w:r w:rsidRPr="00AC3820">
        <w:rPr>
          <w:color w:val="000000" w:themeColor="text1"/>
        </w:rPr>
        <w:t>. Accordingly, this study aligns directly with IT managers by examining how they translate executive risk tolerance into enforceable recovery requirements and defensible evidence routines, thereby advancing the program’s strategic governance focus by explaining how stakeholder-prioritization dynamics and structured decision-rights design convert nominal disaster recovery planning into credible recoverability assurance in SME ITDRPaaS contexts (Freeman et al., 2020; Liu et al., 2020).</w:t>
      </w:r>
    </w:p>
    <w:p w14:paraId="0A79C48E" w14:textId="77777777" w:rsidR="00C92BAE" w:rsidRPr="00AC3820" w:rsidRDefault="00F02D49" w:rsidP="00B900D2">
      <w:pPr>
        <w:pStyle w:val="Heading2"/>
        <w:rPr>
          <w:color w:val="000000" w:themeColor="text1"/>
        </w:rPr>
      </w:pPr>
      <w:r w:rsidRPr="00AC3820">
        <w:rPr>
          <w:color w:val="000000" w:themeColor="text1"/>
        </w:rPr>
        <w:t xml:space="preserve">Project </w:t>
      </w:r>
      <w:r w:rsidR="00B900D2" w:rsidRPr="00AC3820">
        <w:rPr>
          <w:color w:val="000000" w:themeColor="text1"/>
        </w:rPr>
        <w:t>Problem</w:t>
      </w:r>
    </w:p>
    <w:p w14:paraId="7C762C5C" w14:textId="77777777" w:rsidR="00B900D2" w:rsidRPr="00AC3820" w:rsidRDefault="00B900D2" w:rsidP="00891FB6">
      <w:pPr>
        <w:pStyle w:val="Body"/>
        <w:shd w:val="clear" w:color="auto" w:fill="E7E6E6"/>
        <w:rPr>
          <w:i/>
          <w:iCs/>
          <w:color w:val="000000" w:themeColor="text1"/>
        </w:rPr>
      </w:pPr>
      <w:r w:rsidRPr="00AC3820">
        <w:rPr>
          <w:i/>
          <w:iCs/>
          <w:color w:val="000000" w:themeColor="text1"/>
        </w:rPr>
        <w:t>Clearly stated problem aligns with program, reflects literature ga</w:t>
      </w:r>
      <w:r w:rsidR="00EC580B" w:rsidRPr="00AC3820">
        <w:rPr>
          <w:i/>
          <w:iCs/>
          <w:color w:val="000000" w:themeColor="text1"/>
        </w:rPr>
        <w:t>p or practice issue</w:t>
      </w:r>
      <w:r w:rsidRPr="00AC3820">
        <w:rPr>
          <w:i/>
          <w:iCs/>
          <w:color w:val="000000" w:themeColor="text1"/>
        </w:rPr>
        <w:t xml:space="preserve">, and identifies population of interest. </w:t>
      </w:r>
    </w:p>
    <w:p w14:paraId="5C90CF23" w14:textId="77777777" w:rsidR="00B900D2" w:rsidRPr="00AC3820" w:rsidRDefault="00B900D2" w:rsidP="00215499">
      <w:pPr>
        <w:pStyle w:val="Heading5"/>
        <w:rPr>
          <w:color w:val="000000" w:themeColor="text1"/>
        </w:rPr>
      </w:pPr>
      <w:r w:rsidRPr="00AC3820">
        <w:rPr>
          <w:color w:val="000000" w:themeColor="text1"/>
        </w:rPr>
        <w:t>Problem to be Addressed</w:t>
      </w:r>
    </w:p>
    <w:p w14:paraId="3A676C60" w14:textId="77777777" w:rsidR="00215499" w:rsidRPr="00AC3820" w:rsidRDefault="00B900D2" w:rsidP="00215499">
      <w:pPr>
        <w:pStyle w:val="Body"/>
        <w:rPr>
          <w:i/>
          <w:iCs/>
          <w:color w:val="000000" w:themeColor="text1"/>
        </w:rPr>
      </w:pPr>
      <w:r w:rsidRPr="00AC3820">
        <w:rPr>
          <w:i/>
          <w:iCs/>
          <w:color w:val="000000" w:themeColor="text1"/>
        </w:rPr>
        <w:t xml:space="preserve">Describe a general and specific problem that is clearly defined and aligned with the program, including what the problem is, who is experiencing the problem, where the problem exists, </w:t>
      </w:r>
      <w:r w:rsidR="00CA40D3" w:rsidRPr="00AC3820">
        <w:rPr>
          <w:i/>
          <w:iCs/>
          <w:color w:val="000000" w:themeColor="text1"/>
        </w:rPr>
        <w:t xml:space="preserve">and </w:t>
      </w:r>
      <w:r w:rsidRPr="00AC3820">
        <w:rPr>
          <w:i/>
          <w:iCs/>
          <w:color w:val="000000" w:themeColor="text1"/>
        </w:rPr>
        <w:t xml:space="preserve">the professional/organizational context. </w:t>
      </w:r>
      <w:r w:rsidR="00215499" w:rsidRPr="00AC3820">
        <w:rPr>
          <w:i/>
          <w:iCs/>
          <w:color w:val="000000" w:themeColor="text1"/>
        </w:rPr>
        <w:t xml:space="preserve">Suggested length 1paragraph. </w:t>
      </w:r>
    </w:p>
    <w:p w14:paraId="2CB55F9D" w14:textId="79A6890E" w:rsidR="008529C6" w:rsidRPr="00AC3820" w:rsidRDefault="008529C6" w:rsidP="008529C6">
      <w:pPr>
        <w:pStyle w:val="Heading5"/>
        <w:spacing w:line="480" w:lineRule="auto"/>
        <w:ind w:firstLine="720"/>
        <w:rPr>
          <w:b w:val="0"/>
          <w:bCs w:val="0"/>
          <w:color w:val="000000" w:themeColor="text1"/>
          <w:szCs w:val="24"/>
        </w:rPr>
      </w:pPr>
      <w:r w:rsidRPr="00AC3820">
        <w:rPr>
          <w:b w:val="0"/>
          <w:bCs w:val="0"/>
          <w:color w:val="000000" w:themeColor="text1"/>
          <w:szCs w:val="24"/>
        </w:rPr>
        <w:t xml:space="preserve">The general problem is that many U.S. small and medium-sized enterprises (SMEs) suffer avoidable organizational harm during cyber disruptions because they fail to consistently translate IT Disaster Recovery as a Service (ITDRPaaS) capabilities into governed, auditable, and defensible recoverability </w:t>
      </w:r>
      <w:commentRangeStart w:id="3"/>
      <w:commentRangeStart w:id="4"/>
      <w:r w:rsidRPr="00AC3820">
        <w:rPr>
          <w:b w:val="0"/>
          <w:bCs w:val="0"/>
          <w:color w:val="000000" w:themeColor="text1"/>
          <w:szCs w:val="24"/>
        </w:rPr>
        <w:t>assurance</w:t>
      </w:r>
      <w:commentRangeEnd w:id="3"/>
      <w:r w:rsidR="00595C3E" w:rsidRPr="00AC3820">
        <w:rPr>
          <w:rStyle w:val="CommentReference"/>
          <w:b w:val="0"/>
          <w:bCs w:val="0"/>
          <w:color w:val="000000" w:themeColor="text1"/>
          <w:sz w:val="24"/>
          <w:szCs w:val="24"/>
        </w:rPr>
        <w:commentReference w:id="3"/>
      </w:r>
      <w:commentRangeEnd w:id="4"/>
      <w:r w:rsidR="00D92E80" w:rsidRPr="00AC3820">
        <w:rPr>
          <w:rStyle w:val="CommentReference"/>
          <w:b w:val="0"/>
          <w:bCs w:val="0"/>
          <w:color w:val="000000" w:themeColor="text1"/>
          <w:sz w:val="24"/>
          <w:szCs w:val="24"/>
        </w:rPr>
        <w:commentReference w:id="4"/>
      </w:r>
      <w:r w:rsidRPr="00AC3820">
        <w:rPr>
          <w:b w:val="0"/>
          <w:bCs w:val="0"/>
          <w:color w:val="000000" w:themeColor="text1"/>
          <w:szCs w:val="24"/>
        </w:rPr>
        <w:t xml:space="preserve">. This inconsistency is particularly pronounced when </w:t>
      </w:r>
      <w:r w:rsidRPr="00AC3820">
        <w:rPr>
          <w:b w:val="0"/>
          <w:bCs w:val="0"/>
          <w:color w:val="000000" w:themeColor="text1"/>
          <w:szCs w:val="24"/>
        </w:rPr>
        <w:lastRenderedPageBreak/>
        <w:t>decision authority is fragmented and oversight is applied inconsistently under pressure (Liu et al., 2020; Lowry et al., 2025). Consequently, these disruptions lead to prolonged system downtime, uneven or slow recovery processes, compromised data integrity, and a diminished ability to demonstrate that restoration actions meet acceptable operational and risk thresholds during crisis conditions (Lowry et al., 2025; Park et al., 2023). This issue is most acutely felt by IT and network managers within U.S. SMEs, who bear the responsibility for recovery while attempting to coordinate across both internal teams and external service providers in environments where stakeholder priorities are often in flux. Furthermore, existing governance frameworks frequently fail to establish clear decision rights, accountability structures, or time-sensitive escalation pathways (</w:t>
      </w:r>
      <w:r w:rsidRPr="00C17561">
        <w:rPr>
          <w:b w:val="0"/>
          <w:bCs w:val="0"/>
          <w:color w:val="000000" w:themeColor="text1"/>
          <w:szCs w:val="24"/>
          <w:highlight w:val="cyan"/>
        </w:rPr>
        <w:t>Erdiaw-Kwasie et al.</w:t>
      </w:r>
      <w:r w:rsidRPr="00AC3820">
        <w:rPr>
          <w:b w:val="0"/>
          <w:bCs w:val="0"/>
          <w:color w:val="000000" w:themeColor="text1"/>
          <w:szCs w:val="24"/>
        </w:rPr>
        <w:t xml:space="preserve">, 2017; </w:t>
      </w:r>
      <w:r w:rsidRPr="008C1B5E">
        <w:rPr>
          <w:b w:val="0"/>
          <w:bCs w:val="0"/>
          <w:color w:val="000000" w:themeColor="text1"/>
          <w:szCs w:val="24"/>
          <w:highlight w:val="cyan"/>
        </w:rPr>
        <w:t>Mitchell et al., 1997</w:t>
      </w:r>
      <w:r w:rsidRPr="00AC3820">
        <w:rPr>
          <w:b w:val="0"/>
          <w:bCs w:val="0"/>
          <w:color w:val="000000" w:themeColor="text1"/>
          <w:szCs w:val="24"/>
        </w:rPr>
        <w:t>). Despite the increasing body of scholarship on IT centralization, resilience, and cybersecurity oversight, there remains a paucity of research elucidating how IT and network managers in U.S. small and medium-sized enterprises (SMEs) operationalize disaster recovery governance in practice, particularly when shifting stakeholder priorities undermine decision rights, escalation pathways, and standards for defensible recoverability assurance (Liu et al., 2020; Lowry et al., 2025).</w:t>
      </w:r>
    </w:p>
    <w:p w14:paraId="4521E17A" w14:textId="77777777" w:rsidR="008529C6" w:rsidRPr="00AC3820" w:rsidRDefault="008529C6" w:rsidP="008529C6">
      <w:pPr>
        <w:pStyle w:val="Heading5"/>
        <w:spacing w:line="480" w:lineRule="auto"/>
        <w:ind w:firstLine="720"/>
        <w:rPr>
          <w:b w:val="0"/>
          <w:bCs w:val="0"/>
          <w:color w:val="000000" w:themeColor="text1"/>
          <w:szCs w:val="24"/>
        </w:rPr>
      </w:pPr>
      <w:r w:rsidRPr="00AC3820">
        <w:rPr>
          <w:b w:val="0"/>
          <w:bCs w:val="0"/>
          <w:color w:val="000000" w:themeColor="text1"/>
          <w:szCs w:val="24"/>
        </w:rPr>
        <w:t xml:space="preserve">The specific problem is that many U.S. small and medium-sized enterprises (SMEs) do not proactively establish an operational disaster recovery capability characterized by clearly defined decision rights, escalation pathways, and evidentiary standards prior to a disruption. Instead, recovery efforts are often undertaken reactively, leading to increased exposure to data integrity failures, inconsistent restoration actions, and poorly defensible recovery outcomes when urgent decisions bypass established governance controls (Lowry et al., 2025; </w:t>
      </w:r>
      <w:r w:rsidRPr="008C1B5E">
        <w:rPr>
          <w:b w:val="0"/>
          <w:bCs w:val="0"/>
          <w:color w:val="000000" w:themeColor="text1"/>
          <w:szCs w:val="24"/>
          <w:highlight w:val="cyan"/>
        </w:rPr>
        <w:t>Mitchell et al</w:t>
      </w:r>
      <w:r w:rsidRPr="00AC3820">
        <w:rPr>
          <w:b w:val="0"/>
          <w:bCs w:val="0"/>
          <w:color w:val="000000" w:themeColor="text1"/>
          <w:szCs w:val="24"/>
        </w:rPr>
        <w:t xml:space="preserve">., </w:t>
      </w:r>
      <w:commentRangeStart w:id="5"/>
      <w:commentRangeStart w:id="6"/>
      <w:r w:rsidRPr="00AC3820">
        <w:rPr>
          <w:b w:val="0"/>
          <w:bCs w:val="0"/>
          <w:color w:val="000000" w:themeColor="text1"/>
          <w:szCs w:val="24"/>
        </w:rPr>
        <w:t>1997</w:t>
      </w:r>
      <w:commentRangeEnd w:id="5"/>
      <w:r w:rsidR="00595C3E" w:rsidRPr="00AC3820">
        <w:rPr>
          <w:rStyle w:val="CommentReference"/>
          <w:b w:val="0"/>
          <w:bCs w:val="0"/>
          <w:color w:val="000000" w:themeColor="text1"/>
          <w:sz w:val="24"/>
          <w:szCs w:val="24"/>
        </w:rPr>
        <w:commentReference w:id="5"/>
      </w:r>
      <w:commentRangeEnd w:id="6"/>
      <w:r w:rsidR="00D92E80" w:rsidRPr="00AC3820">
        <w:rPr>
          <w:rStyle w:val="CommentReference"/>
          <w:b w:val="0"/>
          <w:bCs w:val="0"/>
          <w:color w:val="000000" w:themeColor="text1"/>
          <w:sz w:val="24"/>
          <w:szCs w:val="24"/>
        </w:rPr>
        <w:commentReference w:id="6"/>
      </w:r>
      <w:r w:rsidRPr="00AC3820">
        <w:rPr>
          <w:b w:val="0"/>
          <w:bCs w:val="0"/>
          <w:color w:val="000000" w:themeColor="text1"/>
          <w:szCs w:val="24"/>
        </w:rPr>
        <w:t xml:space="preserve">). In the context of Small and Medium Enterprises (SMEs) utilizing IT Disaster Recovery as a Service (ITDRPaaS), shifts in stakeholder salience, evidenced by evolving claims of power, </w:t>
      </w:r>
      <w:r w:rsidRPr="00AC3820">
        <w:rPr>
          <w:b w:val="0"/>
          <w:bCs w:val="0"/>
          <w:color w:val="000000" w:themeColor="text1"/>
          <w:szCs w:val="24"/>
        </w:rPr>
        <w:lastRenderedPageBreak/>
        <w:t xml:space="preserve">legitimacy, and urgency—can disrupt established priorities during incidents. This disruption may destabilize decision-making authority, complicate escalation processes, and alter the criteria used to assess adequate proof of recoverability (Donaldson &amp; Preston, 1995; Mitchell et al., 1997). Consequently, restoration priorities and thresholds for recovery proof may be renegotiated mid-incident, resulting in governance inconsistencies, disputes over what qualifies as “good enough” recovery, and uneven recovery performance across SME environments (Lowry et al., 2025; </w:t>
      </w:r>
      <w:r w:rsidRPr="008C1B5E">
        <w:rPr>
          <w:b w:val="0"/>
          <w:bCs w:val="0"/>
          <w:color w:val="000000" w:themeColor="text1"/>
          <w:szCs w:val="24"/>
          <w:highlight w:val="cyan"/>
        </w:rPr>
        <w:t>Mitchell et al., 1997).</w:t>
      </w:r>
    </w:p>
    <w:p w14:paraId="3FD3DE30" w14:textId="77777777" w:rsidR="00060C75" w:rsidRPr="00AC3820" w:rsidRDefault="00982976" w:rsidP="00215499">
      <w:pPr>
        <w:pStyle w:val="Heading5"/>
        <w:rPr>
          <w:color w:val="000000" w:themeColor="text1"/>
        </w:rPr>
      </w:pPr>
      <w:r w:rsidRPr="00AC3820">
        <w:rPr>
          <w:color w:val="000000" w:themeColor="text1"/>
        </w:rPr>
        <w:t>Gap</w:t>
      </w:r>
    </w:p>
    <w:p w14:paraId="3DFF9B40" w14:textId="77777777" w:rsidR="00215499" w:rsidRPr="00AC3820" w:rsidRDefault="00982976" w:rsidP="00215499">
      <w:pPr>
        <w:pStyle w:val="Body"/>
        <w:rPr>
          <w:i/>
          <w:iCs/>
          <w:color w:val="000000" w:themeColor="text1"/>
        </w:rPr>
      </w:pPr>
      <w:r w:rsidRPr="00AC3820">
        <w:rPr>
          <w:i/>
          <w:iCs/>
          <w:color w:val="000000" w:themeColor="text1"/>
        </w:rPr>
        <w:t xml:space="preserve">Present an analysis of a gap in alignment with the problem and placed within the program. Addresses the broader questions of “who cares” and “why now”. </w:t>
      </w:r>
      <w:r w:rsidR="00215499" w:rsidRPr="00AC3820">
        <w:rPr>
          <w:i/>
          <w:iCs/>
          <w:color w:val="000000" w:themeColor="text1"/>
        </w:rPr>
        <w:t xml:space="preserve">Suggested length 1 paragraph. </w:t>
      </w:r>
    </w:p>
    <w:p w14:paraId="11F3A87D" w14:textId="77777777" w:rsidR="008808E5" w:rsidRPr="00AC3820" w:rsidRDefault="008808E5" w:rsidP="008808E5">
      <w:pPr>
        <w:rPr>
          <w:color w:val="000000" w:themeColor="text1"/>
        </w:rPr>
      </w:pPr>
    </w:p>
    <w:p w14:paraId="4B938CC4" w14:textId="4D3BD1E7" w:rsidR="00064448" w:rsidRPr="00AC3820" w:rsidRDefault="00064448" w:rsidP="00064448">
      <w:pPr>
        <w:spacing w:line="480" w:lineRule="auto"/>
        <w:ind w:firstLine="720"/>
        <w:rPr>
          <w:color w:val="000000" w:themeColor="text1"/>
        </w:rPr>
      </w:pPr>
      <w:r w:rsidRPr="00AC3820">
        <w:rPr>
          <w:color w:val="000000" w:themeColor="text1"/>
        </w:rPr>
        <w:t xml:space="preserve">Although stakeholder theory provides the overarching frame that organizations must create and protect value by managing competing stakeholder claims and sustaining legitimacy across stakeholder relationships, the literature does not clearly explain how this stakeholder-claim management is operationalized inside SME ITDRPaaS governance when cyber disruption forces time-critical recovery choices (Donaldson &amp; Preston, 1995; Freeman et al., 2004; Lowry et al., 2025). Within that stakeholder-theory frame, stakeholder-salience theory specifies the mechanism by which managerial attention shifts to power, legitimacy, and urgency determine whose claims “count” during incidents (Mitchell et al., 1997), yet research remains limited on how SME IT managers translate these salience shifts into decision rights, escalation pathways, and evidence standards that make recoverability assurance defensible to stakeholders during recovery (Lowry et al., 2025; </w:t>
      </w:r>
      <w:r w:rsidRPr="008C1B5E">
        <w:rPr>
          <w:color w:val="000000" w:themeColor="text1"/>
          <w:highlight w:val="cyan"/>
        </w:rPr>
        <w:t>Mitchell et al., 1997</w:t>
      </w:r>
      <w:r w:rsidRPr="00AC3820">
        <w:rPr>
          <w:color w:val="000000" w:themeColor="text1"/>
        </w:rPr>
        <w:t xml:space="preserve">). This gap matters to SME IT managers and the stakeholder groups that depend on their services because unclear authority and contested proof standards can yield inconsistent recovery and disputed restoration legitimacy, undermining stakeholder confidence and accountability under pressure (Donaldson </w:t>
      </w:r>
      <w:r w:rsidRPr="00AA13BF">
        <w:rPr>
          <w:color w:val="000000" w:themeColor="text1"/>
          <w:highlight w:val="cyan"/>
        </w:rPr>
        <w:t>&amp; Preston, 1995;</w:t>
      </w:r>
      <w:r w:rsidRPr="00AC3820">
        <w:rPr>
          <w:color w:val="000000" w:themeColor="text1"/>
        </w:rPr>
        <w:t xml:space="preserve"> Lowry et </w:t>
      </w:r>
      <w:r w:rsidRPr="00AC3820">
        <w:rPr>
          <w:color w:val="000000" w:themeColor="text1"/>
        </w:rPr>
        <w:lastRenderedPageBreak/>
        <w:t>al., 2025). It matters now because stakeholder evaluations and legitimacy judgments evolve rapidly in modern information environments, increasing the consequences when recovery governance cannot be explained and defended to affected stakeholders (Dorobantu et al., 2024). Therefore, this study addresses a program-aligned gap by examining how stakeholder-claim management and salience shifts are</w:t>
      </w:r>
      <w:r w:rsidR="00270594" w:rsidRPr="00AC3820">
        <w:rPr>
          <w:color w:val="000000" w:themeColor="text1"/>
        </w:rPr>
        <w:t xml:space="preserve"> to be GQI</w:t>
      </w:r>
      <w:commentRangeStart w:id="7"/>
      <w:commentRangeStart w:id="8"/>
      <w:r w:rsidRPr="00AC3820">
        <w:rPr>
          <w:color w:val="000000" w:themeColor="text1"/>
        </w:rPr>
        <w:t xml:space="preserve"> experienced </w:t>
      </w:r>
      <w:commentRangeEnd w:id="7"/>
      <w:r w:rsidR="00570A44" w:rsidRPr="00AC3820">
        <w:rPr>
          <w:rStyle w:val="CommentReference"/>
          <w:color w:val="000000" w:themeColor="text1"/>
          <w:sz w:val="24"/>
          <w:szCs w:val="24"/>
        </w:rPr>
        <w:commentReference w:id="7"/>
      </w:r>
      <w:commentRangeEnd w:id="8"/>
      <w:r w:rsidR="00E320E4" w:rsidRPr="00AC3820">
        <w:rPr>
          <w:rStyle w:val="CommentReference"/>
          <w:color w:val="000000" w:themeColor="text1"/>
          <w:sz w:val="24"/>
          <w:szCs w:val="24"/>
        </w:rPr>
        <w:commentReference w:id="8"/>
      </w:r>
      <w:r w:rsidRPr="00AC3820">
        <w:rPr>
          <w:color w:val="000000" w:themeColor="text1"/>
        </w:rPr>
        <w:t>and enacted in SME ITDRPaaS governance, clarifying how decision-right alignment can support stakeholder-legitimate, defensible recoverability assurance rather than ad hoc, contested restoration practice (</w:t>
      </w:r>
      <w:r w:rsidRPr="00AA13BF">
        <w:rPr>
          <w:color w:val="000000" w:themeColor="text1"/>
          <w:highlight w:val="cyan"/>
        </w:rPr>
        <w:t>Donaldson &amp; Preston</w:t>
      </w:r>
      <w:r w:rsidRPr="00AC3820">
        <w:rPr>
          <w:color w:val="000000" w:themeColor="text1"/>
        </w:rPr>
        <w:t>, 1995; Freeman et al., 2004).</w:t>
      </w:r>
    </w:p>
    <w:p w14:paraId="768C0E5F" w14:textId="77777777" w:rsidR="00145206" w:rsidRPr="00AC3820" w:rsidRDefault="00145206" w:rsidP="00145206">
      <w:pPr>
        <w:pStyle w:val="Heading2"/>
        <w:rPr>
          <w:color w:val="000000" w:themeColor="text1"/>
        </w:rPr>
      </w:pPr>
      <w:r w:rsidRPr="00AC3820">
        <w:rPr>
          <w:color w:val="000000" w:themeColor="text1"/>
        </w:rPr>
        <w:t>Supporting Evidence</w:t>
      </w:r>
    </w:p>
    <w:p w14:paraId="7610442D" w14:textId="77777777" w:rsidR="00064448" w:rsidRPr="00AC3820" w:rsidRDefault="00145206" w:rsidP="00064448">
      <w:pPr>
        <w:pStyle w:val="Body"/>
        <w:shd w:val="clear" w:color="auto" w:fill="E7E6E6"/>
        <w:rPr>
          <w:color w:val="000000" w:themeColor="text1"/>
        </w:rPr>
      </w:pPr>
      <w:r w:rsidRPr="00AC3820">
        <w:rPr>
          <w:i/>
          <w:iCs/>
          <w:color w:val="000000" w:themeColor="text1"/>
        </w:rPr>
        <w:t xml:space="preserve">Literature review addresses previous relevant </w:t>
      </w:r>
      <w:r w:rsidR="00B64032" w:rsidRPr="00AC3820">
        <w:rPr>
          <w:i/>
          <w:iCs/>
          <w:color w:val="000000" w:themeColor="text1"/>
        </w:rPr>
        <w:t xml:space="preserve">projects </w:t>
      </w:r>
      <w:r w:rsidRPr="00AC3820">
        <w:rPr>
          <w:i/>
          <w:iCs/>
          <w:color w:val="000000" w:themeColor="text1"/>
        </w:rPr>
        <w:t xml:space="preserve">and articulates theoretical </w:t>
      </w:r>
      <w:r w:rsidR="00E56BF8" w:rsidRPr="00AC3820">
        <w:rPr>
          <w:i/>
          <w:iCs/>
          <w:color w:val="000000" w:themeColor="text1"/>
        </w:rPr>
        <w:t>(</w:t>
      </w:r>
      <w:r w:rsidRPr="00AC3820">
        <w:rPr>
          <w:i/>
          <w:iCs/>
          <w:color w:val="000000" w:themeColor="text1"/>
        </w:rPr>
        <w:t>practice</w:t>
      </w:r>
      <w:r w:rsidR="00E56BF8" w:rsidRPr="00AC3820">
        <w:rPr>
          <w:i/>
          <w:iCs/>
          <w:color w:val="000000" w:themeColor="text1"/>
        </w:rPr>
        <w:t>)</w:t>
      </w:r>
      <w:r w:rsidRPr="00AC3820">
        <w:rPr>
          <w:i/>
          <w:iCs/>
          <w:color w:val="000000" w:themeColor="text1"/>
        </w:rPr>
        <w:t xml:space="preserve"> orientation. </w:t>
      </w:r>
      <w:r w:rsidRPr="00AC3820">
        <w:rPr>
          <w:color w:val="000000" w:themeColor="text1"/>
        </w:rPr>
        <w:t xml:space="preserve"> </w:t>
      </w:r>
    </w:p>
    <w:p w14:paraId="69146150" w14:textId="77777777" w:rsidR="008808E5" w:rsidRPr="00AC3820" w:rsidRDefault="00145206" w:rsidP="003B1FA2">
      <w:pPr>
        <w:pStyle w:val="Heading5"/>
        <w:rPr>
          <w:color w:val="000000" w:themeColor="text1"/>
        </w:rPr>
      </w:pPr>
      <w:r w:rsidRPr="00AC3820">
        <w:rPr>
          <w:color w:val="000000" w:themeColor="text1"/>
        </w:rPr>
        <w:t>Primary Orientation</w:t>
      </w:r>
    </w:p>
    <w:p w14:paraId="4DE63AB7" w14:textId="77777777" w:rsidR="003B1FA2" w:rsidRPr="00AC3820" w:rsidRDefault="00145206" w:rsidP="003B1FA2">
      <w:pPr>
        <w:pStyle w:val="Body"/>
        <w:rPr>
          <w:i/>
          <w:iCs/>
          <w:color w:val="000000" w:themeColor="text1"/>
        </w:rPr>
      </w:pPr>
      <w:r w:rsidRPr="00AC3820">
        <w:rPr>
          <w:i/>
          <w:iCs/>
          <w:color w:val="000000" w:themeColor="text1"/>
        </w:rPr>
        <w:t xml:space="preserve">Provide an introduction to the review of scholarly literature, an argument for conducting the review, and a primary theoretical </w:t>
      </w:r>
      <w:r w:rsidR="00E56BF8" w:rsidRPr="00AC3820">
        <w:rPr>
          <w:i/>
          <w:iCs/>
          <w:color w:val="000000" w:themeColor="text1"/>
        </w:rPr>
        <w:t>(</w:t>
      </w:r>
      <w:r w:rsidRPr="00AC3820">
        <w:rPr>
          <w:i/>
          <w:iCs/>
          <w:color w:val="000000" w:themeColor="text1"/>
        </w:rPr>
        <w:t>and practice</w:t>
      </w:r>
      <w:r w:rsidR="00E56BF8" w:rsidRPr="00AC3820">
        <w:rPr>
          <w:i/>
          <w:iCs/>
          <w:color w:val="000000" w:themeColor="text1"/>
        </w:rPr>
        <w:t>)</w:t>
      </w:r>
      <w:r w:rsidRPr="00AC3820">
        <w:rPr>
          <w:i/>
          <w:iCs/>
          <w:color w:val="000000" w:themeColor="text1"/>
        </w:rPr>
        <w:t xml:space="preserve"> orientation.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 </w:t>
      </w:r>
    </w:p>
    <w:p w14:paraId="1467539A" w14:textId="77777777" w:rsidR="00064448" w:rsidRPr="00AC3820" w:rsidRDefault="00064448" w:rsidP="003B1FA2">
      <w:pPr>
        <w:pStyle w:val="Body"/>
        <w:rPr>
          <w:i/>
          <w:iCs/>
          <w:color w:val="000000" w:themeColor="text1"/>
        </w:rPr>
      </w:pPr>
    </w:p>
    <w:p w14:paraId="5AFEFB9B" w14:textId="3CDB0E9B" w:rsidR="00064448" w:rsidRPr="00AC3820" w:rsidRDefault="00064448" w:rsidP="00064448">
      <w:pPr>
        <w:spacing w:line="480" w:lineRule="auto"/>
        <w:ind w:firstLine="720"/>
        <w:rPr>
          <w:color w:val="000000" w:themeColor="text1"/>
        </w:rPr>
      </w:pPr>
      <w:r w:rsidRPr="00AC3820">
        <w:rPr>
          <w:color w:val="000000" w:themeColor="text1"/>
        </w:rPr>
        <w:t xml:space="preserve">This study is primarily oriented to stakeholder-salience theory as developed </w:t>
      </w:r>
      <w:r w:rsidRPr="008C1B5E">
        <w:rPr>
          <w:color w:val="000000" w:themeColor="text1"/>
          <w:highlight w:val="cyan"/>
        </w:rPr>
        <w:t>by Mitchell</w:t>
      </w:r>
      <w:r w:rsidRPr="00AC3820">
        <w:rPr>
          <w:color w:val="000000" w:themeColor="text1"/>
        </w:rPr>
        <w:t xml:space="preserve"> et al. (1997) and situated within broader stakeholder and governance scholarship (Donaldson &amp; </w:t>
      </w:r>
      <w:r w:rsidRPr="00AA13BF">
        <w:rPr>
          <w:color w:val="000000" w:themeColor="text1"/>
          <w:highlight w:val="cyan"/>
        </w:rPr>
        <w:t>Preston, 1995;</w:t>
      </w:r>
      <w:r w:rsidRPr="00AC3820">
        <w:rPr>
          <w:color w:val="000000" w:themeColor="text1"/>
        </w:rPr>
        <w:t xml:space="preserve"> Freeman et al., 2004). Stakeholder-salience theory explains that organizational actors prioritize stakeholder claims based on managerial judgments of perceived power, legitimacy, and urgency, which dynamically determine who is heard and what is acted on in time-sensitive decisions (Dorobantu et al., 2024; </w:t>
      </w:r>
      <w:r w:rsidRPr="008C1B5E">
        <w:rPr>
          <w:color w:val="000000" w:themeColor="text1"/>
          <w:highlight w:val="cyan"/>
        </w:rPr>
        <w:t>Mitchell et al., 1997</w:t>
      </w:r>
      <w:r w:rsidRPr="00AC3820">
        <w:rPr>
          <w:color w:val="000000" w:themeColor="text1"/>
        </w:rPr>
        <w:t xml:space="preserve">). In SME ITDRPaaS environments, this lens is directly relevant because disruption conditions compress time and intensify conflict over priorities, authority, and acceptable proof of recovery, and slow, patchy recovery persists when salience-driven prioritization is not translated into stable governance routines—clear decision rights, time-critical escalation pathways, and defensible evidence standards (Lowry et al., 2025; </w:t>
      </w:r>
      <w:r w:rsidRPr="008C1B5E">
        <w:rPr>
          <w:color w:val="000000" w:themeColor="text1"/>
          <w:highlight w:val="cyan"/>
        </w:rPr>
        <w:t>Mitchell et al., 1997</w:t>
      </w:r>
      <w:r w:rsidRPr="00AC3820">
        <w:rPr>
          <w:color w:val="000000" w:themeColor="text1"/>
        </w:rPr>
        <w:t xml:space="preserve">). The literature review is warranted because </w:t>
      </w:r>
      <w:r w:rsidRPr="00AC3820">
        <w:rPr>
          <w:color w:val="000000" w:themeColor="text1"/>
        </w:rPr>
        <w:lastRenderedPageBreak/>
        <w:t>current stakeholder and governance scholarship does not clearly specify how SME network managers/IT managers operationalize salience judgments into executable recovery governance during real incidents—who is authorized to decide, when escalation occurs, and what evidence is accepted as “sufficient” proof of recoverability (Freeman et al., 2004; Lowry et al., 2025). Accordingly, the study uses generic qualitative inquiry to analyze IT manager accounts of stakeholder interactions, decision points, escalation episodes, and evidence-definition practices, examining how salience-driven judgments become (or fail to become) decision-right alignment and repeatable assurance routines in SME ITDRPaaS contexts (Dorobantu et al., 2024; Lowry et al., 2025).</w:t>
      </w:r>
    </w:p>
    <w:p w14:paraId="03076026" w14:textId="77777777" w:rsidR="00C92BAE" w:rsidRPr="00AC3820" w:rsidRDefault="00145206" w:rsidP="003B1FA2">
      <w:pPr>
        <w:pStyle w:val="Heading5"/>
        <w:rPr>
          <w:color w:val="000000" w:themeColor="text1"/>
        </w:rPr>
      </w:pPr>
      <w:r w:rsidRPr="00AC3820">
        <w:rPr>
          <w:color w:val="000000" w:themeColor="text1"/>
        </w:rPr>
        <w:t>Efforts to Address the Problem</w:t>
      </w:r>
    </w:p>
    <w:p w14:paraId="4D00486D" w14:textId="77777777" w:rsidR="003B1FA2" w:rsidRPr="00AC3820" w:rsidRDefault="00145206" w:rsidP="003B1FA2">
      <w:pPr>
        <w:pStyle w:val="Body"/>
        <w:rPr>
          <w:i/>
          <w:iCs/>
          <w:color w:val="000000" w:themeColor="text1"/>
        </w:rPr>
      </w:pPr>
      <w:r w:rsidRPr="00AC3820">
        <w:rPr>
          <w:i/>
          <w:iCs/>
          <w:color w:val="000000" w:themeColor="text1"/>
        </w:rPr>
        <w:t xml:space="preserve">Provide a synthesized review of the scholarly literature to expose, explain, and analyze previous scholarly efforts to address the problem.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1EE76767" w14:textId="77777777" w:rsidR="003B1FA2" w:rsidRPr="00AC3820" w:rsidRDefault="003B1FA2" w:rsidP="003B1FA2">
      <w:pPr>
        <w:pStyle w:val="Body"/>
        <w:rPr>
          <w:i/>
          <w:iCs/>
          <w:color w:val="000000" w:themeColor="text1"/>
        </w:rPr>
      </w:pPr>
      <w:r w:rsidRPr="00AC3820">
        <w:rPr>
          <w:i/>
          <w:iCs/>
          <w:color w:val="000000" w:themeColor="text1"/>
        </w:rPr>
        <w:t xml:space="preserve"> </w:t>
      </w:r>
    </w:p>
    <w:p w14:paraId="2E7690D1" w14:textId="77777777" w:rsidR="00064448" w:rsidRPr="00AC3820" w:rsidRDefault="00064448" w:rsidP="003B1FA2">
      <w:pPr>
        <w:pStyle w:val="Body"/>
        <w:rPr>
          <w:rFonts w:cs="Times New Roman"/>
          <w:color w:val="000000" w:themeColor="text1"/>
          <w:sz w:val="24"/>
          <w:szCs w:val="21"/>
        </w:rPr>
      </w:pPr>
    </w:p>
    <w:p w14:paraId="159E76D3" w14:textId="17B03046" w:rsidR="00064448" w:rsidRPr="00AC3820" w:rsidRDefault="00064448" w:rsidP="00064448">
      <w:pPr>
        <w:pStyle w:val="Body"/>
        <w:spacing w:line="480" w:lineRule="auto"/>
        <w:ind w:firstLine="720"/>
        <w:rPr>
          <w:rFonts w:cs="Times New Roman"/>
          <w:i/>
          <w:iCs/>
          <w:color w:val="000000" w:themeColor="text1"/>
          <w:sz w:val="24"/>
          <w:szCs w:val="24"/>
        </w:rPr>
      </w:pPr>
      <w:r w:rsidRPr="004B3856">
        <w:rPr>
          <w:rFonts w:cs="Times New Roman"/>
          <w:color w:val="000000" w:themeColor="text1"/>
          <w:sz w:val="24"/>
          <w:szCs w:val="24"/>
          <w:highlight w:val="cyan"/>
        </w:rPr>
        <w:t>Prior studies examined SME IT/network manager lived experience through stakeholder-salience theory as developed by Mitchell et al. (1997). Stakeholder-salience research demonstrates that organizational actors prioritize stakeholder claims based on managerial judgments of perceived power, legitimacy, and urgency, which dynamically shape which stakeholder claims receive attention and which recovery actions are authorized in time-sensitive decisions (Mitchell et al., 1997).</w:t>
      </w:r>
      <w:r w:rsidRPr="00AC3820">
        <w:rPr>
          <w:rFonts w:cs="Times New Roman"/>
          <w:color w:val="000000" w:themeColor="text1"/>
          <w:sz w:val="24"/>
          <w:szCs w:val="24"/>
        </w:rPr>
        <w:t xml:space="preserve"> In SME ITDRPaaS environments, stakeholder-salience provided an appropriate interpretive lens because disruption conditions compressed decision time and intensified conflict over priorities, authority, and acceptable proof of recovery, and slow, patchy recovery persisted when organizational actors failed to translate salience-driven prioritization into stable governance routines</w:t>
      </w:r>
      <w:r w:rsidR="004B3856">
        <w:rPr>
          <w:rFonts w:cs="Times New Roman"/>
          <w:color w:val="000000" w:themeColor="text1"/>
          <w:sz w:val="24"/>
          <w:szCs w:val="24"/>
        </w:rPr>
        <w:t xml:space="preserve">, </w:t>
      </w:r>
      <w:r w:rsidRPr="00AC3820">
        <w:rPr>
          <w:rFonts w:cs="Times New Roman"/>
          <w:color w:val="000000" w:themeColor="text1"/>
          <w:sz w:val="24"/>
          <w:szCs w:val="24"/>
        </w:rPr>
        <w:t xml:space="preserve">clear decision rights, time-critical escalation pathways, and defensible evidence standards (Lowry et al., 2025; </w:t>
      </w:r>
      <w:r w:rsidRPr="008C1B5E">
        <w:rPr>
          <w:rFonts w:cs="Times New Roman"/>
          <w:color w:val="000000" w:themeColor="text1"/>
          <w:sz w:val="24"/>
          <w:szCs w:val="24"/>
          <w:highlight w:val="cyan"/>
        </w:rPr>
        <w:t>Mitchell et al., 1997</w:t>
      </w:r>
      <w:r w:rsidRPr="00AC3820">
        <w:rPr>
          <w:rFonts w:cs="Times New Roman"/>
          <w:color w:val="000000" w:themeColor="text1"/>
          <w:sz w:val="24"/>
          <w:szCs w:val="24"/>
        </w:rPr>
        <w:t xml:space="preserve">).  The </w:t>
      </w:r>
      <w:r w:rsidRPr="00AC3820">
        <w:rPr>
          <w:rFonts w:cs="Times New Roman"/>
          <w:color w:val="000000" w:themeColor="text1"/>
          <w:sz w:val="24"/>
          <w:szCs w:val="24"/>
        </w:rPr>
        <w:lastRenderedPageBreak/>
        <w:t xml:space="preserve">study focused on </w:t>
      </w:r>
      <w:r w:rsidRPr="004B3856">
        <w:rPr>
          <w:rFonts w:cs="Times New Roman"/>
          <w:color w:val="000000" w:themeColor="text1"/>
          <w:sz w:val="24"/>
          <w:szCs w:val="24"/>
          <w:highlight w:val="cyan"/>
        </w:rPr>
        <w:t>how SME IT/network managers experience and operationalize salience judgments into executable recovery governance during real incidents, specifically which roles are authorized to decide, when escalation is triggered, and what evidence is accepted as sufficient proof of recoverability (Lowry et al., 2025; Mitchell et al., 1997).</w:t>
      </w:r>
      <w:r w:rsidRPr="00AC3820">
        <w:rPr>
          <w:rFonts w:cs="Times New Roman"/>
          <w:color w:val="000000" w:themeColor="text1"/>
          <w:sz w:val="24"/>
          <w:szCs w:val="24"/>
        </w:rPr>
        <w:t xml:space="preserve"> Accordingly,</w:t>
      </w:r>
      <w:r w:rsidRPr="00AC3820">
        <w:rPr>
          <w:rFonts w:cs="Times New Roman"/>
          <w:b/>
          <w:bCs/>
          <w:color w:val="000000" w:themeColor="text1"/>
          <w:sz w:val="24"/>
          <w:szCs w:val="24"/>
        </w:rPr>
        <w:t xml:space="preserve"> </w:t>
      </w:r>
      <w:r w:rsidR="00C9264C" w:rsidRPr="00AC3820">
        <w:rPr>
          <w:rStyle w:val="Strong"/>
          <w:rFonts w:cs="Times New Roman"/>
          <w:b w:val="0"/>
          <w:bCs w:val="0"/>
          <w:color w:val="000000" w:themeColor="text1"/>
          <w:sz w:val="24"/>
          <w:szCs w:val="24"/>
        </w:rPr>
        <w:t>this generic qualitative inquiry interviews to examine</w:t>
      </w:r>
      <w:r w:rsidR="00270594" w:rsidRPr="00AC3820">
        <w:rPr>
          <w:rStyle w:val="Strong"/>
          <w:rFonts w:cs="Times New Roman"/>
          <w:b w:val="0"/>
          <w:bCs w:val="0"/>
          <w:color w:val="000000" w:themeColor="text1"/>
          <w:sz w:val="24"/>
          <w:szCs w:val="24"/>
        </w:rPr>
        <w:t xml:space="preserve"> CFO/CIO and IT Network manager as</w:t>
      </w:r>
      <w:r w:rsidR="00C9264C" w:rsidRPr="00AC3820">
        <w:rPr>
          <w:rStyle w:val="Strong"/>
          <w:rFonts w:cs="Times New Roman"/>
          <w:b w:val="0"/>
          <w:bCs w:val="0"/>
          <w:color w:val="000000" w:themeColor="text1"/>
          <w:sz w:val="24"/>
          <w:szCs w:val="24"/>
        </w:rPr>
        <w:t xml:space="preserve"> </w:t>
      </w:r>
      <w:r w:rsidRPr="00AC3820">
        <w:rPr>
          <w:rFonts w:cs="Times New Roman"/>
          <w:color w:val="000000" w:themeColor="text1"/>
          <w:sz w:val="24"/>
          <w:szCs w:val="24"/>
        </w:rPr>
        <w:t xml:space="preserve">SME IT/network manager accounts of stakeholder interactions, decision points, escalation episodes, and evidence-definition practices, examining how salience-driven judgments are experienced and converted, or not converted, into aligned decision rights and repeatable assurance routines in SME ITDRPaaS governance contexts (Lowry et al., 2025; Mitchell </w:t>
      </w:r>
      <w:r w:rsidRPr="008C1B5E">
        <w:rPr>
          <w:rFonts w:cs="Times New Roman"/>
          <w:color w:val="000000" w:themeColor="text1"/>
          <w:sz w:val="24"/>
          <w:szCs w:val="24"/>
          <w:highlight w:val="cyan"/>
        </w:rPr>
        <w:t>et al., 1997</w:t>
      </w:r>
      <w:r w:rsidRPr="00AC3820">
        <w:rPr>
          <w:rFonts w:cs="Times New Roman"/>
          <w:color w:val="000000" w:themeColor="text1"/>
          <w:sz w:val="24"/>
          <w:szCs w:val="24"/>
        </w:rPr>
        <w:t>).</w:t>
      </w:r>
    </w:p>
    <w:p w14:paraId="7B412868" w14:textId="77777777" w:rsidR="00145206" w:rsidRPr="00AC3820" w:rsidRDefault="00145206" w:rsidP="003B1FA2">
      <w:pPr>
        <w:pStyle w:val="Heading5"/>
        <w:rPr>
          <w:color w:val="000000" w:themeColor="text1"/>
        </w:rPr>
      </w:pPr>
      <w:r w:rsidRPr="00AC3820">
        <w:rPr>
          <w:color w:val="000000" w:themeColor="text1"/>
        </w:rPr>
        <w:t>Synthesis of the Evidence</w:t>
      </w:r>
    </w:p>
    <w:p w14:paraId="0DB820FC" w14:textId="77777777" w:rsidR="003B1FA2" w:rsidRPr="00AC3820" w:rsidRDefault="00145206" w:rsidP="003B1FA2">
      <w:pPr>
        <w:pStyle w:val="Body"/>
        <w:rPr>
          <w:i/>
          <w:iCs/>
          <w:color w:val="000000" w:themeColor="text1"/>
        </w:rPr>
      </w:pPr>
      <w:r w:rsidRPr="00AC3820">
        <w:rPr>
          <w:i/>
          <w:iCs/>
          <w:color w:val="000000" w:themeColor="text1"/>
        </w:rPr>
        <w:t>Provide a logically organized and synthesize</w:t>
      </w:r>
      <w:r w:rsidR="00E43461" w:rsidRPr="00AC3820">
        <w:rPr>
          <w:i/>
          <w:iCs/>
          <w:color w:val="000000" w:themeColor="text1"/>
        </w:rPr>
        <w:t>d</w:t>
      </w:r>
      <w:r w:rsidRPr="00AC3820">
        <w:rPr>
          <w:i/>
          <w:iCs/>
          <w:color w:val="000000" w:themeColor="text1"/>
        </w:rPr>
        <w:t xml:space="preserve"> review and analysis of the literature in close alignment with the topic, problem, and gap. </w:t>
      </w:r>
      <w:r w:rsidR="003B1FA2" w:rsidRPr="00AC3820">
        <w:rPr>
          <w:i/>
          <w:iCs/>
          <w:color w:val="000000" w:themeColor="text1"/>
        </w:rPr>
        <w:t xml:space="preserve">Suggested length </w:t>
      </w:r>
      <w:r w:rsidR="00F262B1" w:rsidRPr="00AC3820">
        <w:rPr>
          <w:i/>
          <w:iCs/>
          <w:color w:val="000000" w:themeColor="text1"/>
        </w:rPr>
        <w:t>1-2</w:t>
      </w:r>
      <w:r w:rsidR="003B1FA2" w:rsidRPr="00AC3820">
        <w:rPr>
          <w:i/>
          <w:iCs/>
          <w:color w:val="000000" w:themeColor="text1"/>
        </w:rPr>
        <w:t xml:space="preserve"> paragraphs.</w:t>
      </w:r>
    </w:p>
    <w:p w14:paraId="6BD6191E" w14:textId="77777777" w:rsidR="002B52AA" w:rsidRPr="00AC3820" w:rsidRDefault="002B52AA" w:rsidP="003B1FA2">
      <w:pPr>
        <w:pStyle w:val="Body"/>
        <w:rPr>
          <w:i/>
          <w:iCs/>
          <w:color w:val="000000" w:themeColor="text1"/>
        </w:rPr>
      </w:pPr>
    </w:p>
    <w:p w14:paraId="0F8E8F3C" w14:textId="77777777" w:rsidR="002B52AA" w:rsidRPr="00AC3820" w:rsidRDefault="002B52AA" w:rsidP="002B52AA">
      <w:pPr>
        <w:spacing w:line="480" w:lineRule="auto"/>
        <w:ind w:firstLine="720"/>
        <w:rPr>
          <w:color w:val="000000" w:themeColor="text1"/>
          <w:szCs w:val="28"/>
        </w:rPr>
      </w:pPr>
      <w:r w:rsidRPr="00AC3820">
        <w:rPr>
          <w:color w:val="000000" w:themeColor="text1"/>
          <w:szCs w:val="28"/>
        </w:rPr>
        <w:t xml:space="preserve">The cumulative evidence across stakeholder-salience theory and U.S.-based IT governance and cybersecurity oversight research converges on a consistent insight: recovery stability is less a function of technical tooling and more a function of how authority is structured and enacted under pressure. Stakeholder-salience theory explains how power, legitimacy, and urgency dynamically reorder decision priorities during disruption, shaping whose claims define “what matters now” and which tradeoffs become acceptable (Mitchell et al., 1997). Governance findings likewise indicate that decision allocation and coordination capacity influence crisis performance, such that clearer authority structures are associated with more stable outcomes during disruption response (Liu et al., 2020; Park et al., 2023). Oversight research further suggests that fragile supervision and limited expertise can degrade governance quality and amplify inconsistency in operational execution when urgency escalates (Lowry et al., 2025).  </w:t>
      </w:r>
    </w:p>
    <w:p w14:paraId="6B19A385" w14:textId="77777777" w:rsidR="002B52AA" w:rsidRPr="00AC3820" w:rsidRDefault="002B52AA" w:rsidP="002B52AA">
      <w:pPr>
        <w:spacing w:line="480" w:lineRule="auto"/>
        <w:ind w:firstLine="720"/>
        <w:rPr>
          <w:color w:val="000000" w:themeColor="text1"/>
          <w:szCs w:val="28"/>
        </w:rPr>
      </w:pPr>
    </w:p>
    <w:p w14:paraId="51A32465" w14:textId="77777777" w:rsidR="002B52AA" w:rsidRPr="00AC3820" w:rsidRDefault="002B52AA" w:rsidP="002B52AA">
      <w:pPr>
        <w:spacing w:line="480" w:lineRule="auto"/>
        <w:ind w:firstLine="720"/>
        <w:rPr>
          <w:color w:val="000000" w:themeColor="text1"/>
          <w:szCs w:val="28"/>
        </w:rPr>
      </w:pPr>
    </w:p>
    <w:p w14:paraId="7AB812ED" w14:textId="1A6B8DE3" w:rsidR="002B52AA" w:rsidRPr="00AC3820" w:rsidRDefault="002B52AA" w:rsidP="002B52AA">
      <w:pPr>
        <w:spacing w:line="480" w:lineRule="auto"/>
        <w:ind w:firstLine="720"/>
        <w:rPr>
          <w:color w:val="000000" w:themeColor="text1"/>
        </w:rPr>
      </w:pPr>
      <w:r w:rsidRPr="00AC3820">
        <w:rPr>
          <w:color w:val="000000" w:themeColor="text1"/>
          <w:szCs w:val="28"/>
        </w:rPr>
        <w:t>When synthesized, these streams still leave a critical interpretive gap central to Stakeholder-Salience Governance of ITDRPaaS in SMEs: they do not fully explain how SME IT/network managers experience salience shifts and translate them into the governance-to-assurance chain—decision rights, escalation pathways, and defensible evidence standards, that are needed to produce and defend recoverability assurance in ITDRPaaS settings (</w:t>
      </w:r>
      <w:r w:rsidRPr="008C1B5E">
        <w:rPr>
          <w:color w:val="000000" w:themeColor="text1"/>
          <w:szCs w:val="28"/>
          <w:highlight w:val="cyan"/>
        </w:rPr>
        <w:t>Lowry et al.,</w:t>
      </w:r>
      <w:r w:rsidRPr="00AC3820">
        <w:rPr>
          <w:color w:val="000000" w:themeColor="text1"/>
          <w:szCs w:val="28"/>
        </w:rPr>
        <w:t xml:space="preserve"> 2025; Liu et al., 2020). In this context, IT strategy is treated as articulated continuity intent (risk tolerance, critical-service priorities, and acceptable downtime), and the gap concerns how IT/network managers translate that intent into decision-rights governance—who decides, when escalation occurs, and what evidence is required, under salience pressure (Lowry et al., 2025; </w:t>
      </w:r>
      <w:r w:rsidRPr="008C1B5E">
        <w:rPr>
          <w:color w:val="000000" w:themeColor="text1"/>
          <w:szCs w:val="28"/>
          <w:highlight w:val="cyan"/>
        </w:rPr>
        <w:t>Mitchell et al., 1997).</w:t>
      </w:r>
      <w:r w:rsidRPr="00AC3820">
        <w:rPr>
          <w:color w:val="000000" w:themeColor="text1"/>
          <w:szCs w:val="28"/>
        </w:rPr>
        <w:t xml:space="preserve"> In practice, salience contests shape which integrity risks are tolerated and what counts as “proof” under time pressure, </w:t>
      </w:r>
      <w:r w:rsidRPr="00AC3820">
        <w:rPr>
          <w:color w:val="000000" w:themeColor="text1"/>
        </w:rPr>
        <w:t xml:space="preserve">yet the literature under-specifies the network-management-level negotiation where accountability is most acute and authority often remains ambiguous (Lowry et al., 2025). </w:t>
      </w:r>
      <w:r w:rsidR="0019525A" w:rsidRPr="00AC3820">
        <w:rPr>
          <w:color w:val="000000" w:themeColor="text1"/>
        </w:rPr>
        <w:t>Accordingly, a generic qualitative inquiry is warranted to examine how SME IT/network managers perceive, interpret, and operationalize salience-driven judgments through decision rights, escalation pathways, and evidence practices that contribute to consistent and defensible recoverability assurance in ITDRPaaS environments (Caelli et al., 2003; Kahlke, 2014; Lowry et al., 2025).</w:t>
      </w:r>
    </w:p>
    <w:p w14:paraId="02BAFEF2" w14:textId="77777777" w:rsidR="00145206" w:rsidRPr="00AC3820" w:rsidRDefault="00DC3916" w:rsidP="00E56BF8">
      <w:pPr>
        <w:pStyle w:val="Heading2"/>
        <w:rPr>
          <w:color w:val="000000" w:themeColor="text1"/>
        </w:rPr>
      </w:pPr>
      <w:r w:rsidRPr="00AC3820">
        <w:rPr>
          <w:color w:val="000000" w:themeColor="text1"/>
        </w:rPr>
        <w:t xml:space="preserve">Purpose of the Project and </w:t>
      </w:r>
      <w:r w:rsidR="003B1FA2" w:rsidRPr="00AC3820">
        <w:rPr>
          <w:color w:val="000000" w:themeColor="text1"/>
        </w:rPr>
        <w:t>Project Questions</w:t>
      </w:r>
    </w:p>
    <w:p w14:paraId="5AD32C28" w14:textId="77777777" w:rsidR="003B1FA2" w:rsidRPr="00AC3820" w:rsidRDefault="00DC3916" w:rsidP="00891FB6">
      <w:pPr>
        <w:pStyle w:val="Body"/>
        <w:shd w:val="clear" w:color="auto" w:fill="E7E6E6"/>
        <w:rPr>
          <w:i/>
          <w:iCs/>
          <w:color w:val="000000" w:themeColor="text1"/>
        </w:rPr>
      </w:pPr>
      <w:r w:rsidRPr="00AC3820">
        <w:rPr>
          <w:i/>
          <w:iCs/>
          <w:color w:val="000000" w:themeColor="text1"/>
        </w:rPr>
        <w:t>Purpose and q</w:t>
      </w:r>
      <w:r w:rsidR="003B1FA2" w:rsidRPr="00AC3820">
        <w:rPr>
          <w:i/>
          <w:iCs/>
          <w:color w:val="000000" w:themeColor="text1"/>
        </w:rPr>
        <w:t>uestions align with topic, problem, and supporting evidence, including definition of terms.</w:t>
      </w:r>
    </w:p>
    <w:p w14:paraId="7251D4BF" w14:textId="77777777" w:rsidR="003B1FA2" w:rsidRPr="00AC3820" w:rsidRDefault="003B1FA2" w:rsidP="003B1FA2">
      <w:pPr>
        <w:pStyle w:val="Body"/>
        <w:rPr>
          <w:i/>
          <w:iCs/>
          <w:color w:val="000000" w:themeColor="text1"/>
        </w:rPr>
      </w:pPr>
    </w:p>
    <w:p w14:paraId="485B888A" w14:textId="77777777" w:rsidR="00DC3916" w:rsidRPr="00AC3820" w:rsidRDefault="00DC3916" w:rsidP="00DC3916">
      <w:pPr>
        <w:pStyle w:val="Heading2"/>
        <w:spacing w:before="247" w:after="0"/>
        <w:rPr>
          <w:color w:val="000000" w:themeColor="text1"/>
          <w:sz w:val="22"/>
          <w:szCs w:val="22"/>
        </w:rPr>
      </w:pPr>
      <w:r w:rsidRPr="00AC3820">
        <w:rPr>
          <w:color w:val="000000" w:themeColor="text1"/>
          <w:sz w:val="22"/>
          <w:szCs w:val="22"/>
        </w:rPr>
        <w:t>Purpose of the Project</w:t>
      </w:r>
    </w:p>
    <w:p w14:paraId="7A91F836" w14:textId="77777777" w:rsidR="00DC3916" w:rsidRPr="00AC3820" w:rsidRDefault="00DC3916" w:rsidP="00DC3916">
      <w:pPr>
        <w:rPr>
          <w:i/>
          <w:iCs/>
          <w:color w:val="000000" w:themeColor="text1"/>
        </w:rPr>
      </w:pPr>
      <w:r w:rsidRPr="00AC3820">
        <w:rPr>
          <w:i/>
          <w:iCs/>
          <w:color w:val="000000" w:themeColor="text1"/>
        </w:rPr>
        <w:t>Provide one-to-two sentences aligned with the topic, problem, gap in practice, and project question to state the purpose of the project.</w:t>
      </w:r>
    </w:p>
    <w:p w14:paraId="4CEC26E7" w14:textId="77777777" w:rsidR="002B52AA" w:rsidRPr="00AC3820" w:rsidRDefault="002B52AA" w:rsidP="00DC3916">
      <w:pPr>
        <w:rPr>
          <w:i/>
          <w:iCs/>
          <w:color w:val="000000" w:themeColor="text1"/>
        </w:rPr>
      </w:pPr>
    </w:p>
    <w:p w14:paraId="1A9D4C5A" w14:textId="77777777" w:rsidR="002B52AA" w:rsidRPr="00AC3820" w:rsidRDefault="002B52AA" w:rsidP="00DC3916">
      <w:pPr>
        <w:rPr>
          <w:i/>
          <w:iCs/>
          <w:color w:val="000000" w:themeColor="text1"/>
        </w:rPr>
      </w:pPr>
    </w:p>
    <w:p w14:paraId="1F86E9C5" w14:textId="75C30AD1" w:rsidR="002B52AA" w:rsidRPr="00AC3820" w:rsidRDefault="00FB17F9" w:rsidP="002B52AA">
      <w:pPr>
        <w:spacing w:line="480" w:lineRule="auto"/>
        <w:ind w:firstLine="720"/>
        <w:rPr>
          <w:color w:val="000000" w:themeColor="text1"/>
        </w:rPr>
      </w:pPr>
      <w:r w:rsidRPr="00AC3820">
        <w:rPr>
          <w:rFonts w:ascii="Helvetica" w:hAnsi="Helvetica" w:cs="Helvetica"/>
          <w:color w:val="000000" w:themeColor="text1"/>
        </w:rPr>
        <w:lastRenderedPageBreak/>
        <w:t>The purpose of the project is to explore</w:t>
      </w:r>
      <w:r w:rsidR="002B52AA" w:rsidRPr="00AC3820">
        <w:rPr>
          <w:color w:val="000000" w:themeColor="text1"/>
        </w:rPr>
        <w:t xml:space="preserve"> </w:t>
      </w:r>
      <w:r w:rsidR="00480DEB" w:rsidRPr="00AC3820">
        <w:rPr>
          <w:rFonts w:ascii="Helvetica" w:hAnsi="Helvetica" w:cs="Helvetica"/>
          <w:color w:val="000000" w:themeColor="text1"/>
        </w:rPr>
        <w:t>the perceptions of U.S. SME IT/network managers regarding the establishment and governance of IT Disaster Recovery Plan as a Service (ITDRPaaS) in environments where competing stakeholder priorities influence disaster recovery decisions.</w:t>
      </w:r>
      <w:r w:rsidR="00480DEB" w:rsidRPr="00AC3820">
        <w:rPr>
          <w:color w:val="000000" w:themeColor="text1"/>
        </w:rPr>
        <w:t xml:space="preserve"> </w:t>
      </w:r>
      <w:r w:rsidR="002B52AA" w:rsidRPr="00AC3820">
        <w:rPr>
          <w:color w:val="000000" w:themeColor="text1"/>
        </w:rPr>
        <w:t>This purpose addresses the practice gap of limited understanding of how SME IT/network managers manage competing stakeholder demands in methods that shape recovery priorities, decision rights, escalation pathways, and assurances of recoverability. This inquiry is closely aligned with the broader problem that SMEs frequently encounter inconsistent governance in disaster recovery under pressure, which can undermine coordinated response efforts, diminish network resilience, and compromise defensible recovery outcomes.</w:t>
      </w:r>
    </w:p>
    <w:p w14:paraId="15C2F293" w14:textId="77777777" w:rsidR="003B1FA2" w:rsidRPr="00AC3820" w:rsidRDefault="003B1FA2" w:rsidP="003B1FA2">
      <w:pPr>
        <w:pStyle w:val="Heading5"/>
        <w:rPr>
          <w:color w:val="000000" w:themeColor="text1"/>
        </w:rPr>
      </w:pPr>
      <w:r w:rsidRPr="00AC3820">
        <w:rPr>
          <w:color w:val="000000" w:themeColor="text1"/>
        </w:rPr>
        <w:t>Statement of Primary Question(s)</w:t>
      </w:r>
    </w:p>
    <w:p w14:paraId="72E0BA3B" w14:textId="77777777" w:rsidR="003B1FA2" w:rsidRPr="00AC3820" w:rsidRDefault="003B1FA2" w:rsidP="003B1FA2">
      <w:pPr>
        <w:pStyle w:val="Body"/>
        <w:rPr>
          <w:i/>
          <w:iCs/>
          <w:color w:val="000000" w:themeColor="text1"/>
        </w:rPr>
      </w:pPr>
      <w:r w:rsidRPr="00AC3820">
        <w:rPr>
          <w:i/>
          <w:iCs/>
          <w:color w:val="000000" w:themeColor="text1"/>
        </w:rPr>
        <w:t>Provide 1-3 project questions that align with the topic, problem, and supporting evidence within the program. Suggested length 1 paragraph.</w:t>
      </w:r>
    </w:p>
    <w:p w14:paraId="3255588E" w14:textId="77777777" w:rsidR="002B52AA" w:rsidRPr="00AC3820" w:rsidRDefault="002B52AA" w:rsidP="003B1FA2">
      <w:pPr>
        <w:pStyle w:val="Body"/>
        <w:rPr>
          <w:i/>
          <w:iCs/>
          <w:color w:val="000000" w:themeColor="text1"/>
        </w:rPr>
      </w:pPr>
    </w:p>
    <w:p w14:paraId="0F330174" w14:textId="58AC0033" w:rsidR="002B52AA" w:rsidRPr="00AC3820" w:rsidRDefault="00480DEB" w:rsidP="00480DEB">
      <w:pPr>
        <w:spacing w:line="480" w:lineRule="auto"/>
        <w:rPr>
          <w:color w:val="000000" w:themeColor="text1"/>
          <w:szCs w:val="28"/>
        </w:rPr>
      </w:pPr>
      <w:r w:rsidRPr="00AC3820">
        <w:rPr>
          <w:color w:val="000000" w:themeColor="text1"/>
          <w:szCs w:val="28"/>
        </w:rPr>
        <w:t>T</w:t>
      </w:r>
      <w:r w:rsidR="002B52AA" w:rsidRPr="00AC3820">
        <w:rPr>
          <w:color w:val="000000" w:themeColor="text1"/>
          <w:szCs w:val="28"/>
        </w:rPr>
        <w:t xml:space="preserve">he primary research question for this study is: </w:t>
      </w:r>
      <w:r w:rsidR="002B52AA" w:rsidRPr="00AC3820">
        <w:rPr>
          <w:rStyle w:val="Strong"/>
          <w:b w:val="0"/>
          <w:bCs w:val="0"/>
          <w:color w:val="000000" w:themeColor="text1"/>
          <w:szCs w:val="28"/>
        </w:rPr>
        <w:t>What are the perceptions of U.S. SME IT/network managers regarding the establishment and governance of IT Disaster Recovery Plan as a Service (ITDRPaaS) in environments where competing stakeholder priorities influence disaster recovery decisions?</w:t>
      </w:r>
      <w:r w:rsidR="002B52AA" w:rsidRPr="00AC3820">
        <w:rPr>
          <w:b/>
          <w:bCs/>
          <w:color w:val="000000" w:themeColor="text1"/>
          <w:szCs w:val="28"/>
        </w:rPr>
        <w:t xml:space="preserve"> </w:t>
      </w:r>
      <w:r w:rsidR="002B52AA" w:rsidRPr="00AC3820">
        <w:rPr>
          <w:color w:val="000000" w:themeColor="text1"/>
          <w:szCs w:val="28"/>
        </w:rPr>
        <w:t>This inquiry is guided by stakeholder-salience theory, which frames how perceived power, legitimacy, and urgency shape governance actions and recovery prioritization (</w:t>
      </w:r>
      <w:r w:rsidR="002B52AA" w:rsidRPr="008C1B5E">
        <w:rPr>
          <w:color w:val="000000" w:themeColor="text1"/>
          <w:szCs w:val="28"/>
          <w:highlight w:val="cyan"/>
        </w:rPr>
        <w:t>Mitchell et al., 1997</w:t>
      </w:r>
      <w:r w:rsidR="002B52AA" w:rsidRPr="00AC3820">
        <w:rPr>
          <w:color w:val="000000" w:themeColor="text1"/>
          <w:szCs w:val="28"/>
        </w:rPr>
        <w:t>).</w:t>
      </w:r>
    </w:p>
    <w:p w14:paraId="32CB65A8" w14:textId="77777777" w:rsidR="003B1FA2" w:rsidRPr="00AC3820" w:rsidRDefault="003B1FA2" w:rsidP="003B1FA2">
      <w:pPr>
        <w:pStyle w:val="Heading5"/>
        <w:rPr>
          <w:color w:val="000000" w:themeColor="text1"/>
        </w:rPr>
      </w:pPr>
      <w:r w:rsidRPr="00AC3820">
        <w:rPr>
          <w:color w:val="000000" w:themeColor="text1"/>
        </w:rPr>
        <w:t>Definition of Terms</w:t>
      </w:r>
    </w:p>
    <w:p w14:paraId="40079F72" w14:textId="77777777" w:rsidR="003B1FA2" w:rsidRPr="00AC3820" w:rsidRDefault="003B1FA2" w:rsidP="003B1FA2">
      <w:pPr>
        <w:pStyle w:val="Body"/>
        <w:rPr>
          <w:i/>
          <w:iCs/>
          <w:color w:val="000000" w:themeColor="text1"/>
        </w:rPr>
      </w:pPr>
      <w:r w:rsidRPr="00AC3820">
        <w:rPr>
          <w:i/>
          <w:iCs/>
          <w:color w:val="000000" w:themeColor="text1"/>
        </w:rPr>
        <w:t xml:space="preserve">Present a list of terms and definitions that relate to the program, topic, problem, gap, program, and project framework. </w:t>
      </w:r>
      <w:r w:rsidR="00F262B1" w:rsidRPr="00AC3820">
        <w:rPr>
          <w:i/>
          <w:iCs/>
          <w:color w:val="000000" w:themeColor="text1"/>
        </w:rPr>
        <w:t xml:space="preserve">This is a working section which you will continue to update in future courses.  </w:t>
      </w:r>
      <w:r w:rsidRPr="00AC3820">
        <w:rPr>
          <w:i/>
          <w:iCs/>
          <w:color w:val="000000" w:themeColor="text1"/>
        </w:rPr>
        <w:t xml:space="preserve">Suggested length 1 paragraph. </w:t>
      </w:r>
    </w:p>
    <w:p w14:paraId="7F7CA1D7" w14:textId="77777777" w:rsidR="002B52AA" w:rsidRPr="00AC3820" w:rsidRDefault="002B52AA" w:rsidP="003B1FA2">
      <w:pPr>
        <w:pStyle w:val="Body"/>
        <w:rPr>
          <w:i/>
          <w:iCs/>
          <w:color w:val="000000" w:themeColor="text1"/>
        </w:rPr>
      </w:pPr>
    </w:p>
    <w:p w14:paraId="6B59B59B" w14:textId="5F0EC9D4" w:rsidR="002B52AA" w:rsidRPr="00AC3820" w:rsidRDefault="002B52AA" w:rsidP="002B52AA">
      <w:pPr>
        <w:spacing w:line="480" w:lineRule="auto"/>
        <w:rPr>
          <w:color w:val="000000" w:themeColor="text1"/>
        </w:rPr>
      </w:pPr>
      <w:commentRangeStart w:id="9"/>
      <w:commentRangeStart w:id="10"/>
      <w:r w:rsidRPr="00AE2749">
        <w:rPr>
          <w:i/>
          <w:iCs/>
          <w:color w:val="000000" w:themeColor="text1"/>
          <w:highlight w:val="yellow"/>
        </w:rPr>
        <w:t>IT</w:t>
      </w:r>
      <w:commentRangeEnd w:id="9"/>
      <w:r w:rsidR="002E6F1C" w:rsidRPr="00AE2749">
        <w:rPr>
          <w:rStyle w:val="CommentReference"/>
          <w:i/>
          <w:iCs/>
          <w:color w:val="000000" w:themeColor="text1"/>
          <w:sz w:val="24"/>
          <w:szCs w:val="24"/>
          <w:highlight w:val="yellow"/>
        </w:rPr>
        <w:commentReference w:id="9"/>
      </w:r>
      <w:commentRangeEnd w:id="10"/>
      <w:r w:rsidR="00D92E80" w:rsidRPr="00AE2749">
        <w:rPr>
          <w:rStyle w:val="CommentReference"/>
          <w:i/>
          <w:iCs/>
          <w:color w:val="000000" w:themeColor="text1"/>
          <w:sz w:val="24"/>
          <w:szCs w:val="24"/>
          <w:highlight w:val="yellow"/>
        </w:rPr>
        <w:commentReference w:id="10"/>
      </w:r>
      <w:r w:rsidRPr="00AE2749">
        <w:rPr>
          <w:i/>
          <w:iCs/>
          <w:color w:val="000000" w:themeColor="text1"/>
          <w:highlight w:val="yellow"/>
        </w:rPr>
        <w:t xml:space="preserve"> Disaster Recovery Plan as a Service</w:t>
      </w:r>
      <w:r w:rsidRPr="00AE2749">
        <w:rPr>
          <w:color w:val="000000" w:themeColor="text1"/>
          <w:highlight w:val="yellow"/>
        </w:rPr>
        <w:t xml:space="preserve"> (ITDRPaaS</w:t>
      </w:r>
      <w:r w:rsidRPr="00AC3820">
        <w:rPr>
          <w:color w:val="000000" w:themeColor="text1"/>
        </w:rPr>
        <w:t>)</w:t>
      </w:r>
      <w:r w:rsidR="002E6F1C" w:rsidRPr="00AC3820">
        <w:rPr>
          <w:color w:val="000000" w:themeColor="text1"/>
        </w:rPr>
        <w:t>. D</w:t>
      </w:r>
      <w:r w:rsidRPr="00AC3820">
        <w:rPr>
          <w:color w:val="000000" w:themeColor="text1"/>
        </w:rPr>
        <w:t xml:space="preserve">efined as a governance-centered recovery capability in which an SME structures authority, escalation, and oversight so recovery decisions </w:t>
      </w:r>
      <w:r w:rsidRPr="00AC3820">
        <w:rPr>
          <w:color w:val="000000" w:themeColor="text1"/>
        </w:rPr>
        <w:lastRenderedPageBreak/>
        <w:t xml:space="preserve">can be executed and defended under disruption rather than relying on tools or contracts that do not hold under pressure (Lowry et al., 2025). </w:t>
      </w:r>
    </w:p>
    <w:p w14:paraId="4C0845C4" w14:textId="710BA40F" w:rsidR="00AB4E8B" w:rsidRPr="00AC3820" w:rsidRDefault="00AB4E8B" w:rsidP="00AB4E8B">
      <w:pPr>
        <w:spacing w:line="480" w:lineRule="auto"/>
        <w:rPr>
          <w:color w:val="000000" w:themeColor="text1"/>
        </w:rPr>
      </w:pPr>
      <w:r w:rsidRPr="00AE2749">
        <w:rPr>
          <w:i/>
          <w:iCs/>
          <w:color w:val="000000" w:themeColor="text1"/>
          <w:highlight w:val="yellow"/>
        </w:rPr>
        <w:t>Information Technology Disaster Recovery Plan as a Service</w:t>
      </w:r>
      <w:r w:rsidRPr="00AC3820">
        <w:rPr>
          <w:color w:val="000000" w:themeColor="text1"/>
        </w:rPr>
        <w:t xml:space="preserve"> (ITDRPaaS). A governance-centered recovery capability through which a small or medium-sized enterprise (SME) structures decision authority, escalation pathways, and oversight mechanisms so that recovery decisions can be executed, justified, and defended during a disruption rather than relying solely on technologies or contractual arrangements that may not remain effective under operational pressure (Lowry et al., 2025).</w:t>
      </w:r>
    </w:p>
    <w:p w14:paraId="6B98E8ED" w14:textId="7E813FDA" w:rsidR="002B52AA" w:rsidRPr="00AC3820" w:rsidRDefault="002B52AA" w:rsidP="002B52AA">
      <w:pPr>
        <w:spacing w:line="480" w:lineRule="auto"/>
        <w:rPr>
          <w:color w:val="000000" w:themeColor="text1"/>
        </w:rPr>
      </w:pPr>
      <w:r w:rsidRPr="00D00934">
        <w:rPr>
          <w:i/>
          <w:iCs/>
          <w:color w:val="000000" w:themeColor="text1"/>
          <w:highlight w:val="yellow"/>
        </w:rPr>
        <w:t>Recoverability assurance</w:t>
      </w:r>
      <w:r w:rsidR="002E6F1C" w:rsidRPr="00D00934">
        <w:rPr>
          <w:i/>
          <w:iCs/>
          <w:color w:val="000000" w:themeColor="text1"/>
        </w:rPr>
        <w:t xml:space="preserve">. </w:t>
      </w:r>
      <w:r w:rsidR="00295F7A" w:rsidRPr="00D00934">
        <w:rPr>
          <w:color w:val="000000" w:themeColor="text1"/>
        </w:rPr>
        <w:t xml:space="preserve">The </w:t>
      </w:r>
      <w:r w:rsidR="00295F7A" w:rsidRPr="00AC3820">
        <w:rPr>
          <w:color w:val="000000" w:themeColor="text1"/>
        </w:rPr>
        <w:t>set of</w:t>
      </w:r>
      <w:r w:rsidRPr="00AC3820">
        <w:rPr>
          <w:color w:val="000000" w:themeColor="text1"/>
        </w:rPr>
        <w:t xml:space="preserve"> decision-relevant, reviewable evidence artifacts (e.g., documented restoration outcomes, integrity checks, and recorded authorization actions) that support defensible claims that prioritized services can be restored within tolerance during and after incidents (Lowry et al., 2025). </w:t>
      </w:r>
    </w:p>
    <w:p w14:paraId="642CC268" w14:textId="7A2DEAC6" w:rsidR="002B52AA" w:rsidRPr="00AC3820" w:rsidRDefault="002B52AA" w:rsidP="002B52AA">
      <w:pPr>
        <w:spacing w:line="480" w:lineRule="auto"/>
        <w:rPr>
          <w:color w:val="000000" w:themeColor="text1"/>
        </w:rPr>
      </w:pPr>
      <w:r w:rsidRPr="00D00934">
        <w:rPr>
          <w:i/>
          <w:iCs/>
          <w:color w:val="000000" w:themeColor="text1"/>
          <w:highlight w:val="yellow"/>
        </w:rPr>
        <w:t>Stakeholder-salience dynamics</w:t>
      </w:r>
      <w:r w:rsidR="002E6F1C" w:rsidRPr="00D00934">
        <w:rPr>
          <w:i/>
          <w:iCs/>
          <w:color w:val="000000" w:themeColor="text1"/>
        </w:rPr>
        <w:t>.</w:t>
      </w:r>
      <w:r w:rsidR="002E6F1C" w:rsidRPr="00AC3820">
        <w:rPr>
          <w:color w:val="000000" w:themeColor="text1"/>
        </w:rPr>
        <w:t xml:space="preserve"> D</w:t>
      </w:r>
      <w:r w:rsidRPr="00AC3820">
        <w:rPr>
          <w:color w:val="000000" w:themeColor="text1"/>
        </w:rPr>
        <w:t>efined as the disruption-driven shifting dominance of stakeholder claims—based on power, legitimacy, and urgency—that determines whose priorities and risk tolerances govern time-critical recovery tradeoffs (</w:t>
      </w:r>
      <w:r w:rsidRPr="008C1B5E">
        <w:rPr>
          <w:color w:val="000000" w:themeColor="text1"/>
          <w:highlight w:val="cyan"/>
        </w:rPr>
        <w:t>Mitchell et al., 1997</w:t>
      </w:r>
      <w:r w:rsidRPr="00AC3820">
        <w:rPr>
          <w:color w:val="000000" w:themeColor="text1"/>
        </w:rPr>
        <w:t xml:space="preserve">). </w:t>
      </w:r>
    </w:p>
    <w:p w14:paraId="242B08CB" w14:textId="1B4DC91A" w:rsidR="002B52AA" w:rsidRPr="00AC3820" w:rsidRDefault="002B52AA" w:rsidP="002B52AA">
      <w:pPr>
        <w:spacing w:line="480" w:lineRule="auto"/>
        <w:rPr>
          <w:color w:val="000000" w:themeColor="text1"/>
        </w:rPr>
      </w:pPr>
      <w:r w:rsidRPr="00D00934">
        <w:rPr>
          <w:i/>
          <w:iCs/>
          <w:color w:val="000000" w:themeColor="text1"/>
          <w:highlight w:val="yellow"/>
        </w:rPr>
        <w:t>Decision-rights governance</w:t>
      </w:r>
      <w:r w:rsidR="002E6F1C" w:rsidRPr="00D00934">
        <w:rPr>
          <w:i/>
          <w:iCs/>
          <w:color w:val="000000" w:themeColor="text1"/>
        </w:rPr>
        <w:t>.</w:t>
      </w:r>
      <w:r w:rsidR="002E6F1C" w:rsidRPr="00AC3820">
        <w:rPr>
          <w:color w:val="000000" w:themeColor="text1"/>
        </w:rPr>
        <w:t xml:space="preserve"> D</w:t>
      </w:r>
      <w:r w:rsidRPr="00AC3820">
        <w:rPr>
          <w:color w:val="000000" w:themeColor="text1"/>
        </w:rPr>
        <w:t xml:space="preserve">efined as the explicit allocation of who is authorized to make specific recovery decisions (including speed-versus-integrity tradeoffs) so that IT strategy intent can be converted into executable action without ad hoc authority disputes (Liu et al., 2020). </w:t>
      </w:r>
      <w:r w:rsidRPr="00D00934">
        <w:rPr>
          <w:i/>
          <w:iCs/>
          <w:color w:val="000000" w:themeColor="text1"/>
          <w:highlight w:val="yellow"/>
        </w:rPr>
        <w:t>Time-critical escalation pathways</w:t>
      </w:r>
      <w:r w:rsidR="002E6F1C" w:rsidRPr="00D00934">
        <w:rPr>
          <w:i/>
          <w:iCs/>
          <w:color w:val="000000" w:themeColor="text1"/>
          <w:highlight w:val="yellow"/>
        </w:rPr>
        <w:t>.</w:t>
      </w:r>
      <w:r w:rsidR="002E6F1C" w:rsidRPr="00AC3820">
        <w:rPr>
          <w:color w:val="000000" w:themeColor="text1"/>
        </w:rPr>
        <w:t xml:space="preserve"> D</w:t>
      </w:r>
      <w:r w:rsidRPr="00AC3820">
        <w:rPr>
          <w:color w:val="000000" w:themeColor="text1"/>
        </w:rPr>
        <w:t xml:space="preserve">efined as pre-specified authority transitions and trigger rules that accelerate decision movement when urgency rises, preventing restoration delays caused by unclear escalation timing or contested approval authority (Park et al., 2023). </w:t>
      </w:r>
    </w:p>
    <w:p w14:paraId="21FD14A3" w14:textId="77777777" w:rsidR="002B52AA" w:rsidRPr="00AC3820" w:rsidRDefault="002B52AA" w:rsidP="002B52AA">
      <w:pPr>
        <w:spacing w:line="480" w:lineRule="auto"/>
        <w:rPr>
          <w:b/>
          <w:bCs/>
          <w:color w:val="000000" w:themeColor="text1"/>
        </w:rPr>
      </w:pPr>
    </w:p>
    <w:p w14:paraId="050D703C" w14:textId="06F8C805" w:rsidR="000C5620" w:rsidRPr="00AC3820" w:rsidRDefault="002B52AA" w:rsidP="002B52AA">
      <w:pPr>
        <w:spacing w:line="480" w:lineRule="auto"/>
        <w:rPr>
          <w:color w:val="000000" w:themeColor="text1"/>
        </w:rPr>
      </w:pPr>
      <w:r w:rsidRPr="00AE2749">
        <w:rPr>
          <w:i/>
          <w:iCs/>
          <w:color w:val="000000" w:themeColor="text1"/>
          <w:highlight w:val="yellow"/>
        </w:rPr>
        <w:lastRenderedPageBreak/>
        <w:t>SME IT/network manager (ITM</w:t>
      </w:r>
      <w:r w:rsidRPr="00D00934">
        <w:rPr>
          <w:i/>
          <w:iCs/>
          <w:color w:val="000000" w:themeColor="text1"/>
        </w:rPr>
        <w:t>)</w:t>
      </w:r>
      <w:r w:rsidR="002E6F1C" w:rsidRPr="00D00934">
        <w:rPr>
          <w:i/>
          <w:iCs/>
          <w:color w:val="000000" w:themeColor="text1"/>
        </w:rPr>
        <w:t>.</w:t>
      </w:r>
      <w:r w:rsidR="002E6F1C" w:rsidRPr="00AC3820">
        <w:rPr>
          <w:color w:val="000000" w:themeColor="text1"/>
        </w:rPr>
        <w:t xml:space="preserve"> D</w:t>
      </w:r>
      <w:r w:rsidRPr="00AC3820">
        <w:rPr>
          <w:color w:val="000000" w:themeColor="text1"/>
        </w:rPr>
        <w:t>efined as the accountable operational governance actor who coordinates interdependent recovery actions across internal teams and external providers while maintaining credible oversight of continuity decisions under time pressure (Park et al., 2023).</w:t>
      </w:r>
    </w:p>
    <w:p w14:paraId="6F97580E" w14:textId="77777777" w:rsidR="000C5620" w:rsidRPr="00AC3820" w:rsidRDefault="000C5620" w:rsidP="000C5620">
      <w:pPr>
        <w:pStyle w:val="Body"/>
        <w:pBdr>
          <w:top w:val="single" w:sz="4" w:space="1" w:color="auto"/>
          <w:left w:val="single" w:sz="4" w:space="4" w:color="auto"/>
          <w:bottom w:val="single" w:sz="4" w:space="1" w:color="auto"/>
          <w:right w:val="single" w:sz="4" w:space="4" w:color="auto"/>
        </w:pBdr>
        <w:rPr>
          <w:b/>
          <w:bCs/>
          <w:i/>
          <w:iCs/>
          <w:color w:val="000000" w:themeColor="text1"/>
        </w:rPr>
      </w:pPr>
      <w:r w:rsidRPr="00AC3820">
        <w:rPr>
          <w:b/>
          <w:bCs/>
          <w:i/>
          <w:iCs/>
          <w:color w:val="000000" w:themeColor="text1"/>
        </w:rPr>
        <w:t xml:space="preserve">If you are seeking Topic Endorsement in </w:t>
      </w:r>
      <w:r w:rsidR="00BB3A81" w:rsidRPr="00AC3820">
        <w:rPr>
          <w:b/>
          <w:bCs/>
          <w:i/>
          <w:iCs/>
          <w:color w:val="000000" w:themeColor="text1"/>
        </w:rPr>
        <w:t>RSCH</w:t>
      </w:r>
      <w:r w:rsidRPr="00AC3820">
        <w:rPr>
          <w:b/>
          <w:bCs/>
          <w:i/>
          <w:iCs/>
          <w:color w:val="000000" w:themeColor="text1"/>
        </w:rPr>
        <w:t xml:space="preserve">-V8926 – Doctoral Project Development - Topic Approval, you only need to complete the sections above for the approval.   </w:t>
      </w:r>
    </w:p>
    <w:p w14:paraId="1C19FC03" w14:textId="77777777" w:rsidR="00145206" w:rsidRPr="00AC3820" w:rsidRDefault="00D9774E" w:rsidP="00D9774E">
      <w:pPr>
        <w:pStyle w:val="Heading2"/>
        <w:rPr>
          <w:color w:val="000000" w:themeColor="text1"/>
        </w:rPr>
      </w:pPr>
      <w:r w:rsidRPr="00AC3820">
        <w:rPr>
          <w:color w:val="000000" w:themeColor="text1"/>
        </w:rPr>
        <w:t>Proposed Project Framework</w:t>
      </w:r>
    </w:p>
    <w:p w14:paraId="2BE5BA5C" w14:textId="77777777" w:rsidR="00D9774E" w:rsidRPr="00AC3820" w:rsidRDefault="00D9774E" w:rsidP="00891FB6">
      <w:pPr>
        <w:pStyle w:val="Body"/>
        <w:shd w:val="clear" w:color="auto" w:fill="E7E6E6"/>
        <w:rPr>
          <w:i/>
          <w:iCs/>
          <w:color w:val="000000" w:themeColor="text1"/>
        </w:rPr>
      </w:pPr>
      <w:r w:rsidRPr="00AC3820">
        <w:rPr>
          <w:i/>
          <w:iCs/>
          <w:color w:val="000000" w:themeColor="text1"/>
        </w:rPr>
        <w:t>Methodological approach is clearly defined and includes constructs, phenomena, variables, and population.</w:t>
      </w:r>
    </w:p>
    <w:p w14:paraId="272B28E6" w14:textId="77777777" w:rsidR="00D9774E" w:rsidRPr="00AC3820" w:rsidRDefault="00D9774E" w:rsidP="00D9774E">
      <w:pPr>
        <w:pStyle w:val="Body"/>
        <w:rPr>
          <w:i/>
          <w:iCs/>
          <w:color w:val="000000" w:themeColor="text1"/>
        </w:rPr>
      </w:pPr>
    </w:p>
    <w:p w14:paraId="3DCCD25A" w14:textId="77777777" w:rsidR="00D9774E" w:rsidRPr="00AC3820" w:rsidRDefault="00D9774E" w:rsidP="00D9774E">
      <w:pPr>
        <w:pStyle w:val="Heading5"/>
        <w:rPr>
          <w:color w:val="000000" w:themeColor="text1"/>
        </w:rPr>
      </w:pPr>
      <w:r w:rsidRPr="00AC3820">
        <w:rPr>
          <w:color w:val="000000" w:themeColor="text1"/>
        </w:rPr>
        <w:t>Methodological Approach</w:t>
      </w:r>
    </w:p>
    <w:p w14:paraId="75AE9584" w14:textId="7111C32B" w:rsidR="00D9774E" w:rsidRPr="00AC3820" w:rsidRDefault="00D9774E" w:rsidP="00D9774E">
      <w:pPr>
        <w:pStyle w:val="Body"/>
        <w:rPr>
          <w:i/>
          <w:iCs/>
          <w:color w:val="000000" w:themeColor="text1"/>
        </w:rPr>
      </w:pPr>
      <w:r w:rsidRPr="00AC3820">
        <w:rPr>
          <w:i/>
          <w:iCs/>
          <w:color w:val="000000" w:themeColor="text1"/>
        </w:rPr>
        <w:t>Provide a description and explanation of the methodological approach. The methodological approach must align to the topic, problem, supporting evidence, and data sources. Suggested length 2-3 paragraphs.</w:t>
      </w:r>
    </w:p>
    <w:p w14:paraId="45AAEC74" w14:textId="77777777" w:rsidR="00EB40C0" w:rsidRPr="00AC3820" w:rsidRDefault="00EB40C0" w:rsidP="00F96425">
      <w:pPr>
        <w:rPr>
          <w:color w:val="000000" w:themeColor="text1"/>
        </w:rPr>
      </w:pPr>
    </w:p>
    <w:p w14:paraId="43EFBEFC" w14:textId="60E8DBBC" w:rsidR="00A16ECD" w:rsidRPr="00AC3820" w:rsidRDefault="00F96425" w:rsidP="00E5476D">
      <w:pPr>
        <w:spacing w:line="480" w:lineRule="auto"/>
        <w:ind w:firstLine="720"/>
        <w:rPr>
          <w:color w:val="000000" w:themeColor="text1"/>
          <w:szCs w:val="28"/>
        </w:rPr>
      </w:pPr>
      <w:r w:rsidRPr="00AC3820">
        <w:rPr>
          <w:color w:val="000000" w:themeColor="text1"/>
          <w:szCs w:val="28"/>
        </w:rPr>
        <w:t>The study’s methodological approach is a generic qualitative inquiry (GQI), selected to investigate how U.S. small and medium-sized enterprise (SME) IT/network managers perceive and interpret the governance challenges associated with establishing and managing IT Disaster Recovery Platform as a Service (ITDRPaaS). This approach aligns with the topic and problem because it prioritizes managers’ sense-making of operational recovery processes over classical procedural traditions (</w:t>
      </w:r>
      <w:r w:rsidRPr="00AD3765">
        <w:rPr>
          <w:color w:val="000000" w:themeColor="text1"/>
          <w:szCs w:val="28"/>
          <w:highlight w:val="cyan"/>
        </w:rPr>
        <w:t xml:space="preserve">Creswell &amp; Poth, </w:t>
      </w:r>
      <w:r w:rsidR="00AD3765" w:rsidRPr="00AD3765">
        <w:rPr>
          <w:color w:val="000000" w:themeColor="text1"/>
          <w:szCs w:val="28"/>
          <w:highlight w:val="cyan"/>
        </w:rPr>
        <w:t>199</w:t>
      </w:r>
      <w:r w:rsidRPr="00AD3765">
        <w:rPr>
          <w:color w:val="000000" w:themeColor="text1"/>
          <w:szCs w:val="28"/>
          <w:highlight w:val="cyan"/>
        </w:rPr>
        <w:t>8;</w:t>
      </w:r>
      <w:r w:rsidRPr="00AC3820">
        <w:rPr>
          <w:color w:val="000000" w:themeColor="text1"/>
          <w:szCs w:val="28"/>
        </w:rPr>
        <w:t xml:space="preserve"> </w:t>
      </w:r>
      <w:r w:rsidRPr="00EB4677">
        <w:rPr>
          <w:color w:val="000000" w:themeColor="text1"/>
          <w:szCs w:val="28"/>
          <w:highlight w:val="yellow"/>
        </w:rPr>
        <w:t>Merriam &amp; Tisdell, 2016</w:t>
      </w:r>
      <w:r w:rsidR="00EB4677" w:rsidRPr="00EB4677">
        <w:rPr>
          <w:color w:val="000000" w:themeColor="text1"/>
          <w:szCs w:val="28"/>
          <w:highlight w:val="yellow"/>
        </w:rPr>
        <w:t>)</w:t>
      </w:r>
      <w:r w:rsidR="00C626CC" w:rsidRPr="00EB4677">
        <w:rPr>
          <w:color w:val="000000" w:themeColor="text1"/>
          <w:szCs w:val="28"/>
          <w:highlight w:val="yellow"/>
        </w:rPr>
        <w:t>.</w:t>
      </w:r>
      <w:r w:rsidR="00C626CC" w:rsidRPr="00AC3820">
        <w:rPr>
          <w:color w:val="000000" w:themeColor="text1"/>
          <w:szCs w:val="28"/>
        </w:rPr>
        <w:t xml:space="preserve"> </w:t>
      </w:r>
      <w:r w:rsidR="00F83B07" w:rsidRPr="00AC3820">
        <w:rPr>
          <w:color w:val="000000" w:themeColor="text1"/>
          <w:szCs w:val="28"/>
        </w:rPr>
        <w:t>GQI interview practice demands a flexible protocol that probes for clarification in participants' terms. Thematic analysis should use prior literature as orientation rather than a rigid coding mandate (Braun &amp; Clarke, 20</w:t>
      </w:r>
      <w:r w:rsidR="0028214A">
        <w:rPr>
          <w:color w:val="000000" w:themeColor="text1"/>
          <w:szCs w:val="28"/>
        </w:rPr>
        <w:t>19</w:t>
      </w:r>
      <w:r w:rsidR="00F83B07" w:rsidRPr="00AC3820">
        <w:rPr>
          <w:color w:val="000000" w:themeColor="text1"/>
          <w:szCs w:val="28"/>
        </w:rPr>
        <w:t xml:space="preserve">; Merriam &amp; Tisdell, 2016; </w:t>
      </w:r>
      <w:r w:rsidR="00F83B07" w:rsidRPr="001B1529">
        <w:rPr>
          <w:color w:val="000000" w:themeColor="text1"/>
          <w:szCs w:val="28"/>
          <w:highlight w:val="yellow"/>
        </w:rPr>
        <w:t>Kvale &amp; Brinkmann, 2015</w:t>
      </w:r>
      <w:r w:rsidR="00F83B07" w:rsidRPr="00AC3820">
        <w:rPr>
          <w:color w:val="000000" w:themeColor="text1"/>
          <w:szCs w:val="28"/>
        </w:rPr>
        <w:t>)</w:t>
      </w:r>
      <w:r w:rsidR="0028214A">
        <w:rPr>
          <w:color w:val="000000" w:themeColor="text1"/>
          <w:szCs w:val="28"/>
        </w:rPr>
        <w:t xml:space="preserve">, </w:t>
      </w:r>
      <w:r w:rsidR="00B96AE3">
        <w:rPr>
          <w:color w:val="000000" w:themeColor="text1"/>
          <w:szCs w:val="28"/>
        </w:rPr>
        <w:t xml:space="preserve">aligning </w:t>
      </w:r>
      <w:r w:rsidR="00B96AE3">
        <w:t>researcher</w:t>
      </w:r>
      <w:r w:rsidR="00B96AE3">
        <w:t>s</w:t>
      </w:r>
      <w:r w:rsidR="00B96AE3">
        <w:t xml:space="preserve"> </w:t>
      </w:r>
      <w:r w:rsidR="00B96AE3">
        <w:t>to</w:t>
      </w:r>
      <w:r w:rsidR="00B96AE3">
        <w:t xml:space="preserve"> prior literature to sensitize inquiry while allowing participants’ explanations, contextual meanings, and disconfirming accounts to guide code revision and theme development</w:t>
      </w:r>
      <w:r w:rsidR="00F83B07" w:rsidRPr="00AC3820">
        <w:rPr>
          <w:color w:val="000000" w:themeColor="text1"/>
          <w:szCs w:val="28"/>
        </w:rPr>
        <w:t>. Honoring experience is both an ethical and methodological discipline: it protects participants' voices, reveals our influence, and ensures our interpretations remain accountable to their accounts.</w:t>
      </w:r>
      <w:r w:rsidR="00C626CC" w:rsidRPr="00AC3820">
        <w:rPr>
          <w:color w:val="000000" w:themeColor="text1"/>
          <w:szCs w:val="28"/>
        </w:rPr>
        <w:t xml:space="preserve"> </w:t>
      </w:r>
      <w:commentRangeStart w:id="11"/>
      <w:r w:rsidR="00C626CC" w:rsidRPr="00AC3820">
        <w:rPr>
          <w:color w:val="000000" w:themeColor="text1"/>
          <w:szCs w:val="28"/>
        </w:rPr>
        <w:t xml:space="preserve">Honoring </w:t>
      </w:r>
      <w:r w:rsidR="00C626CC" w:rsidRPr="00AC3820">
        <w:rPr>
          <w:color w:val="000000" w:themeColor="text1"/>
          <w:szCs w:val="28"/>
        </w:rPr>
        <w:lastRenderedPageBreak/>
        <w:t>experience is both an ethical and methodological discipline, protects participants' voices, reveals our influence, and ensures our interpretations remain accountable to their accounts.</w:t>
      </w:r>
      <w:commentRangeEnd w:id="11"/>
      <w:r w:rsidR="006B06AF" w:rsidRPr="00AC3820">
        <w:rPr>
          <w:rStyle w:val="CommentReference"/>
          <w:color w:val="000000" w:themeColor="text1"/>
          <w:sz w:val="24"/>
          <w:szCs w:val="28"/>
        </w:rPr>
        <w:commentReference w:id="11"/>
      </w:r>
    </w:p>
    <w:p w14:paraId="493DEF96" w14:textId="4DA59FCC" w:rsidR="00F96425" w:rsidRPr="00AC3820" w:rsidRDefault="00A16ECD" w:rsidP="005C07EF">
      <w:pPr>
        <w:spacing w:line="480" w:lineRule="auto"/>
        <w:ind w:firstLine="720"/>
        <w:rPr>
          <w:color w:val="000000" w:themeColor="text1"/>
          <w:szCs w:val="28"/>
        </w:rPr>
      </w:pPr>
      <w:r w:rsidRPr="00AC3820">
        <w:rPr>
          <w:color w:val="000000" w:themeColor="text1"/>
          <w:szCs w:val="28"/>
        </w:rPr>
        <w:t>This study adopts a constructivist–interpretive worldview, positing that organizational realities are constructed through participants’ interactions and interpretations rather than existing as a single objective reality (</w:t>
      </w:r>
      <w:r w:rsidRPr="00AD3765">
        <w:rPr>
          <w:color w:val="000000" w:themeColor="text1"/>
          <w:szCs w:val="28"/>
          <w:highlight w:val="cyan"/>
        </w:rPr>
        <w:t xml:space="preserve">Creswell &amp; Poth, </w:t>
      </w:r>
      <w:r w:rsidR="00AD3765" w:rsidRPr="00AD3765">
        <w:rPr>
          <w:color w:val="000000" w:themeColor="text1"/>
          <w:szCs w:val="28"/>
          <w:highlight w:val="cyan"/>
        </w:rPr>
        <w:t>199</w:t>
      </w:r>
      <w:r w:rsidRPr="00AD3765">
        <w:rPr>
          <w:color w:val="000000" w:themeColor="text1"/>
          <w:szCs w:val="28"/>
          <w:highlight w:val="cyan"/>
        </w:rPr>
        <w:t>8</w:t>
      </w:r>
      <w:r w:rsidRPr="00AC3820">
        <w:rPr>
          <w:color w:val="000000" w:themeColor="text1"/>
          <w:szCs w:val="28"/>
        </w:rPr>
        <w:t xml:space="preserve">; </w:t>
      </w:r>
      <w:r w:rsidR="001B1529" w:rsidRPr="001B1529">
        <w:rPr>
          <w:color w:val="000000" w:themeColor="text1"/>
          <w:szCs w:val="28"/>
          <w:highlight w:val="yellow"/>
        </w:rPr>
        <w:t>Guba &amp; Lincoln, 1994</w:t>
      </w:r>
      <w:r w:rsidRPr="00AC3820">
        <w:rPr>
          <w:color w:val="000000" w:themeColor="text1"/>
          <w:szCs w:val="28"/>
        </w:rPr>
        <w:t>). Aligning with a subjectivist–transactional epistemology, knowledge of ITDRPaaS governance emerges from the interaction between the researcher and participants (</w:t>
      </w:r>
      <w:r w:rsidRPr="001B1529">
        <w:rPr>
          <w:color w:val="000000" w:themeColor="text1"/>
          <w:szCs w:val="28"/>
          <w:highlight w:val="yellow"/>
        </w:rPr>
        <w:t>Guba &amp; Lincoln, 1994</w:t>
      </w:r>
      <w:r w:rsidRPr="00AC3820">
        <w:rPr>
          <w:color w:val="000000" w:themeColor="text1"/>
          <w:szCs w:val="28"/>
        </w:rPr>
        <w:t xml:space="preserve">). This philosophical stance supports generic qualitative inquiry aimed at interpreting how diverse stakeholders understand recovery priorities, decision authority, escalation requirements, and acceptable evidence of recoverability. </w:t>
      </w:r>
      <w:r w:rsidR="00F96425" w:rsidRPr="00AC3820">
        <w:rPr>
          <w:color w:val="000000" w:themeColor="text1"/>
          <w:szCs w:val="28"/>
        </w:rPr>
        <w:t>Th</w:t>
      </w:r>
      <w:r w:rsidRPr="00AC3820">
        <w:rPr>
          <w:color w:val="000000" w:themeColor="text1"/>
          <w:szCs w:val="28"/>
        </w:rPr>
        <w:t>is</w:t>
      </w:r>
      <w:r w:rsidR="00F96425" w:rsidRPr="00AC3820">
        <w:rPr>
          <w:color w:val="000000" w:themeColor="text1"/>
          <w:szCs w:val="28"/>
        </w:rPr>
        <w:t xml:space="preserve"> approach therefore describes how stakeholders-salience participants translate organizational IT strategy into operational disaster recovery actions rather than testing predefined compliance checklists.</w:t>
      </w:r>
      <w:r w:rsidR="00C626CC" w:rsidRPr="00AC3820">
        <w:rPr>
          <w:color w:val="000000" w:themeColor="text1"/>
          <w:szCs w:val="28"/>
        </w:rPr>
        <w:t xml:space="preserve">  </w:t>
      </w:r>
      <w:r w:rsidR="00F96425" w:rsidRPr="00AC3820">
        <w:rPr>
          <w:color w:val="000000" w:themeColor="text1"/>
          <w:szCs w:val="28"/>
        </w:rPr>
        <w:t xml:space="preserve">In SME environments, competing stakeholder demands routinely complicate recovery prioritization, restoration authority, and acceptable service-recovery thresholds. Accordingly, the design captures how those demands condition who counts in recovery prioritization, who decides and escalates under pressure, and what counts as an acceptable recovery standard. </w:t>
      </w:r>
    </w:p>
    <w:p w14:paraId="681D3856" w14:textId="13B918CB" w:rsidR="00F96425" w:rsidRPr="00AC3820" w:rsidRDefault="00F96425" w:rsidP="005C07EF">
      <w:pPr>
        <w:spacing w:line="480" w:lineRule="auto"/>
        <w:ind w:firstLine="720"/>
        <w:rPr>
          <w:color w:val="000000" w:themeColor="text1"/>
          <w:szCs w:val="28"/>
        </w:rPr>
      </w:pPr>
      <w:r w:rsidRPr="00AC3820">
        <w:rPr>
          <w:color w:val="000000" w:themeColor="text1"/>
          <w:szCs w:val="28"/>
        </w:rPr>
        <w:t>Stakeholder-salience theory will serve as the interpretive foundation for understanding how perceptions of power, legitimacy, and urgency influence the prioritization of recovery actions during time-critical events (</w:t>
      </w:r>
      <w:r w:rsidRPr="008C1B5E">
        <w:rPr>
          <w:color w:val="000000" w:themeColor="text1"/>
          <w:szCs w:val="28"/>
          <w:highlight w:val="cyan"/>
        </w:rPr>
        <w:t>Mitchell et al., 1997</w:t>
      </w:r>
      <w:r w:rsidRPr="00AC3820">
        <w:rPr>
          <w:color w:val="000000" w:themeColor="text1"/>
          <w:szCs w:val="28"/>
        </w:rPr>
        <w:t xml:space="preserve">).  Within this GQI frame, the phenomenon is IT/network managers’ experienced governance and decision dynamics as they interpret stakeholder influence during disruption or recovery planning. Managers must convert IT strategy intent, from a lived perspective into operational recovery authority while navigating conflicting claims about what should be restored first and who may authorize action. The </w:t>
      </w:r>
      <w:r w:rsidRPr="00AC3820">
        <w:rPr>
          <w:color w:val="000000" w:themeColor="text1"/>
          <w:szCs w:val="28"/>
        </w:rPr>
        <w:lastRenderedPageBreak/>
        <w:t xml:space="preserve">approach thereby yields descriptive insight into decision rights and escalation pathways, without reducing the inquiry to a pure classical phenomenology. It also examines evidentiary standards that support recoverability assurance when managers must defend recovery outcomes to stakeholders (Mojtahedi &amp; Oo, 2017; </w:t>
      </w:r>
      <w:r w:rsidRPr="00EB61EE">
        <w:rPr>
          <w:color w:val="000000" w:themeColor="text1"/>
          <w:szCs w:val="28"/>
          <w:highlight w:val="cyan"/>
        </w:rPr>
        <w:t>Weill &amp; Ross, 2004</w:t>
      </w:r>
      <w:r w:rsidRPr="00AC3820">
        <w:rPr>
          <w:color w:val="000000" w:themeColor="text1"/>
          <w:szCs w:val="28"/>
        </w:rPr>
        <w:t>). Collectively, the PLU options of choices keep the methodological approach aligned with the study’s purpose.</w:t>
      </w:r>
    </w:p>
    <w:p w14:paraId="44073C32" w14:textId="77777777" w:rsidR="00D9774E" w:rsidRPr="00AC3820" w:rsidRDefault="00D9774E" w:rsidP="00D9774E">
      <w:pPr>
        <w:pStyle w:val="Heading5"/>
        <w:rPr>
          <w:color w:val="000000" w:themeColor="text1"/>
        </w:rPr>
      </w:pPr>
      <w:r w:rsidRPr="00AC3820">
        <w:rPr>
          <w:color w:val="000000" w:themeColor="text1"/>
        </w:rPr>
        <w:t>Population and Sample (including site if necessary)</w:t>
      </w:r>
    </w:p>
    <w:p w14:paraId="649D14CA" w14:textId="77777777" w:rsidR="00D9774E" w:rsidRPr="00AC3820" w:rsidRDefault="00D9774E" w:rsidP="00D9774E">
      <w:pPr>
        <w:pStyle w:val="Body"/>
        <w:rPr>
          <w:i/>
          <w:iCs/>
          <w:color w:val="000000" w:themeColor="text1"/>
        </w:rPr>
      </w:pPr>
      <w:r w:rsidRPr="00AC3820">
        <w:rPr>
          <w:i/>
          <w:iCs/>
          <w:color w:val="000000" w:themeColor="text1"/>
        </w:rPr>
        <w:t xml:space="preserve">Describe the general target population (e.g., size, characteristics). Suggested length 1-2 paragraphs. </w:t>
      </w:r>
    </w:p>
    <w:p w14:paraId="79338649" w14:textId="77777777" w:rsidR="00F96425" w:rsidRPr="00AC3820" w:rsidRDefault="00F96425" w:rsidP="005C07EF">
      <w:pPr>
        <w:spacing w:line="480" w:lineRule="auto"/>
        <w:ind w:firstLine="720"/>
        <w:rPr>
          <w:color w:val="000000" w:themeColor="text1"/>
          <w:szCs w:val="28"/>
        </w:rPr>
      </w:pPr>
    </w:p>
    <w:p w14:paraId="48B396DB" w14:textId="04E4D454" w:rsidR="00F96425" w:rsidRPr="00AC3820" w:rsidRDefault="00F96425" w:rsidP="005C07EF">
      <w:pPr>
        <w:spacing w:line="480" w:lineRule="auto"/>
        <w:ind w:firstLine="720"/>
        <w:rPr>
          <w:color w:val="000000" w:themeColor="text1"/>
          <w:szCs w:val="28"/>
        </w:rPr>
      </w:pPr>
      <w:r w:rsidRPr="00AC3820">
        <w:rPr>
          <w:color w:val="000000" w:themeColor="text1"/>
          <w:szCs w:val="28"/>
        </w:rPr>
        <w:t>The target pop</w:t>
      </w:r>
      <w:commentRangeStart w:id="12"/>
      <w:commentRangeStart w:id="13"/>
      <w:commentRangeStart w:id="14"/>
      <w:commentRangeStart w:id="15"/>
      <w:r w:rsidRPr="00AC3820">
        <w:rPr>
          <w:color w:val="000000" w:themeColor="text1"/>
          <w:szCs w:val="28"/>
        </w:rPr>
        <w:t>ulation comprises IT and network managers (or equivalent positional titles such as systems, infrastructure, or IT operations managers) employed by U.S. based small and medium enterprise</w:t>
      </w:r>
      <w:commentRangeEnd w:id="12"/>
      <w:r w:rsidR="00D26D7D" w:rsidRPr="00AC3820">
        <w:rPr>
          <w:rStyle w:val="CommentReference"/>
          <w:color w:val="000000" w:themeColor="text1"/>
          <w:sz w:val="24"/>
          <w:szCs w:val="28"/>
        </w:rPr>
        <w:commentReference w:id="12"/>
      </w:r>
      <w:commentRangeEnd w:id="13"/>
      <w:r w:rsidR="00BB1B22" w:rsidRPr="00AC3820">
        <w:rPr>
          <w:rStyle w:val="CommentReference"/>
          <w:color w:val="000000" w:themeColor="text1"/>
          <w:sz w:val="24"/>
          <w:szCs w:val="28"/>
        </w:rPr>
        <w:commentReference w:id="13"/>
      </w:r>
      <w:commentRangeEnd w:id="14"/>
      <w:r w:rsidR="00E320E4" w:rsidRPr="00AC3820">
        <w:rPr>
          <w:rStyle w:val="CommentReference"/>
          <w:color w:val="000000" w:themeColor="text1"/>
          <w:sz w:val="24"/>
          <w:szCs w:val="28"/>
        </w:rPr>
        <w:commentReference w:id="14"/>
      </w:r>
      <w:commentRangeEnd w:id="15"/>
      <w:r w:rsidR="006B06AF" w:rsidRPr="00AC3820">
        <w:rPr>
          <w:rStyle w:val="CommentReference"/>
          <w:color w:val="000000" w:themeColor="text1"/>
          <w:sz w:val="24"/>
          <w:szCs w:val="28"/>
        </w:rPr>
        <w:commentReference w:id="15"/>
      </w:r>
      <w:r w:rsidR="00BB1B22" w:rsidRPr="00AC3820">
        <w:rPr>
          <w:color w:val="000000" w:themeColor="text1"/>
          <w:szCs w:val="28"/>
        </w:rPr>
        <w:t>,</w:t>
      </w:r>
      <w:r w:rsidR="006C0B44" w:rsidRPr="00AC3820">
        <w:rPr>
          <w:color w:val="000000" w:themeColor="text1"/>
          <w:szCs w:val="28"/>
        </w:rPr>
        <w:t xml:space="preserve"> comprise</w:t>
      </w:r>
      <w:r w:rsidR="00BB1B22" w:rsidRPr="00AC3820">
        <w:rPr>
          <w:color w:val="000000" w:themeColor="text1"/>
          <w:szCs w:val="28"/>
        </w:rPr>
        <w:t xml:space="preserve">d of </w:t>
      </w:r>
      <w:r w:rsidR="006C0B44" w:rsidRPr="00AC3820">
        <w:rPr>
          <w:color w:val="000000" w:themeColor="text1"/>
          <w:szCs w:val="28"/>
        </w:rPr>
        <w:t>10 to 200</w:t>
      </w:r>
      <w:r w:rsidRPr="00AC3820">
        <w:rPr>
          <w:color w:val="000000" w:themeColor="text1"/>
          <w:szCs w:val="28"/>
        </w:rPr>
        <w:t xml:space="preserve"> employees or an equivalent sector-consistent SME size band</w:t>
      </w:r>
      <w:r w:rsidR="006C0B44" w:rsidRPr="00AC3820">
        <w:rPr>
          <w:color w:val="000000" w:themeColor="text1"/>
          <w:szCs w:val="28"/>
        </w:rPr>
        <w:t xml:space="preserve"> (Ekinci, 2025)</w:t>
      </w:r>
      <w:r w:rsidRPr="00AC3820">
        <w:rPr>
          <w:color w:val="000000" w:themeColor="text1"/>
          <w:szCs w:val="28"/>
        </w:rPr>
        <w:t xml:space="preserve">. Eligible participants have responsibility for, or direct participation in, IT disaster recovery involving an external platform or managed recovery service (ITDRPaaS or functionally equivalent DRaaS/cloud recovery). Population characteristics therefore center on role authority, U.S. SME employment, and recent platform-mediated recovery exposure rather than executive-only or vendor-side perspectives. The study is not limited to a single organizational site; rather, participants will be drawn from multiple U.S. SME contexts in which IT systems are operationally critical. This population focus aligns the inquiry with managers who interpret stakeholder pressure while translating IT strategy into operational recovery authority during disruption, failover, testing, or production recovery events. The projected sample size for this study is between 12 to </w:t>
      </w:r>
      <w:commentRangeStart w:id="16"/>
      <w:commentRangeStart w:id="17"/>
      <w:commentRangeStart w:id="18"/>
      <w:r w:rsidRPr="00AC3820">
        <w:rPr>
          <w:color w:val="000000" w:themeColor="text1"/>
          <w:szCs w:val="28"/>
        </w:rPr>
        <w:t>1</w:t>
      </w:r>
      <w:r w:rsidR="004F4A7B" w:rsidRPr="00AC3820">
        <w:rPr>
          <w:color w:val="000000" w:themeColor="text1"/>
          <w:szCs w:val="28"/>
        </w:rPr>
        <w:t>5</w:t>
      </w:r>
      <w:r w:rsidRPr="00AC3820">
        <w:rPr>
          <w:color w:val="000000" w:themeColor="text1"/>
          <w:szCs w:val="28"/>
        </w:rPr>
        <w:t xml:space="preserve"> </w:t>
      </w:r>
      <w:commentRangeEnd w:id="16"/>
      <w:r w:rsidR="00D26D7D" w:rsidRPr="00AC3820">
        <w:rPr>
          <w:rStyle w:val="CommentReference"/>
          <w:color w:val="000000" w:themeColor="text1"/>
          <w:sz w:val="24"/>
          <w:szCs w:val="28"/>
        </w:rPr>
        <w:commentReference w:id="16"/>
      </w:r>
      <w:commentRangeEnd w:id="17"/>
      <w:r w:rsidR="0043707D" w:rsidRPr="00AC3820">
        <w:rPr>
          <w:rStyle w:val="CommentReference"/>
          <w:color w:val="000000" w:themeColor="text1"/>
          <w:sz w:val="24"/>
          <w:szCs w:val="28"/>
        </w:rPr>
        <w:commentReference w:id="17"/>
      </w:r>
      <w:commentRangeEnd w:id="18"/>
      <w:r w:rsidR="006B06AF" w:rsidRPr="00AC3820">
        <w:rPr>
          <w:rStyle w:val="CommentReference"/>
          <w:color w:val="000000" w:themeColor="text1"/>
          <w:sz w:val="24"/>
          <w:szCs w:val="28"/>
        </w:rPr>
        <w:commentReference w:id="18"/>
      </w:r>
      <w:r w:rsidRPr="00AC3820">
        <w:rPr>
          <w:color w:val="000000" w:themeColor="text1"/>
          <w:szCs w:val="28"/>
        </w:rPr>
        <w:t xml:space="preserve">interviews. This range is supported by the concept of information power, which is applicable to studies with a focused aim and a specific population, as articulated by </w:t>
      </w:r>
      <w:r w:rsidRPr="00F770BC">
        <w:rPr>
          <w:color w:val="000000" w:themeColor="text1"/>
          <w:szCs w:val="28"/>
          <w:highlight w:val="cyan"/>
        </w:rPr>
        <w:t>Malterud et al.</w:t>
      </w:r>
      <w:r w:rsidR="00F770BC">
        <w:rPr>
          <w:color w:val="000000" w:themeColor="text1"/>
          <w:szCs w:val="28"/>
          <w:highlight w:val="cyan"/>
        </w:rPr>
        <w:t>,</w:t>
      </w:r>
      <w:r w:rsidRPr="00F770BC">
        <w:rPr>
          <w:color w:val="000000" w:themeColor="text1"/>
          <w:szCs w:val="28"/>
          <w:highlight w:val="cyan"/>
        </w:rPr>
        <w:t xml:space="preserve"> (2016).</w:t>
      </w:r>
      <w:r w:rsidRPr="00AC3820">
        <w:rPr>
          <w:color w:val="000000" w:themeColor="text1"/>
          <w:szCs w:val="28"/>
        </w:rPr>
        <w:t xml:space="preserve"> Additionally, there is alignment with the principles of saturation as outlined in qualitative research literature, specifically regarding interview-based methodologies </w:t>
      </w:r>
      <w:r w:rsidRPr="00AC3820">
        <w:rPr>
          <w:color w:val="000000" w:themeColor="text1"/>
          <w:szCs w:val="28"/>
        </w:rPr>
        <w:lastRenderedPageBreak/>
        <w:t>(Guest et al., 2006). Recruitment will persist until thematic saturation is achieved or the predetermined upper limit is reached. The precise number of participants will be reported post the completion of data analysis.</w:t>
      </w:r>
    </w:p>
    <w:p w14:paraId="2CAF1E76" w14:textId="79BAD72E" w:rsidR="00F96425" w:rsidRPr="00AC3820" w:rsidRDefault="00F96425" w:rsidP="005C07EF">
      <w:pPr>
        <w:spacing w:line="480" w:lineRule="auto"/>
        <w:ind w:firstLine="720"/>
        <w:rPr>
          <w:color w:val="000000" w:themeColor="text1"/>
          <w:szCs w:val="28"/>
        </w:rPr>
      </w:pPr>
      <w:r w:rsidRPr="00AC3820">
        <w:rPr>
          <w:color w:val="000000" w:themeColor="text1"/>
          <w:szCs w:val="28"/>
        </w:rPr>
        <w:t>Criterion and purposive sampling methods will be employed to identify participants who fulfill specific inclusion criteria and possess relevant firsthand recovery experiences (</w:t>
      </w:r>
      <w:r w:rsidR="00720AE5" w:rsidRPr="00AC3820">
        <w:rPr>
          <w:color w:val="000000" w:themeColor="text1"/>
        </w:rPr>
        <w:t>Koerber &amp; McMichael, 2008</w:t>
      </w:r>
      <w:r w:rsidR="00E65F99" w:rsidRPr="00AC3820">
        <w:rPr>
          <w:color w:val="000000" w:themeColor="text1"/>
        </w:rPr>
        <w:t>)</w:t>
      </w:r>
      <w:r w:rsidR="00720AE5" w:rsidRPr="00AC3820">
        <w:rPr>
          <w:color w:val="000000" w:themeColor="text1"/>
        </w:rPr>
        <w:t xml:space="preserve"> </w:t>
      </w:r>
      <w:r w:rsidRPr="00AC3820">
        <w:rPr>
          <w:color w:val="000000" w:themeColor="text1"/>
          <w:szCs w:val="28"/>
        </w:rPr>
        <w:t xml:space="preserve"> Eligible participants must hold a role within the U.S. Small and Medium Enterprise (SME) information technology or networking sectors, or closely related fields, with responsibilities pertaining to disaster recovery decision-making or coordination. Additionally, participants must have direct experience within the past 36 months involving at least one disruptive event, failover, recovery test, or operational recovery that necessitated the use of an external disaster recovery or recovery platform. All participants must be 18 years of age or older, possess the capacity to engage in interviews conducted in English, and provide informed consent. Conversely, individuals will be excluded from participation if they are solely employed by vendors without a subject matter expert (SME) role, lack experience with external platform recovery, or are unable to articulate a specific recovery event in a manner that would facilitate meaningful participation in the study.</w:t>
      </w:r>
    </w:p>
    <w:p w14:paraId="5530529B" w14:textId="77777777" w:rsidR="00D9774E" w:rsidRPr="00AC3820" w:rsidRDefault="00D9774E" w:rsidP="00D9774E">
      <w:pPr>
        <w:pStyle w:val="Heading5"/>
        <w:rPr>
          <w:color w:val="000000" w:themeColor="text1"/>
        </w:rPr>
      </w:pPr>
      <w:commentRangeStart w:id="19"/>
      <w:r w:rsidRPr="00AC3820">
        <w:rPr>
          <w:color w:val="000000" w:themeColor="text1"/>
        </w:rPr>
        <w:t>Constructs, Phenomena, Variables</w:t>
      </w:r>
      <w:commentRangeEnd w:id="19"/>
      <w:r w:rsidR="00D26D7D" w:rsidRPr="00AC3820">
        <w:rPr>
          <w:rStyle w:val="CommentReference"/>
          <w:color w:val="000000" w:themeColor="text1"/>
          <w:sz w:val="24"/>
          <w:szCs w:val="26"/>
        </w:rPr>
        <w:commentReference w:id="19"/>
      </w:r>
    </w:p>
    <w:p w14:paraId="39DDF7EC" w14:textId="77777777" w:rsidR="00D9774E" w:rsidRPr="00AC3820" w:rsidRDefault="00D9774E" w:rsidP="00D9774E">
      <w:pPr>
        <w:pStyle w:val="Body"/>
        <w:rPr>
          <w:i/>
          <w:iCs/>
          <w:color w:val="000000" w:themeColor="text1"/>
        </w:rPr>
      </w:pPr>
      <w:r w:rsidRPr="00AC3820">
        <w:rPr>
          <w:i/>
          <w:iCs/>
          <w:color w:val="000000" w:themeColor="text1"/>
        </w:rPr>
        <w:t>Present evidence and explanation for the final choice of framework. Constructs, phenomena</w:t>
      </w:r>
      <w:r w:rsidR="00E43461" w:rsidRPr="00AC3820">
        <w:rPr>
          <w:i/>
          <w:iCs/>
          <w:color w:val="000000" w:themeColor="text1"/>
        </w:rPr>
        <w:t>,</w:t>
      </w:r>
      <w:r w:rsidRPr="00AC3820">
        <w:rPr>
          <w:i/>
          <w:iCs/>
          <w:color w:val="000000" w:themeColor="text1"/>
        </w:rPr>
        <w:t xml:space="preserve"> </w:t>
      </w:r>
      <w:r w:rsidR="00AC0630" w:rsidRPr="00AC3820">
        <w:rPr>
          <w:i/>
          <w:iCs/>
          <w:color w:val="000000" w:themeColor="text1"/>
        </w:rPr>
        <w:t>and/or variables must align to the topic, problem, gap, and project questions. Suggested length 2-3 paragraphs.</w:t>
      </w:r>
    </w:p>
    <w:p w14:paraId="137CFCFE" w14:textId="77777777" w:rsidR="00AC0630" w:rsidRPr="00AC3820" w:rsidRDefault="00AC0630" w:rsidP="00D9774E">
      <w:pPr>
        <w:pStyle w:val="Body"/>
        <w:rPr>
          <w:i/>
          <w:iCs/>
          <w:color w:val="000000" w:themeColor="text1"/>
        </w:rPr>
      </w:pPr>
    </w:p>
    <w:p w14:paraId="3D025119" w14:textId="61F6058B" w:rsidR="00F96425" w:rsidRPr="00AC3820" w:rsidRDefault="0043707D" w:rsidP="005C07EF">
      <w:pPr>
        <w:spacing w:line="480" w:lineRule="auto"/>
        <w:ind w:firstLine="720"/>
        <w:rPr>
          <w:color w:val="000000" w:themeColor="text1"/>
          <w:szCs w:val="28"/>
        </w:rPr>
      </w:pPr>
      <w:r w:rsidRPr="00AC3820">
        <w:rPr>
          <w:color w:val="000000" w:themeColor="text1"/>
        </w:rPr>
        <w:t xml:space="preserve">The central research process examined in this generic qualitative inquiry </w:t>
      </w:r>
      <w:r w:rsidR="00E320E4" w:rsidRPr="00AC3820">
        <w:rPr>
          <w:color w:val="000000" w:themeColor="text1"/>
        </w:rPr>
        <w:t>by which</w:t>
      </w:r>
      <w:r w:rsidRPr="00AC3820">
        <w:rPr>
          <w:color w:val="000000" w:themeColor="text1"/>
        </w:rPr>
        <w:t xml:space="preserve"> IT/network managers in U.S. SMEs interpret and operationalize ITDRPaaS governance during organizational disruptions, failover events, recovery testing, and production-recovery activities. </w:t>
      </w:r>
      <w:r w:rsidR="00F96425" w:rsidRPr="00AC3820">
        <w:rPr>
          <w:color w:val="000000" w:themeColor="text1"/>
        </w:rPr>
        <w:t>Specifically, this research focuses on the strategies employed by these managers to</w:t>
      </w:r>
      <w:r w:rsidR="00F96425" w:rsidRPr="00AC3820">
        <w:rPr>
          <w:color w:val="000000" w:themeColor="text1"/>
          <w:szCs w:val="28"/>
        </w:rPr>
        <w:t xml:space="preserve"> navigate stakeholder influence while translating IT strategy into operational recovery authority. The </w:t>
      </w:r>
      <w:r w:rsidR="00F96425" w:rsidRPr="00AC3820">
        <w:rPr>
          <w:color w:val="000000" w:themeColor="text1"/>
          <w:szCs w:val="28"/>
        </w:rPr>
        <w:lastRenderedPageBreak/>
        <w:t>guiding constructs of this inquiry are framed as sensitizing concepts rather than as quantifiable survey scales. These constructs include stakeholder salience, encompassing elements of power, legitimacy, and urgency (</w:t>
      </w:r>
      <w:r w:rsidR="00F96425" w:rsidRPr="008C1B5E">
        <w:rPr>
          <w:color w:val="000000" w:themeColor="text1"/>
          <w:szCs w:val="28"/>
          <w:highlight w:val="cyan"/>
        </w:rPr>
        <w:t>Mitchell et al., 1997</w:t>
      </w:r>
      <w:r w:rsidR="00F96425" w:rsidRPr="00AC3820">
        <w:rPr>
          <w:color w:val="000000" w:themeColor="text1"/>
          <w:szCs w:val="28"/>
        </w:rPr>
        <w:t>), as well as IT governance decision rights, accountability, and escalation pathways (Weill &amp; Ross, 2004). Additionally, the study examines the evidentiary standards and recoverability assurance criteria employed to evaluate the defensibility of recovery outcomes to stakeholders (Mojtahedi &amp; Oo, 2017; Weick, 198</w:t>
      </w:r>
      <w:r w:rsidR="00B96AE3">
        <w:rPr>
          <w:color w:val="000000" w:themeColor="text1"/>
          <w:szCs w:val="28"/>
        </w:rPr>
        <w:t>9</w:t>
      </w:r>
      <w:r w:rsidR="00F96425" w:rsidRPr="00AC3820">
        <w:rPr>
          <w:color w:val="000000" w:themeColor="text1"/>
          <w:szCs w:val="28"/>
        </w:rPr>
        <w:t xml:space="preserve">). This framework facilitates an exploration of critical questions concerning recovery prioritization, decision-making authority, and the criteria for establishing proof of recoverability. Therefore, the phenomenon under scrutiny is characterized as managerial sense-making at the governance interface of IT disaster recovery platform-as-a-service, rather than as an assessment of vendor product performance or compliance with established standards. As a seminal reference, </w:t>
      </w:r>
      <w:r w:rsidR="00F96425" w:rsidRPr="008C1B5E">
        <w:rPr>
          <w:color w:val="000000" w:themeColor="text1"/>
          <w:szCs w:val="28"/>
          <w:highlight w:val="cyan"/>
        </w:rPr>
        <w:t>Mitchell</w:t>
      </w:r>
      <w:r w:rsidR="00F96425" w:rsidRPr="00AC3820">
        <w:rPr>
          <w:color w:val="000000" w:themeColor="text1"/>
          <w:szCs w:val="28"/>
        </w:rPr>
        <w:t xml:space="preserve"> et al., (1997), holds the analytic codes utilized in this study reflect the constructs of (Power, Legitimacy, Urgency, Decision Rights, Escalation, Evidentiary Standards, Recoverability Assurance), ensuring that interview probes and coding processes remain consistently aligned.</w:t>
      </w:r>
    </w:p>
    <w:p w14:paraId="1CEE0819" w14:textId="77777777" w:rsidR="00F96425" w:rsidRPr="00AC3820" w:rsidRDefault="00F96425" w:rsidP="00F96425">
      <w:pPr>
        <w:rPr>
          <w:color w:val="000000" w:themeColor="text1"/>
          <w:szCs w:val="28"/>
        </w:rPr>
      </w:pPr>
    </w:p>
    <w:p w14:paraId="72B95CA7" w14:textId="1D8C6146" w:rsidR="00F96425" w:rsidRPr="00AC3820" w:rsidRDefault="00F96425" w:rsidP="005C07EF">
      <w:pPr>
        <w:spacing w:line="480" w:lineRule="auto"/>
        <w:ind w:firstLine="720"/>
        <w:rPr>
          <w:color w:val="000000" w:themeColor="text1"/>
          <w:szCs w:val="28"/>
        </w:rPr>
      </w:pPr>
      <w:r w:rsidRPr="00AC3820">
        <w:rPr>
          <w:color w:val="000000" w:themeColor="text1"/>
          <w:szCs w:val="28"/>
        </w:rPr>
        <w:t xml:space="preserve">This study refrains from operationalizing independent or dependent variables within a quantitative causal framework. Constructs are utilized as interpretive lenses in a QGI articulated by </w:t>
      </w:r>
      <w:r w:rsidRPr="00AD3765">
        <w:rPr>
          <w:color w:val="000000" w:themeColor="text1"/>
          <w:szCs w:val="28"/>
          <w:highlight w:val="cyan"/>
        </w:rPr>
        <w:t>Creswell and Poth (</w:t>
      </w:r>
      <w:r w:rsidR="00AD3765" w:rsidRPr="00AD3765">
        <w:rPr>
          <w:color w:val="000000" w:themeColor="text1"/>
          <w:szCs w:val="28"/>
          <w:highlight w:val="cyan"/>
        </w:rPr>
        <w:t>199</w:t>
      </w:r>
      <w:r w:rsidRPr="00AD3765">
        <w:rPr>
          <w:color w:val="000000" w:themeColor="text1"/>
          <w:szCs w:val="28"/>
          <w:highlight w:val="cyan"/>
        </w:rPr>
        <w:t>8</w:t>
      </w:r>
      <w:r w:rsidRPr="00AD3765">
        <w:rPr>
          <w:color w:val="000000" w:themeColor="text1"/>
          <w:szCs w:val="28"/>
          <w:highlight w:val="yellow"/>
        </w:rPr>
        <w:t>)</w:t>
      </w:r>
      <w:r w:rsidRPr="00AC3820">
        <w:rPr>
          <w:color w:val="000000" w:themeColor="text1"/>
          <w:szCs w:val="28"/>
        </w:rPr>
        <w:t xml:space="preserve"> and Merriam and Tisdell (2016). Frameworks such as ISO, </w:t>
      </w:r>
      <w:r w:rsidR="00AA13BF">
        <w:t xml:space="preserve">National Institute of Standards and Technology </w:t>
      </w:r>
      <w:r w:rsidR="00AA13BF">
        <w:rPr>
          <w:color w:val="000000" w:themeColor="text1"/>
          <w:szCs w:val="28"/>
        </w:rPr>
        <w:t>(</w:t>
      </w:r>
      <w:r w:rsidRPr="00AA13BF">
        <w:rPr>
          <w:color w:val="000000" w:themeColor="text1"/>
          <w:szCs w:val="28"/>
          <w:highlight w:val="green"/>
        </w:rPr>
        <w:t>NIST</w:t>
      </w:r>
      <w:r w:rsidR="00AA13BF">
        <w:rPr>
          <w:color w:val="000000" w:themeColor="text1"/>
          <w:szCs w:val="28"/>
        </w:rPr>
        <w:t>)</w:t>
      </w:r>
      <w:r w:rsidRPr="00AC3820">
        <w:rPr>
          <w:color w:val="000000" w:themeColor="text1"/>
          <w:szCs w:val="28"/>
        </w:rPr>
        <w:t xml:space="preserve">, and BCM, if referenced by participants, are regarded as contextual artifacts, versus independent variables, treatment conditions, or researcher-administered checklists. The study does not propose any experimental manipulation, Likert-based salience inventory, or hypothesized path model. Instead, semi-structured critical-incident accounts will be employed to explore how managers encounter the identified constructs in situ, thereby facilitating descriptive thematic insights rather than population-level causal </w:t>
      </w:r>
      <w:r w:rsidRPr="00AC3820">
        <w:rPr>
          <w:color w:val="000000" w:themeColor="text1"/>
          <w:szCs w:val="28"/>
        </w:rPr>
        <w:lastRenderedPageBreak/>
        <w:t>inferences. Collectively, this construct, phenomenon, variable approach safeguards research remains aligned with a qualitative design while maintaining the theoretical framework theoretical framework is anchored in stakeholder-salience theory, continuously shows how managers prioritize stakeholder claims through the attributes of power, legitimacy, and urgency (</w:t>
      </w:r>
      <w:r w:rsidRPr="008C1B5E">
        <w:rPr>
          <w:color w:val="000000" w:themeColor="text1"/>
          <w:szCs w:val="28"/>
          <w:highlight w:val="cyan"/>
        </w:rPr>
        <w:t>Mitchell et al., 1997</w:t>
      </w:r>
      <w:r w:rsidRPr="00AC3820">
        <w:rPr>
          <w:color w:val="000000" w:themeColor="text1"/>
          <w:szCs w:val="28"/>
        </w:rPr>
        <w:t>).</w:t>
      </w:r>
    </w:p>
    <w:p w14:paraId="4C246E00" w14:textId="77777777" w:rsidR="00AC0630" w:rsidRPr="00AC3820" w:rsidRDefault="00AC0630" w:rsidP="00AC0630">
      <w:pPr>
        <w:pStyle w:val="Heading2"/>
        <w:rPr>
          <w:color w:val="000000" w:themeColor="text1"/>
        </w:rPr>
      </w:pPr>
      <w:r w:rsidRPr="00AC3820">
        <w:rPr>
          <w:color w:val="000000" w:themeColor="text1"/>
        </w:rPr>
        <w:t>Proposed Data Sources</w:t>
      </w:r>
    </w:p>
    <w:p w14:paraId="24622692" w14:textId="48B15811" w:rsidR="00230539" w:rsidRPr="00AC3820" w:rsidRDefault="00AC0630" w:rsidP="00891FB6">
      <w:pPr>
        <w:pStyle w:val="Body"/>
        <w:shd w:val="clear" w:color="auto" w:fill="E7E6E6"/>
        <w:rPr>
          <w:i/>
          <w:iCs/>
          <w:color w:val="000000" w:themeColor="text1"/>
        </w:rPr>
      </w:pPr>
      <w:r w:rsidRPr="00AC3820">
        <w:rPr>
          <w:i/>
          <w:iCs/>
          <w:color w:val="000000" w:themeColor="text1"/>
        </w:rPr>
        <w:t xml:space="preserve">Instrumentation and data collection tools address </w:t>
      </w:r>
      <w:r w:rsidR="00F02D49" w:rsidRPr="00AC3820">
        <w:rPr>
          <w:i/>
          <w:iCs/>
          <w:color w:val="000000" w:themeColor="text1"/>
        </w:rPr>
        <w:t xml:space="preserve">project </w:t>
      </w:r>
      <w:r w:rsidRPr="00AC3820">
        <w:rPr>
          <w:i/>
          <w:iCs/>
          <w:color w:val="000000" w:themeColor="text1"/>
        </w:rPr>
        <w:t>concepts; ethical threats and their mitigation are detailed.</w:t>
      </w:r>
    </w:p>
    <w:p w14:paraId="16C17E13" w14:textId="77777777" w:rsidR="00AC0630" w:rsidRPr="00AC3820" w:rsidRDefault="00AC0630" w:rsidP="00230539">
      <w:pPr>
        <w:rPr>
          <w:color w:val="000000" w:themeColor="text1"/>
        </w:rPr>
      </w:pPr>
    </w:p>
    <w:p w14:paraId="180E54C7" w14:textId="77777777" w:rsidR="00AC0630" w:rsidRPr="00AC3820" w:rsidRDefault="00AC0630" w:rsidP="00AC0630">
      <w:pPr>
        <w:pStyle w:val="Heading5"/>
        <w:rPr>
          <w:color w:val="000000" w:themeColor="text1"/>
        </w:rPr>
      </w:pPr>
      <w:commentRangeStart w:id="20"/>
      <w:r w:rsidRPr="00AC3820">
        <w:rPr>
          <w:color w:val="000000" w:themeColor="text1"/>
        </w:rPr>
        <w:t>Measures or Artifacts to be Reviewed</w:t>
      </w:r>
      <w:commentRangeEnd w:id="20"/>
      <w:r w:rsidR="00995D09" w:rsidRPr="00AC3820">
        <w:rPr>
          <w:rStyle w:val="CommentReference"/>
          <w:color w:val="000000" w:themeColor="text1"/>
          <w:sz w:val="24"/>
          <w:szCs w:val="26"/>
        </w:rPr>
        <w:commentReference w:id="20"/>
      </w:r>
    </w:p>
    <w:p w14:paraId="7D32220B" w14:textId="77777777" w:rsidR="006C70C5" w:rsidRPr="00AC3820" w:rsidRDefault="00AC0630" w:rsidP="006C70C5">
      <w:pPr>
        <w:pStyle w:val="Body"/>
        <w:rPr>
          <w:i/>
          <w:iCs/>
          <w:color w:val="000000" w:themeColor="text1"/>
        </w:rPr>
      </w:pPr>
      <w:r w:rsidRPr="00AC3820">
        <w:rPr>
          <w:i/>
          <w:iCs/>
          <w:color w:val="000000" w:themeColor="text1"/>
        </w:rPr>
        <w:t>Present a description of instrumentation or data collection tools. Measures or artifacts must closely align with the methodological approach. Suggested length 3-4 paragraphs.</w:t>
      </w:r>
    </w:p>
    <w:p w14:paraId="079F1525" w14:textId="4574AB4F" w:rsidR="00E5476D" w:rsidRPr="00AC3820" w:rsidRDefault="0078284A" w:rsidP="006C70C5">
      <w:pPr>
        <w:pStyle w:val="Body"/>
        <w:spacing w:line="480" w:lineRule="auto"/>
        <w:rPr>
          <w:rStyle w:val="ng-star-inserted"/>
          <w:i/>
          <w:iCs/>
          <w:color w:val="000000" w:themeColor="text1"/>
        </w:rPr>
      </w:pPr>
      <w:r w:rsidRPr="00AC3820">
        <w:rPr>
          <w:color w:val="000000" w:themeColor="text1"/>
        </w:rPr>
        <w:br/>
      </w:r>
      <w:r w:rsidR="00E5476D" w:rsidRPr="00AC3820">
        <w:rPr>
          <w:rStyle w:val="ng-star-inserted"/>
          <w:color w:val="000000" w:themeColor="text1"/>
        </w:rPr>
        <w:t xml:space="preserve">        </w:t>
      </w:r>
      <w:r w:rsidR="00E5476D" w:rsidRPr="00AC3820">
        <w:rPr>
          <w:rStyle w:val="ng-star-inserted"/>
          <w:rFonts w:cs="Times New Roman"/>
          <w:color w:val="000000" w:themeColor="text1"/>
          <w:sz w:val="24"/>
          <w:szCs w:val="24"/>
        </w:rPr>
        <w:t>The primary data collection instrument for this generic qualitative inquiry (GQI) is a semi-structured interview protocol designed to explore how U.S. small and medium enterprise (SME) IT and network managers perceive and operationalize disaster recovery governance challenges during organizational disruptions. Utilizing critical incident accounts (Caelli et al., 2003), the protocol begins by anchoring discussions in participants' concrete experiences with IT disaster recovery platforms, prompting open-ended dialogue that captures the nuanced, context-specific decision-making processes inherent in these scenarios (</w:t>
      </w:r>
      <w:r w:rsidR="00E5476D" w:rsidRPr="00AD3765">
        <w:rPr>
          <w:rStyle w:val="ng-star-inserted"/>
          <w:rFonts w:cs="Times New Roman"/>
          <w:color w:val="000000" w:themeColor="text1"/>
          <w:sz w:val="24"/>
          <w:szCs w:val="24"/>
          <w:highlight w:val="cyan"/>
        </w:rPr>
        <w:t xml:space="preserve">Creswell &amp; Poth, </w:t>
      </w:r>
      <w:r w:rsidR="00AD3765" w:rsidRPr="00AD3765">
        <w:rPr>
          <w:rStyle w:val="ng-star-inserted"/>
          <w:rFonts w:cs="Times New Roman"/>
          <w:color w:val="000000" w:themeColor="text1"/>
          <w:sz w:val="24"/>
          <w:szCs w:val="24"/>
          <w:highlight w:val="cyan"/>
        </w:rPr>
        <w:t>1998</w:t>
      </w:r>
      <w:r w:rsidR="00E5476D" w:rsidRPr="00AC3820">
        <w:rPr>
          <w:rStyle w:val="ng-star-inserted"/>
          <w:rFonts w:cs="Times New Roman"/>
          <w:color w:val="000000" w:themeColor="text1"/>
          <w:sz w:val="24"/>
          <w:szCs w:val="24"/>
        </w:rPr>
        <w:t xml:space="preserve">). The interview guide is strategically aligned with stakeholder-salience theory and decision-rights governance, focusing on the dynamics of power, legitimacy, and urgency that influence managerial decisions during critical incidents (Liu et al., 2020; Lowry et al., 2025). </w:t>
      </w:r>
    </w:p>
    <w:p w14:paraId="174C26D3" w14:textId="26B2FBE0" w:rsidR="00E5476D" w:rsidRPr="00AC3820" w:rsidRDefault="00E5476D" w:rsidP="006C70C5">
      <w:pPr>
        <w:tabs>
          <w:tab w:val="left" w:pos="180"/>
        </w:tabs>
        <w:spacing w:line="480" w:lineRule="auto"/>
        <w:ind w:left="90" w:hanging="90"/>
        <w:rPr>
          <w:color w:val="000000" w:themeColor="text1"/>
        </w:rPr>
      </w:pPr>
      <w:r w:rsidRPr="00AC3820">
        <w:rPr>
          <w:rStyle w:val="ng-star-inserted"/>
          <w:color w:val="000000" w:themeColor="text1"/>
        </w:rPr>
        <w:tab/>
      </w:r>
      <w:r w:rsidRPr="00AC3820">
        <w:rPr>
          <w:rStyle w:val="ng-star-inserted"/>
          <w:color w:val="000000" w:themeColor="text1"/>
        </w:rPr>
        <w:tab/>
      </w:r>
      <w:r w:rsidRPr="00AC3820">
        <w:rPr>
          <w:rStyle w:val="ng-star-inserted"/>
          <w:color w:val="000000" w:themeColor="text1"/>
        </w:rPr>
        <w:tab/>
        <w:t xml:space="preserve">In this framework, the semi-structured design not only fosters rich, descriptive thematic insights into operational processes but also allows for an exploration of the shifting authority and strategic trade-offs that emerge under pressure (Guest et al., 2006; Kahlke, 2014). By </w:t>
      </w:r>
      <w:r w:rsidRPr="00AC3820">
        <w:rPr>
          <w:rStyle w:val="ng-star-inserted"/>
          <w:color w:val="000000" w:themeColor="text1"/>
        </w:rPr>
        <w:lastRenderedPageBreak/>
        <w:t xml:space="preserve">capturing the complex interplay between stakeholder claims and decision-making authority, the instrument offers a robust interpretive lens for understanding governance challenges in IT disaster recovery (Koerber &amp; McMichael, 2008; </w:t>
      </w:r>
      <w:r w:rsidRPr="001B1529">
        <w:rPr>
          <w:rStyle w:val="ng-star-inserted"/>
          <w:color w:val="000000" w:themeColor="text1"/>
          <w:highlight w:val="yellow"/>
        </w:rPr>
        <w:t>Lincoln &amp; Guba, 1985</w:t>
      </w:r>
      <w:r w:rsidRPr="00AC3820">
        <w:rPr>
          <w:rStyle w:val="ng-star-inserted"/>
          <w:color w:val="000000" w:themeColor="text1"/>
        </w:rPr>
        <w:t>). Ultimately, this methodological approach emphasizes the socially constructed realities of organizational contexts, revealing how managers navigate the intricate dynamics of disaster recovery governance (Caelli et al., 2003).</w:t>
      </w:r>
      <w:commentRangeStart w:id="21"/>
      <w:r w:rsidR="0078284A" w:rsidRPr="00AC3820">
        <w:rPr>
          <w:rStyle w:val="ng-star-inserted"/>
          <w:color w:val="000000" w:themeColor="text1"/>
        </w:rPr>
        <w:t>B</w:t>
      </w:r>
      <w:commentRangeEnd w:id="21"/>
      <w:r w:rsidR="00995D09" w:rsidRPr="00AC3820">
        <w:rPr>
          <w:rStyle w:val="CommentReference"/>
          <w:color w:val="000000" w:themeColor="text1"/>
          <w:sz w:val="24"/>
          <w:szCs w:val="24"/>
        </w:rPr>
        <w:commentReference w:id="21"/>
      </w:r>
      <w:r w:rsidR="0078284A" w:rsidRPr="00AC3820">
        <w:rPr>
          <w:rStyle w:val="ng-star-inserted"/>
          <w:color w:val="000000" w:themeColor="text1"/>
        </w:rPr>
        <w:t xml:space="preserve">eyond the verbal narrative of the interview protocol, </w:t>
      </w:r>
      <w:commentRangeStart w:id="22"/>
      <w:r w:rsidR="0078284A" w:rsidRPr="00AC3820">
        <w:rPr>
          <w:rStyle w:val="ng-star-inserted"/>
          <w:color w:val="000000" w:themeColor="text1"/>
        </w:rPr>
        <w:t xml:space="preserve">the data collection </w:t>
      </w:r>
      <w:r w:rsidR="00DD2554" w:rsidRPr="00AC3820">
        <w:rPr>
          <w:rStyle w:val="ng-star-inserted"/>
          <w:color w:val="000000" w:themeColor="text1"/>
        </w:rPr>
        <w:t>pulls together</w:t>
      </w:r>
      <w:r w:rsidR="0078284A" w:rsidRPr="00AC3820">
        <w:rPr>
          <w:rStyle w:val="ng-star-inserted"/>
          <w:color w:val="000000" w:themeColor="text1"/>
        </w:rPr>
        <w:t xml:space="preserve"> the review of </w:t>
      </w:r>
      <w:r w:rsidR="0078284A" w:rsidRPr="00AC3820">
        <w:rPr>
          <w:color w:val="000000" w:themeColor="text1"/>
        </w:rPr>
        <w:t>contextual organizational artifacts</w:t>
      </w:r>
      <w:r w:rsidR="0078284A" w:rsidRPr="00AC3820">
        <w:rPr>
          <w:rStyle w:val="ng-star-inserted"/>
          <w:color w:val="000000" w:themeColor="text1"/>
        </w:rPr>
        <w:t xml:space="preserve"> referenced by the managers during their critical-incident accounts</w:t>
      </w:r>
      <w:r w:rsidR="00734905" w:rsidRPr="00AC3820">
        <w:rPr>
          <w:rStyle w:val="ng-star-inserted"/>
          <w:color w:val="000000" w:themeColor="text1"/>
        </w:rPr>
        <w:t xml:space="preserve"> (</w:t>
      </w:r>
      <w:r w:rsidR="00FA7944" w:rsidRPr="00AC3820">
        <w:rPr>
          <w:rStyle w:val="ng-star-inserted"/>
          <w:color w:val="000000" w:themeColor="text1"/>
        </w:rPr>
        <w:t>Mitchell et al., 1997</w:t>
      </w:r>
      <w:r w:rsidR="00734905" w:rsidRPr="00AC3820">
        <w:rPr>
          <w:rStyle w:val="ng-star-inserted"/>
          <w:color w:val="000000" w:themeColor="text1"/>
        </w:rPr>
        <w:t>)</w:t>
      </w:r>
      <w:r w:rsidR="0078284A" w:rsidRPr="00AC3820">
        <w:rPr>
          <w:rStyle w:val="ng-star-inserted"/>
          <w:color w:val="000000" w:themeColor="text1"/>
        </w:rPr>
        <w:t>. These artifacts</w:t>
      </w:r>
      <w:r w:rsidR="00F770BC">
        <w:rPr>
          <w:rStyle w:val="ng-star-inserted"/>
          <w:color w:val="000000" w:themeColor="text1"/>
        </w:rPr>
        <w:t xml:space="preserve"> </w:t>
      </w:r>
      <w:r w:rsidR="0078284A" w:rsidRPr="00AC3820">
        <w:rPr>
          <w:rStyle w:val="ng-star-inserted"/>
          <w:color w:val="000000" w:themeColor="text1"/>
        </w:rPr>
        <w:t xml:space="preserve">may include internal documented disaster recovery plans, escalation matrices, evidence of recovery testing routines, or external frameworks such </w:t>
      </w:r>
      <w:r w:rsidR="00734905" w:rsidRPr="00AC3820">
        <w:rPr>
          <w:rStyle w:val="ng-star-inserted"/>
          <w:color w:val="000000" w:themeColor="text1"/>
        </w:rPr>
        <w:t>other auditing parameters</w:t>
      </w:r>
      <w:r w:rsidR="00175626" w:rsidRPr="00AC3820">
        <w:rPr>
          <w:rStyle w:val="ng-star-inserted"/>
          <w:color w:val="000000" w:themeColor="text1"/>
        </w:rPr>
        <w:t xml:space="preserve"> BCM and </w:t>
      </w:r>
      <w:r w:rsidR="00734905" w:rsidRPr="00AC3820">
        <w:rPr>
          <w:rStyle w:val="ng-star-inserted"/>
          <w:color w:val="000000" w:themeColor="text1"/>
        </w:rPr>
        <w:t>N</w:t>
      </w:r>
      <w:r w:rsidR="00734905" w:rsidRPr="00AA13BF">
        <w:rPr>
          <w:rStyle w:val="ng-star-inserted"/>
          <w:color w:val="000000" w:themeColor="text1"/>
          <w:highlight w:val="cyan"/>
        </w:rPr>
        <w:t>IST</w:t>
      </w:r>
      <w:r w:rsidR="004664CF" w:rsidRPr="00AC3820">
        <w:rPr>
          <w:rStyle w:val="ng-star-inserted"/>
          <w:color w:val="000000" w:themeColor="text1"/>
        </w:rPr>
        <w:t xml:space="preserve"> </w:t>
      </w:r>
      <w:r w:rsidR="00734905" w:rsidRPr="00AC3820">
        <w:rPr>
          <w:rStyle w:val="ng-star-inserted"/>
          <w:color w:val="000000" w:themeColor="text1"/>
        </w:rPr>
        <w:t>(2024).</w:t>
      </w:r>
      <w:r w:rsidR="00175626" w:rsidRPr="00AC3820">
        <w:rPr>
          <w:rStyle w:val="ng-star-inserted"/>
          <w:color w:val="000000" w:themeColor="text1"/>
        </w:rPr>
        <w:t xml:space="preserve"> </w:t>
      </w:r>
      <w:r w:rsidR="0078284A" w:rsidRPr="00AC3820">
        <w:rPr>
          <w:rStyle w:val="ng-star-inserted"/>
          <w:color w:val="000000" w:themeColor="text1"/>
        </w:rPr>
        <w:t xml:space="preserve">Instead, in close alignment with GQI, </w:t>
      </w:r>
      <w:r w:rsidR="00175626" w:rsidRPr="00AC3820">
        <w:rPr>
          <w:rStyle w:val="ng-star-inserted"/>
          <w:color w:val="000000" w:themeColor="text1"/>
        </w:rPr>
        <w:t xml:space="preserve">specifically </w:t>
      </w:r>
      <w:r w:rsidR="0078284A" w:rsidRPr="00AC3820">
        <w:rPr>
          <w:rStyle w:val="ng-star-inserted"/>
          <w:color w:val="000000" w:themeColor="text1"/>
        </w:rPr>
        <w:t xml:space="preserve"> examined as situated contextual objects that illustrate how nominal strategic IT strategy intent (comprising risk tolerance, critical-service priorities, and acceptable downtime) is translated into operational action, negotiated, or bypassed under pressure</w:t>
      </w:r>
      <w:r w:rsidR="004664CF" w:rsidRPr="00AC3820">
        <w:rPr>
          <w:rStyle w:val="ng-star-inserted"/>
          <w:color w:val="000000" w:themeColor="text1"/>
        </w:rPr>
        <w:t xml:space="preserve"> (</w:t>
      </w:r>
      <w:r w:rsidR="00FA7944" w:rsidRPr="00AD3765">
        <w:rPr>
          <w:color w:val="000000" w:themeColor="text1"/>
          <w:highlight w:val="cyan"/>
        </w:rPr>
        <w:t xml:space="preserve">Creswell &amp; Poth, </w:t>
      </w:r>
      <w:r w:rsidR="00AD3765" w:rsidRPr="00AD3765">
        <w:rPr>
          <w:color w:val="000000" w:themeColor="text1"/>
          <w:highlight w:val="cyan"/>
        </w:rPr>
        <w:t>1998</w:t>
      </w:r>
      <w:r w:rsidR="00FA7944" w:rsidRPr="00AC3820">
        <w:rPr>
          <w:color w:val="000000" w:themeColor="text1"/>
        </w:rPr>
        <w:t>;</w:t>
      </w:r>
      <w:r w:rsidR="004664CF" w:rsidRPr="00AC3820">
        <w:rPr>
          <w:color w:val="000000" w:themeColor="text1"/>
        </w:rPr>
        <w:t xml:space="preserve"> </w:t>
      </w:r>
      <w:r w:rsidR="00FA7944" w:rsidRPr="00AC3820">
        <w:rPr>
          <w:rStyle w:val="ng-star-inserted"/>
          <w:color w:val="000000" w:themeColor="text1"/>
        </w:rPr>
        <w:t>Koerber &amp; McMichael</w:t>
      </w:r>
      <w:commentRangeEnd w:id="22"/>
      <w:r w:rsidR="00857AF4" w:rsidRPr="00AC3820">
        <w:rPr>
          <w:rStyle w:val="CommentReference"/>
          <w:color w:val="000000" w:themeColor="text1"/>
          <w:sz w:val="24"/>
          <w:szCs w:val="24"/>
        </w:rPr>
        <w:commentReference w:id="22"/>
      </w:r>
      <w:r w:rsidR="00FA7944" w:rsidRPr="00AC3820">
        <w:rPr>
          <w:rStyle w:val="ng-star-inserted"/>
          <w:color w:val="000000" w:themeColor="text1"/>
        </w:rPr>
        <w:t>, 2008).</w:t>
      </w:r>
      <w:r w:rsidR="0078284A" w:rsidRPr="00AC3820">
        <w:rPr>
          <w:rStyle w:val="ng-star-inserted"/>
          <w:color w:val="000000" w:themeColor="text1"/>
        </w:rPr>
        <w:t xml:space="preserve"> </w:t>
      </w:r>
      <w:r w:rsidR="00536967" w:rsidRPr="00AC3820">
        <w:rPr>
          <w:rStyle w:val="ng-star-inserted"/>
          <w:color w:val="000000" w:themeColor="text1"/>
        </w:rPr>
        <w:t>P</w:t>
      </w:r>
      <w:r w:rsidR="0078284A" w:rsidRPr="00AC3820">
        <w:rPr>
          <w:rStyle w:val="ng-star-inserted"/>
          <w:color w:val="000000" w:themeColor="text1"/>
        </w:rPr>
        <w:t>rovid</w:t>
      </w:r>
      <w:r w:rsidR="00536967" w:rsidRPr="00AC3820">
        <w:rPr>
          <w:rStyle w:val="ng-star-inserted"/>
          <w:color w:val="000000" w:themeColor="text1"/>
        </w:rPr>
        <w:t>ing</w:t>
      </w:r>
      <w:r w:rsidR="0078284A" w:rsidRPr="00AC3820">
        <w:rPr>
          <w:rStyle w:val="ng-star-inserted"/>
          <w:color w:val="000000" w:themeColor="text1"/>
        </w:rPr>
        <w:t xml:space="preserve"> a holistic, practice-oriented comparison between formal strategic continuity intents and the actual ad hoc decisions executed by IT managers during real disruptions</w:t>
      </w:r>
      <w:r w:rsidR="00175626" w:rsidRPr="00AC3820">
        <w:rPr>
          <w:rStyle w:val="ng-star-inserted"/>
          <w:color w:val="000000" w:themeColor="text1"/>
        </w:rPr>
        <w:t xml:space="preserve"> (</w:t>
      </w:r>
      <w:r w:rsidR="00FA7944" w:rsidRPr="00AD3765">
        <w:rPr>
          <w:rStyle w:val="ng-star-inserted"/>
          <w:color w:val="000000" w:themeColor="text1"/>
          <w:highlight w:val="cyan"/>
        </w:rPr>
        <w:t xml:space="preserve">Creswell &amp; Poth, </w:t>
      </w:r>
      <w:r w:rsidR="00AD3765" w:rsidRPr="00AD3765">
        <w:rPr>
          <w:rStyle w:val="ng-star-inserted"/>
          <w:color w:val="000000" w:themeColor="text1"/>
          <w:highlight w:val="cyan"/>
        </w:rPr>
        <w:t>1998</w:t>
      </w:r>
      <w:r w:rsidR="00FA7944" w:rsidRPr="00AD3765">
        <w:rPr>
          <w:rStyle w:val="ng-star-inserted"/>
          <w:color w:val="000000" w:themeColor="text1"/>
          <w:highlight w:val="cyan"/>
        </w:rPr>
        <w:t>;</w:t>
      </w:r>
      <w:r w:rsidR="00FA7944" w:rsidRPr="00AC3820">
        <w:rPr>
          <w:color w:val="000000" w:themeColor="text1"/>
        </w:rPr>
        <w:t xml:space="preserve"> </w:t>
      </w:r>
      <w:r w:rsidR="00FA7944" w:rsidRPr="00AA13BF">
        <w:rPr>
          <w:rStyle w:val="ng-star-inserted"/>
          <w:color w:val="000000" w:themeColor="text1"/>
          <w:highlight w:val="cyan"/>
        </w:rPr>
        <w:t>NIST</w:t>
      </w:r>
      <w:r w:rsidR="00FA7944" w:rsidRPr="00AC3820">
        <w:rPr>
          <w:rStyle w:val="ng-star-inserted"/>
          <w:color w:val="000000" w:themeColor="text1"/>
        </w:rPr>
        <w:t>, 2024</w:t>
      </w:r>
      <w:r w:rsidR="00175626" w:rsidRPr="00AC3820">
        <w:rPr>
          <w:rStyle w:val="ng-star-inserted"/>
          <w:color w:val="000000" w:themeColor="text1"/>
        </w:rPr>
        <w:t>)</w:t>
      </w:r>
      <w:r w:rsidR="0078284A" w:rsidRPr="00AC3820">
        <w:rPr>
          <w:rStyle w:val="ng-star-inserted"/>
          <w:color w:val="000000" w:themeColor="text1"/>
        </w:rPr>
        <w:t>.</w:t>
      </w:r>
    </w:p>
    <w:p w14:paraId="5035A911" w14:textId="1150CAD3" w:rsidR="0078284A" w:rsidRPr="00AC3820" w:rsidRDefault="0078284A" w:rsidP="006C70C5">
      <w:pPr>
        <w:spacing w:line="480" w:lineRule="auto"/>
        <w:ind w:left="90" w:firstLine="630"/>
        <w:rPr>
          <w:color w:val="000000" w:themeColor="text1"/>
        </w:rPr>
      </w:pPr>
      <w:r w:rsidRPr="00AC3820">
        <w:rPr>
          <w:rStyle w:val="ng-star-inserted"/>
          <w:color w:val="000000" w:themeColor="text1"/>
        </w:rPr>
        <w:t xml:space="preserve">Finally, the data collection instruments are specifically structured to investigate the </w:t>
      </w:r>
      <w:r w:rsidRPr="00AC3820">
        <w:rPr>
          <w:color w:val="000000" w:themeColor="text1"/>
        </w:rPr>
        <w:t>evidentiary standards</w:t>
      </w:r>
      <w:r w:rsidRPr="00AC3820">
        <w:rPr>
          <w:rStyle w:val="ng-star-inserted"/>
          <w:color w:val="000000" w:themeColor="text1"/>
        </w:rPr>
        <w:t xml:space="preserve"> and </w:t>
      </w:r>
      <w:r w:rsidRPr="00AC3820">
        <w:rPr>
          <w:color w:val="000000" w:themeColor="text1"/>
        </w:rPr>
        <w:t>recoverability assurance criteria</w:t>
      </w:r>
      <w:r w:rsidRPr="00AC3820">
        <w:rPr>
          <w:rStyle w:val="ng-star-inserted"/>
          <w:color w:val="000000" w:themeColor="text1"/>
        </w:rPr>
        <w:t xml:space="preserve"> that managers must meet to justify and defend recovery outcomes to diverse stakeholders</w:t>
      </w:r>
      <w:r w:rsidR="004664CF" w:rsidRPr="00AC3820">
        <w:rPr>
          <w:rStyle w:val="ng-star-inserted"/>
          <w:color w:val="000000" w:themeColor="text1"/>
        </w:rPr>
        <w:t xml:space="preserve"> </w:t>
      </w:r>
      <w:r w:rsidR="00175626" w:rsidRPr="00AC3820">
        <w:rPr>
          <w:rStyle w:val="ng-star-inserted"/>
          <w:color w:val="000000" w:themeColor="text1"/>
        </w:rPr>
        <w:t>(Lowry et al., 2025)</w:t>
      </w:r>
      <w:r w:rsidRPr="00AC3820">
        <w:rPr>
          <w:rStyle w:val="ng-star-inserted"/>
          <w:color w:val="000000" w:themeColor="text1"/>
        </w:rPr>
        <w:t xml:space="preserve">. </w:t>
      </w:r>
      <w:commentRangeStart w:id="23"/>
      <w:r w:rsidRPr="00AC3820">
        <w:rPr>
          <w:rStyle w:val="ng-star-inserted"/>
          <w:color w:val="000000" w:themeColor="text1"/>
        </w:rPr>
        <w:t xml:space="preserve">Recoverability assurance is operationalized as the set of decision-relevant, reviewable evidence artifacts (e.g., documented restoration outcomes, integrity checks, and recorded authorization actions) supporting the claim that prioritized services can be restored within tolerance during and after </w:t>
      </w:r>
      <w:r w:rsidRPr="00AC3820">
        <w:rPr>
          <w:rStyle w:val="ng-star-inserted"/>
          <w:color w:val="000000" w:themeColor="text1"/>
        </w:rPr>
        <w:lastRenderedPageBreak/>
        <w:t>incidents</w:t>
      </w:r>
      <w:r w:rsidR="00FA7944" w:rsidRPr="00AC3820">
        <w:rPr>
          <w:rStyle w:val="ng-star-inserted"/>
          <w:color w:val="000000" w:themeColor="text1"/>
        </w:rPr>
        <w:t xml:space="preserve"> </w:t>
      </w:r>
      <w:r w:rsidR="00175626" w:rsidRPr="00AC3820">
        <w:rPr>
          <w:rStyle w:val="ng-star-inserted"/>
          <w:color w:val="000000" w:themeColor="text1"/>
        </w:rPr>
        <w:t>(</w:t>
      </w:r>
      <w:r w:rsidR="00FA7944" w:rsidRPr="00AC3820">
        <w:rPr>
          <w:rStyle w:val="ng-star-inserted"/>
          <w:color w:val="000000" w:themeColor="text1"/>
        </w:rPr>
        <w:t>Park et al., 2023</w:t>
      </w:r>
      <w:r w:rsidR="00175626" w:rsidRPr="00AC3820">
        <w:rPr>
          <w:rStyle w:val="ng-star-inserted"/>
          <w:color w:val="000000" w:themeColor="text1"/>
        </w:rPr>
        <w:t>)</w:t>
      </w:r>
      <w:commentRangeEnd w:id="23"/>
      <w:r w:rsidR="00857AF4" w:rsidRPr="00AC3820">
        <w:rPr>
          <w:rStyle w:val="CommentReference"/>
          <w:color w:val="000000" w:themeColor="text1"/>
          <w:sz w:val="24"/>
          <w:szCs w:val="24"/>
        </w:rPr>
        <w:commentReference w:id="23"/>
      </w:r>
      <w:r w:rsidRPr="00AC3820">
        <w:rPr>
          <w:rStyle w:val="ng-star-inserted"/>
          <w:color w:val="000000" w:themeColor="text1"/>
        </w:rPr>
        <w:t>. The interview protocol includes specific questions targeting how IT managers establish "sufficient" proof of recoverability and navigate situations where thresholds for recovery proof are renegotiated mid-incident by stakeholders</w:t>
      </w:r>
      <w:r w:rsidR="006C70C5" w:rsidRPr="00AC3820">
        <w:rPr>
          <w:rStyle w:val="ng-star-inserted"/>
          <w:color w:val="000000" w:themeColor="text1"/>
        </w:rPr>
        <w:t xml:space="preserve"> </w:t>
      </w:r>
      <w:r w:rsidR="00FA7944" w:rsidRPr="00AC3820">
        <w:rPr>
          <w:rStyle w:val="ng-star-inserted"/>
          <w:color w:val="000000" w:themeColor="text1"/>
        </w:rPr>
        <w:t>(Koerber &amp; McMichael, 2008</w:t>
      </w:r>
      <w:r w:rsidR="006C70C5" w:rsidRPr="00AC3820">
        <w:rPr>
          <w:rStyle w:val="ng-star-inserted"/>
          <w:color w:val="000000" w:themeColor="text1"/>
        </w:rPr>
        <w:t xml:space="preserve">; </w:t>
      </w:r>
      <w:r w:rsidR="00175626" w:rsidRPr="00AC3820">
        <w:rPr>
          <w:rStyle w:val="ng-star-inserted"/>
          <w:color w:val="000000" w:themeColor="text1"/>
        </w:rPr>
        <w:t>Lowry et al., 2025)</w:t>
      </w:r>
      <w:r w:rsidRPr="00AC3820">
        <w:rPr>
          <w:rStyle w:val="ng-star-inserted"/>
          <w:color w:val="000000" w:themeColor="text1"/>
        </w:rPr>
        <w:t xml:space="preserve">. By mapping the queries directly to the analytical codes of the study comprising </w:t>
      </w:r>
      <w:r w:rsidRPr="00AC3820">
        <w:rPr>
          <w:color w:val="000000" w:themeColor="text1"/>
        </w:rPr>
        <w:t>Power, Legitimacy, Urgency, Decision Rights, Escalation, Evidentiary Standards, and Recoverability Assurance</w:t>
      </w:r>
      <w:r w:rsidR="006C70C5" w:rsidRPr="00AC3820">
        <w:rPr>
          <w:rStyle w:val="ng-star-inserted"/>
          <w:color w:val="000000" w:themeColor="text1"/>
        </w:rPr>
        <w:t xml:space="preserve"> (</w:t>
      </w:r>
      <w:r w:rsidR="00175626" w:rsidRPr="00AC3820">
        <w:rPr>
          <w:rStyle w:val="ng-star-inserted"/>
          <w:color w:val="000000" w:themeColor="text1"/>
        </w:rPr>
        <w:t>Lowry et al., 2025)</w:t>
      </w:r>
      <w:r w:rsidRPr="00AC3820">
        <w:rPr>
          <w:rStyle w:val="ng-star-inserted"/>
          <w:color w:val="000000" w:themeColor="text1"/>
        </w:rPr>
        <w:t xml:space="preserve">, the study maintains absolute methodological alignment. This systematic, construct-aligned instrumentation ensures that the collection of primary narratives and </w:t>
      </w:r>
      <w:commentRangeStart w:id="24"/>
      <w:r w:rsidRPr="00AC3820">
        <w:rPr>
          <w:rStyle w:val="ng-star-inserted"/>
          <w:color w:val="000000" w:themeColor="text1"/>
        </w:rPr>
        <w:t xml:space="preserve">secondary contextual artifacts remains accountable </w:t>
      </w:r>
      <w:commentRangeEnd w:id="24"/>
      <w:r w:rsidR="00857AF4" w:rsidRPr="00AC3820">
        <w:rPr>
          <w:rStyle w:val="CommentReference"/>
          <w:color w:val="000000" w:themeColor="text1"/>
          <w:sz w:val="24"/>
          <w:szCs w:val="24"/>
        </w:rPr>
        <w:commentReference w:id="24"/>
      </w:r>
      <w:r w:rsidRPr="00AC3820">
        <w:rPr>
          <w:rStyle w:val="ng-star-inserted"/>
          <w:color w:val="000000" w:themeColor="text1"/>
        </w:rPr>
        <w:t>to the participants' lived experiences while preserving the interpretive validity and trustworthiness of the GQI design</w:t>
      </w:r>
      <w:r w:rsidR="00175626" w:rsidRPr="00AC3820">
        <w:rPr>
          <w:rStyle w:val="ng-star-inserted"/>
          <w:color w:val="000000" w:themeColor="text1"/>
        </w:rPr>
        <w:t xml:space="preserve"> (Lowry et al., 2025</w:t>
      </w:r>
      <w:r w:rsidR="004664CF" w:rsidRPr="00AC3820">
        <w:rPr>
          <w:rStyle w:val="ng-star-inserted"/>
          <w:color w:val="000000" w:themeColor="text1"/>
        </w:rPr>
        <w:t xml:space="preserve">; </w:t>
      </w:r>
      <w:r w:rsidR="00FA7944" w:rsidRPr="00AA13BF">
        <w:rPr>
          <w:rStyle w:val="ng-star-inserted"/>
          <w:color w:val="000000" w:themeColor="text1"/>
          <w:highlight w:val="cyan"/>
        </w:rPr>
        <w:t>Donaldson &amp; Preston, 1995</w:t>
      </w:r>
      <w:r w:rsidR="00175626" w:rsidRPr="00AC3820">
        <w:rPr>
          <w:rStyle w:val="ng-star-inserted"/>
          <w:color w:val="000000" w:themeColor="text1"/>
        </w:rPr>
        <w:t>)</w:t>
      </w:r>
      <w:r w:rsidRPr="00AC3820">
        <w:rPr>
          <w:rStyle w:val="ng-star-inserted"/>
          <w:color w:val="000000" w:themeColor="text1"/>
        </w:rPr>
        <w:t>.</w:t>
      </w:r>
    </w:p>
    <w:p w14:paraId="5A4DA60F" w14:textId="77777777" w:rsidR="00AC0630" w:rsidRPr="00AC3820" w:rsidRDefault="00AC0630" w:rsidP="00AC0630">
      <w:pPr>
        <w:pStyle w:val="Heading5"/>
        <w:rPr>
          <w:color w:val="000000" w:themeColor="text1"/>
        </w:rPr>
      </w:pPr>
      <w:commentRangeStart w:id="25"/>
      <w:r w:rsidRPr="00AC3820">
        <w:rPr>
          <w:color w:val="000000" w:themeColor="text1"/>
        </w:rPr>
        <w:t>Detailed Procedures</w:t>
      </w:r>
      <w:commentRangeEnd w:id="25"/>
      <w:r w:rsidR="00DD2554" w:rsidRPr="00AC3820">
        <w:rPr>
          <w:rStyle w:val="CommentReference"/>
          <w:color w:val="000000" w:themeColor="text1"/>
          <w:sz w:val="24"/>
          <w:szCs w:val="26"/>
        </w:rPr>
        <w:commentReference w:id="25"/>
      </w:r>
    </w:p>
    <w:p w14:paraId="6FE862A4" w14:textId="77777777" w:rsidR="00AC0630" w:rsidRPr="00AC3820" w:rsidRDefault="00AC0630" w:rsidP="00AC0630">
      <w:pPr>
        <w:pStyle w:val="Body"/>
        <w:rPr>
          <w:i/>
          <w:iCs/>
          <w:color w:val="000000" w:themeColor="text1"/>
        </w:rPr>
      </w:pPr>
      <w:r w:rsidRPr="00AC3820">
        <w:rPr>
          <w:i/>
          <w:iCs/>
          <w:color w:val="000000" w:themeColor="text1"/>
        </w:rPr>
        <w:t>Present a description of the processes needed to complete the instruments by the participants or observers. Suggest</w:t>
      </w:r>
      <w:r w:rsidR="00E330FA" w:rsidRPr="00AC3820">
        <w:rPr>
          <w:i/>
          <w:iCs/>
          <w:color w:val="000000" w:themeColor="text1"/>
        </w:rPr>
        <w:t>ed</w:t>
      </w:r>
      <w:r w:rsidRPr="00AC3820">
        <w:rPr>
          <w:i/>
          <w:iCs/>
          <w:color w:val="000000" w:themeColor="text1"/>
        </w:rPr>
        <w:t xml:space="preserve"> length 3-4 paragraphs. </w:t>
      </w:r>
    </w:p>
    <w:p w14:paraId="6E06C543" w14:textId="77777777" w:rsidR="00536967" w:rsidRPr="00AC3820" w:rsidRDefault="00536967" w:rsidP="00AC0630">
      <w:pPr>
        <w:pStyle w:val="Body"/>
        <w:rPr>
          <w:i/>
          <w:iCs/>
          <w:color w:val="000000" w:themeColor="text1"/>
        </w:rPr>
      </w:pPr>
    </w:p>
    <w:p w14:paraId="37B60399" w14:textId="77777777" w:rsidR="00536967" w:rsidRPr="00AC3820" w:rsidRDefault="00536967" w:rsidP="00AC0630">
      <w:pPr>
        <w:pStyle w:val="Body"/>
        <w:rPr>
          <w:color w:val="000000" w:themeColor="text1"/>
        </w:rPr>
      </w:pPr>
    </w:p>
    <w:p w14:paraId="5B19E996" w14:textId="3B2769EA" w:rsidR="000E7013" w:rsidRPr="00AC3820" w:rsidRDefault="001A31D2" w:rsidP="006C70C5">
      <w:pPr>
        <w:spacing w:line="480" w:lineRule="auto"/>
        <w:ind w:firstLineChars="200" w:firstLine="480"/>
        <w:rPr>
          <w:color w:val="000000" w:themeColor="text1"/>
        </w:rPr>
      </w:pPr>
      <w:r w:rsidRPr="00AC3820">
        <w:rPr>
          <w:rStyle w:val="ng-star-inserted"/>
          <w:color w:val="000000" w:themeColor="text1"/>
        </w:rPr>
        <w:t>The operational procedures for this study begin with the systematic recruitment, screening, and onboarding of participants utilizing a combination of purposive and criterion sampling strategies to identify highly qualified individuals (</w:t>
      </w:r>
      <w:r w:rsidR="000E7013" w:rsidRPr="00AC3820">
        <w:rPr>
          <w:rStyle w:val="ng-star-inserted"/>
          <w:color w:val="000000" w:themeColor="text1"/>
        </w:rPr>
        <w:t>Caelli et al., 2003</w:t>
      </w:r>
      <w:r w:rsidRPr="00AC3820">
        <w:rPr>
          <w:rStyle w:val="ng-star-inserted"/>
          <w:color w:val="000000" w:themeColor="text1"/>
        </w:rPr>
        <w:t>). To construct a sample of 10 to 15 participants, the researcher screens prospective candidates against strict inclusion criteria: individuals must serve as active IT or network managers (or equivalent operational roles such as systems, infrastructure, or IT operations managers) within U.S.</w:t>
      </w:r>
      <w:r w:rsidR="006C70C5" w:rsidRPr="00AC3820">
        <w:rPr>
          <w:rStyle w:val="ng-star-inserted"/>
          <w:color w:val="000000" w:themeColor="text1"/>
        </w:rPr>
        <w:t xml:space="preserve"> </w:t>
      </w:r>
      <w:r w:rsidRPr="00AC3820">
        <w:rPr>
          <w:rStyle w:val="ng-star-inserted"/>
          <w:color w:val="000000" w:themeColor="text1"/>
        </w:rPr>
        <w:t>based small and medium enterprises (SMEs) employing between 10 and 200 personnel</w:t>
      </w:r>
      <w:r w:rsidR="006C70C5" w:rsidRPr="00AC3820">
        <w:rPr>
          <w:rStyle w:val="ng-star-inserted"/>
          <w:color w:val="000000" w:themeColor="text1"/>
        </w:rPr>
        <w:t xml:space="preserve"> </w:t>
      </w:r>
      <w:r w:rsidRPr="00AC3820">
        <w:rPr>
          <w:rStyle w:val="ng-star-inserted"/>
          <w:color w:val="000000" w:themeColor="text1"/>
        </w:rPr>
        <w:t>(</w:t>
      </w:r>
      <w:r w:rsidR="000E7013" w:rsidRPr="00AC3820">
        <w:rPr>
          <w:color w:val="000000" w:themeColor="text1"/>
        </w:rPr>
        <w:t>Cooper &amp; Endacott, 2007)</w:t>
      </w:r>
    </w:p>
    <w:p w14:paraId="5D10196E" w14:textId="6743963A" w:rsidR="006C70C5" w:rsidRPr="00AC3820" w:rsidRDefault="001A31D2" w:rsidP="006C70C5">
      <w:pPr>
        <w:spacing w:line="480" w:lineRule="auto"/>
        <w:rPr>
          <w:color w:val="000000" w:themeColor="text1"/>
        </w:rPr>
      </w:pPr>
      <w:r w:rsidRPr="00AC3820">
        <w:rPr>
          <w:rStyle w:val="ng-star-inserted"/>
          <w:color w:val="000000" w:themeColor="text1"/>
        </w:rPr>
        <w:t xml:space="preserve">;3). Furthermore, eligible participants must hold direct operational responsibility for, or actively participate in, IT disaster recovery coordination utilizing an external platform or managed recovery service (ITDRPaaS or equivalent cloud recovery) and have experienced at least one </w:t>
      </w:r>
      <w:r w:rsidRPr="00AC3820">
        <w:rPr>
          <w:rStyle w:val="ng-star-inserted"/>
          <w:color w:val="000000" w:themeColor="text1"/>
        </w:rPr>
        <w:lastRenderedPageBreak/>
        <w:t>disruptive event, failover, recovery test, or operational recovery within the preceding 36 months(</w:t>
      </w:r>
      <w:r w:rsidR="000E7013" w:rsidRPr="00AC3820">
        <w:rPr>
          <w:rStyle w:val="ng-star-inserted"/>
          <w:color w:val="000000" w:themeColor="text1"/>
        </w:rPr>
        <w:t xml:space="preserve">Caelli et al., 2003; </w:t>
      </w:r>
      <w:r w:rsidR="000E7013" w:rsidRPr="00AD3765">
        <w:rPr>
          <w:rStyle w:val="ng-star-inserted"/>
          <w:color w:val="000000" w:themeColor="text1"/>
          <w:highlight w:val="cyan"/>
        </w:rPr>
        <w:t xml:space="preserve">Creswell &amp; Poth, </w:t>
      </w:r>
      <w:r w:rsidR="00AD3765" w:rsidRPr="00AD3765">
        <w:rPr>
          <w:rStyle w:val="ng-star-inserted"/>
          <w:color w:val="000000" w:themeColor="text1"/>
          <w:highlight w:val="cyan"/>
        </w:rPr>
        <w:t>1998</w:t>
      </w:r>
      <w:r w:rsidR="000E7013" w:rsidRPr="00AD3765">
        <w:rPr>
          <w:rStyle w:val="ng-star-inserted"/>
          <w:color w:val="000000" w:themeColor="text1"/>
          <w:highlight w:val="cyan"/>
        </w:rPr>
        <w:t>)</w:t>
      </w:r>
      <w:r w:rsidRPr="00AD3765">
        <w:rPr>
          <w:rStyle w:val="ng-star-inserted"/>
          <w:color w:val="000000" w:themeColor="text1"/>
          <w:highlight w:val="cyan"/>
        </w:rPr>
        <w:t>.</w:t>
      </w:r>
      <w:r w:rsidRPr="00AC3820">
        <w:rPr>
          <w:rStyle w:val="ng-star-inserted"/>
          <w:color w:val="000000" w:themeColor="text1"/>
        </w:rPr>
        <w:t xml:space="preserve"> Those solely employed by vendor organizations or lacking direct experience with external platform recovery are excluded</w:t>
      </w:r>
      <w:r w:rsidR="000E7013" w:rsidRPr="00AC3820">
        <w:rPr>
          <w:rStyle w:val="ng-star-inserted"/>
          <w:color w:val="000000" w:themeColor="text1"/>
        </w:rPr>
        <w:t xml:space="preserve"> (Caelli et al., 2003). </w:t>
      </w:r>
      <w:r w:rsidRPr="00AC3820">
        <w:rPr>
          <w:rStyle w:val="ng-star-inserted"/>
          <w:color w:val="000000" w:themeColor="text1"/>
        </w:rPr>
        <w:t xml:space="preserve"> Upon verifying eligibility, the researcher emails candidates an informed consent form detailing the study's purpose, voluntary nature, and confidentiality protocols; once signed electronic consent is returned, the researcher schedules a virtual, recorded interview session conducted in English</w:t>
      </w:r>
      <w:r w:rsidR="000E7013" w:rsidRPr="00AC3820">
        <w:rPr>
          <w:rStyle w:val="ng-star-inserted"/>
          <w:color w:val="000000" w:themeColor="text1"/>
        </w:rPr>
        <w:t xml:space="preserve"> </w:t>
      </w:r>
      <w:r w:rsidRPr="00AC3820">
        <w:rPr>
          <w:rStyle w:val="ng-star-inserted"/>
          <w:color w:val="000000" w:themeColor="text1"/>
        </w:rPr>
        <w:t>(</w:t>
      </w:r>
      <w:r w:rsidR="000E7013" w:rsidRPr="00AC3820">
        <w:rPr>
          <w:rStyle w:val="ng-star-inserted"/>
          <w:color w:val="000000" w:themeColor="text1"/>
        </w:rPr>
        <w:t>Caelli et al., 2003</w:t>
      </w:r>
      <w:r w:rsidRPr="00AC3820">
        <w:rPr>
          <w:rStyle w:val="ng-star-inserted"/>
          <w:color w:val="000000" w:themeColor="text1"/>
        </w:rPr>
        <w:t>).</w:t>
      </w:r>
    </w:p>
    <w:p w14:paraId="4EF64A93" w14:textId="2DDD9CF6" w:rsidR="006C70C5" w:rsidRPr="00AC3820" w:rsidRDefault="001A31D2" w:rsidP="006C70C5">
      <w:pPr>
        <w:spacing w:line="480" w:lineRule="auto"/>
        <w:ind w:firstLine="720"/>
        <w:rPr>
          <w:rStyle w:val="ng-star-inserted"/>
          <w:color w:val="000000" w:themeColor="text1"/>
        </w:rPr>
      </w:pPr>
      <w:r w:rsidRPr="00AC3820">
        <w:rPr>
          <w:rStyle w:val="ng-star-inserted"/>
          <w:color w:val="000000" w:themeColor="text1"/>
        </w:rPr>
        <w:t xml:space="preserve">The second phase of the procedure involves the execution of the semi-structured interview, which is modeled as a generic qualitative inquiry (GQI) utilizing a flexible protocol to explore participants' lived experiences in their own terms </w:t>
      </w:r>
      <w:r w:rsidR="000E7013" w:rsidRPr="00AC3820">
        <w:rPr>
          <w:rStyle w:val="ng-star-inserted"/>
          <w:color w:val="000000" w:themeColor="text1"/>
        </w:rPr>
        <w:t>(</w:t>
      </w:r>
      <w:r w:rsidR="00537FD4" w:rsidRPr="00AC3820">
        <w:rPr>
          <w:rStyle w:val="ng-star-inserted"/>
          <w:color w:val="000000" w:themeColor="text1"/>
        </w:rPr>
        <w:t>Kahlke, 2014).</w:t>
      </w:r>
      <w:r w:rsidR="00247AE5" w:rsidRPr="00AC3820">
        <w:rPr>
          <w:rStyle w:val="ng-star-inserted"/>
          <w:color w:val="000000" w:themeColor="text1"/>
        </w:rPr>
        <w:t xml:space="preserve"> </w:t>
      </w:r>
      <w:r w:rsidRPr="00AC3820">
        <w:rPr>
          <w:rStyle w:val="ng-star-inserted"/>
          <w:color w:val="000000" w:themeColor="text1"/>
        </w:rPr>
        <w:t>The virtual session commences with the researcher reading a standardized introductory script reinforcing ethical guidelines, followed by the deployment of the critical-incident technique</w:t>
      </w:r>
      <w:r w:rsidR="000E7013" w:rsidRPr="00AC3820">
        <w:rPr>
          <w:color w:val="000000" w:themeColor="text1"/>
        </w:rPr>
        <w:t xml:space="preserve"> </w:t>
      </w:r>
      <w:r w:rsidR="000E7013" w:rsidRPr="00AC3820">
        <w:rPr>
          <w:rStyle w:val="ng-star-inserted"/>
          <w:color w:val="000000" w:themeColor="text1"/>
        </w:rPr>
        <w:t>(</w:t>
      </w:r>
      <w:r w:rsidR="000E7013" w:rsidRPr="00AA13BF">
        <w:rPr>
          <w:rStyle w:val="ng-star-inserted"/>
          <w:color w:val="000000" w:themeColor="text1"/>
          <w:highlight w:val="cyan"/>
        </w:rPr>
        <w:t>Donaldson &amp; Preston</w:t>
      </w:r>
      <w:r w:rsidR="000E7013" w:rsidRPr="00AC3820">
        <w:rPr>
          <w:rStyle w:val="ng-star-inserted"/>
          <w:color w:val="000000" w:themeColor="text1"/>
        </w:rPr>
        <w:t>, 1995; Guest et al., 2006)</w:t>
      </w:r>
      <w:r w:rsidR="00247AE5" w:rsidRPr="00AC3820">
        <w:rPr>
          <w:rStyle w:val="ng-star-inserted"/>
          <w:color w:val="000000" w:themeColor="text1"/>
        </w:rPr>
        <w:t>.</w:t>
      </w:r>
      <w:r w:rsidR="00537FD4" w:rsidRPr="00AC3820">
        <w:rPr>
          <w:rStyle w:val="ng-star-inserted"/>
          <w:color w:val="000000" w:themeColor="text1"/>
        </w:rPr>
        <w:t xml:space="preserve"> </w:t>
      </w:r>
      <w:r w:rsidRPr="00AC3820">
        <w:rPr>
          <w:rStyle w:val="ng-star-inserted"/>
          <w:color w:val="000000" w:themeColor="text1"/>
        </w:rPr>
        <w:t>The participant is prompted to recount a specific, highly vivid disaster recovery or testing incident from their recent organizational history (</w:t>
      </w:r>
      <w:r w:rsidR="00247AE5" w:rsidRPr="00AC3820">
        <w:rPr>
          <w:rStyle w:val="ng-star-inserted"/>
          <w:color w:val="000000" w:themeColor="text1"/>
        </w:rPr>
        <w:t>Koerber &amp; McMichael, 2008</w:t>
      </w:r>
      <w:r w:rsidRPr="00AC3820">
        <w:rPr>
          <w:rStyle w:val="ng-star-inserted"/>
          <w:color w:val="000000" w:themeColor="text1"/>
        </w:rPr>
        <w:t>). Rather than applying rigid checklist measures, the researcher guides the dialogue using open-ended questions and flexible probes anchored in stakeholder-salience theory (Mitchell et al., 1997). These probes are operationalized around the shifting dynamics of perceived power, legitimacy, and urgency to explore how competing stakeholder claims dynamically reorder recovery priorities and tradeoffs under pressure. Specific</w:t>
      </w:r>
      <w:r w:rsidR="00537FD4" w:rsidRPr="00AC3820">
        <w:rPr>
          <w:rStyle w:val="ng-star-inserted"/>
          <w:color w:val="000000" w:themeColor="text1"/>
        </w:rPr>
        <w:t xml:space="preserve"> (Liu et al.,2020</w:t>
      </w:r>
      <w:r w:rsidR="006C70C5" w:rsidRPr="00AC3820">
        <w:rPr>
          <w:rStyle w:val="ng-star-inserted"/>
          <w:color w:val="000000" w:themeColor="text1"/>
        </w:rPr>
        <w:t xml:space="preserve">; </w:t>
      </w:r>
      <w:r w:rsidR="00537FD4" w:rsidRPr="00AC3820">
        <w:rPr>
          <w:rStyle w:val="ng-star-inserted"/>
          <w:color w:val="000000" w:themeColor="text1"/>
        </w:rPr>
        <w:t>Lowry et al., 2025;</w:t>
      </w:r>
      <w:r w:rsidR="000E7013" w:rsidRPr="00AC3820">
        <w:rPr>
          <w:rStyle w:val="ng-star-inserted"/>
          <w:color w:val="000000" w:themeColor="text1"/>
        </w:rPr>
        <w:t xml:space="preserve"> </w:t>
      </w:r>
      <w:r w:rsidR="00537FD4" w:rsidRPr="004B2AB4">
        <w:rPr>
          <w:rStyle w:val="ng-star-inserted"/>
          <w:color w:val="000000" w:themeColor="text1"/>
          <w:sz w:val="22"/>
          <w:szCs w:val="22"/>
          <w:highlight w:val="cyan"/>
        </w:rPr>
        <w:t>Malterud</w:t>
      </w:r>
      <w:r w:rsidR="00537FD4" w:rsidRPr="00F75B74">
        <w:rPr>
          <w:rStyle w:val="ng-star-inserted"/>
          <w:color w:val="000000" w:themeColor="text1"/>
          <w:highlight w:val="cyan"/>
        </w:rPr>
        <w:t>, et al.,</w:t>
      </w:r>
      <w:r w:rsidR="00F75B74" w:rsidRPr="00F75B74">
        <w:rPr>
          <w:rStyle w:val="ng-star-inserted"/>
          <w:color w:val="000000" w:themeColor="text1"/>
          <w:highlight w:val="cyan"/>
        </w:rPr>
        <w:t xml:space="preserve"> </w:t>
      </w:r>
      <w:r w:rsidR="00537FD4" w:rsidRPr="00F75B74">
        <w:rPr>
          <w:rStyle w:val="ng-star-inserted"/>
          <w:color w:val="000000" w:themeColor="text1"/>
          <w:highlight w:val="cyan"/>
        </w:rPr>
        <w:t>2016</w:t>
      </w:r>
      <w:r w:rsidR="000E7013" w:rsidRPr="00AC3820">
        <w:rPr>
          <w:rStyle w:val="ng-star-inserted"/>
          <w:color w:val="000000" w:themeColor="text1"/>
        </w:rPr>
        <w:t>)</w:t>
      </w:r>
      <w:r w:rsidRPr="00AC3820">
        <w:rPr>
          <w:rStyle w:val="ng-star-inserted"/>
          <w:color w:val="000000" w:themeColor="text1"/>
        </w:rPr>
        <w:t>, targeted queries investigate decision-rights governance (</w:t>
      </w:r>
      <w:r w:rsidRPr="00EB61EE">
        <w:rPr>
          <w:rStyle w:val="ng-star-inserted"/>
          <w:color w:val="000000" w:themeColor="text1"/>
          <w:highlight w:val="cyan"/>
        </w:rPr>
        <w:t>Weill &amp; Ross,</w:t>
      </w:r>
      <w:r w:rsidRPr="00AC3820">
        <w:rPr>
          <w:rStyle w:val="ng-star-inserted"/>
          <w:color w:val="000000" w:themeColor="text1"/>
        </w:rPr>
        <w:t xml:space="preserve"> 2004), capturing who is authorized to make critical tradeoffs and how time-critical escalation pathways are dynamically triggered to prevent restoration delays when urgency increases</w:t>
      </w:r>
      <w:r w:rsidR="000E7013" w:rsidRPr="00AC3820">
        <w:rPr>
          <w:rStyle w:val="ng-star-inserted"/>
          <w:color w:val="000000" w:themeColor="text1"/>
        </w:rPr>
        <w:t>(</w:t>
      </w:r>
      <w:r w:rsidR="00537FD4" w:rsidRPr="00AC3820">
        <w:rPr>
          <w:rStyle w:val="ng-star-inserted"/>
          <w:color w:val="000000" w:themeColor="text1"/>
        </w:rPr>
        <w:t>(Liu et al.,2020;</w:t>
      </w:r>
      <w:r w:rsidR="000E7013" w:rsidRPr="00AC3820">
        <w:rPr>
          <w:rStyle w:val="ng-star-inserted"/>
          <w:color w:val="000000" w:themeColor="text1"/>
        </w:rPr>
        <w:t xml:space="preserve"> </w:t>
      </w:r>
      <w:r w:rsidR="00537FD4" w:rsidRPr="00AC3820">
        <w:rPr>
          <w:rStyle w:val="ng-star-inserted"/>
          <w:color w:val="000000" w:themeColor="text1"/>
        </w:rPr>
        <w:t>Park et al., 2023</w:t>
      </w:r>
      <w:r w:rsidR="000E7013" w:rsidRPr="00AC3820">
        <w:rPr>
          <w:rStyle w:val="ng-star-inserted"/>
          <w:color w:val="000000" w:themeColor="text1"/>
        </w:rPr>
        <w:t>)</w:t>
      </w:r>
      <w:r w:rsidRPr="00AC3820">
        <w:rPr>
          <w:rStyle w:val="ng-star-inserted"/>
          <w:color w:val="000000" w:themeColor="text1"/>
        </w:rPr>
        <w:t>.</w:t>
      </w:r>
    </w:p>
    <w:p w14:paraId="3676E162" w14:textId="564DE756" w:rsidR="00BF6248" w:rsidRPr="00BF6248" w:rsidRDefault="006C70C5" w:rsidP="00BF6248">
      <w:pPr>
        <w:spacing w:line="480" w:lineRule="auto"/>
        <w:ind w:firstLine="720"/>
        <w:rPr>
          <w:b/>
          <w:bCs/>
        </w:rPr>
      </w:pPr>
      <w:commentRangeStart w:id="26"/>
      <w:r w:rsidRPr="00AC3820">
        <w:rPr>
          <w:rStyle w:val="ng-star-inserted"/>
          <w:color w:val="000000" w:themeColor="text1"/>
        </w:rPr>
        <w:lastRenderedPageBreak/>
        <w:t xml:space="preserve">In the context of this study, the researcher undertakes a systematic qualitative review of the contextual organizational artifacts referenced by the manager during their critical incident account (NIST, 2024). These artifacts, which may encompass internal documentation such as disaster recovery plans, escalation matrices, recovery testing routines, and external frameworks like ISO, </w:t>
      </w:r>
      <w:r w:rsidRPr="00AA13BF">
        <w:rPr>
          <w:rStyle w:val="ng-star-inserted"/>
          <w:color w:val="000000" w:themeColor="text1"/>
        </w:rPr>
        <w:t>NIST</w:t>
      </w:r>
      <w:r w:rsidRPr="00AC3820">
        <w:rPr>
          <w:rStyle w:val="ng-star-inserted"/>
          <w:color w:val="000000" w:themeColor="text1"/>
        </w:rPr>
        <w:t xml:space="preserve">, and BCM, are analyzed as situated contextual objects rather than as independent variables or quantitative compliance checklists </w:t>
      </w:r>
      <w:r w:rsidRPr="00AA13BF">
        <w:rPr>
          <w:rStyle w:val="ng-star-inserted"/>
          <w:color w:val="000000" w:themeColor="text1"/>
          <w:highlight w:val="green"/>
        </w:rPr>
        <w:t>(NIST</w:t>
      </w:r>
      <w:r w:rsidRPr="00AC3820">
        <w:rPr>
          <w:rStyle w:val="ng-star-inserted"/>
          <w:color w:val="000000" w:themeColor="text1"/>
        </w:rPr>
        <w:t xml:space="preserve">, 2024). The researcher meticulously documents these artifacts through detailed field notes, aiming to elucidate how the nominal </w:t>
      </w:r>
      <w:commentRangeEnd w:id="26"/>
      <w:r w:rsidR="00995D09" w:rsidRPr="00AC3820">
        <w:rPr>
          <w:rStyle w:val="CommentReference"/>
          <w:color w:val="000000" w:themeColor="text1"/>
          <w:sz w:val="24"/>
          <w:szCs w:val="24"/>
        </w:rPr>
        <w:commentReference w:id="26"/>
      </w:r>
      <w:r w:rsidRPr="00AC3820">
        <w:rPr>
          <w:rStyle w:val="ng-star-inserted"/>
          <w:color w:val="000000" w:themeColor="text1"/>
        </w:rPr>
        <w:t>strategic intent of IT</w:t>
      </w:r>
      <w:r w:rsidR="004664CF" w:rsidRPr="00AC3820">
        <w:rPr>
          <w:rStyle w:val="ng-star-inserted"/>
          <w:color w:val="000000" w:themeColor="text1"/>
        </w:rPr>
        <w:t xml:space="preserve">, </w:t>
      </w:r>
      <w:r w:rsidRPr="00AC3820">
        <w:rPr>
          <w:rStyle w:val="ng-star-inserted"/>
          <w:color w:val="000000" w:themeColor="text1"/>
        </w:rPr>
        <w:t>encompassing risk tolerance, critical service priorities, and acceptable downtime</w:t>
      </w:r>
      <w:r w:rsidR="004664CF" w:rsidRPr="00AC3820">
        <w:rPr>
          <w:rStyle w:val="ng-star-inserted"/>
          <w:color w:val="000000" w:themeColor="text1"/>
        </w:rPr>
        <w:t xml:space="preserve"> that </w:t>
      </w:r>
      <w:r w:rsidRPr="00AC3820">
        <w:rPr>
          <w:rStyle w:val="ng-star-inserted"/>
          <w:color w:val="000000" w:themeColor="text1"/>
        </w:rPr>
        <w:t>is interpreted, negotiated, or circumvented by managers under operational pressure (</w:t>
      </w:r>
      <w:r w:rsidRPr="00AA13BF">
        <w:rPr>
          <w:rStyle w:val="ng-star-inserted"/>
          <w:color w:val="000000" w:themeColor="text1"/>
          <w:highlight w:val="cyan"/>
        </w:rPr>
        <w:t>Donaldson &amp; Preston</w:t>
      </w:r>
      <w:r w:rsidRPr="00AC3820">
        <w:rPr>
          <w:rStyle w:val="ng-star-inserted"/>
          <w:color w:val="000000" w:themeColor="text1"/>
        </w:rPr>
        <w:t xml:space="preserve">, 1995; Tisdell et al., 2025). </w:t>
      </w:r>
      <w:r w:rsidR="008C1B5E" w:rsidRPr="00AC3820">
        <w:rPr>
          <w:rStyle w:val="ng-star-inserted"/>
          <w:color w:val="000000" w:themeColor="text1"/>
        </w:rPr>
        <w:t>After</w:t>
      </w:r>
      <w:r w:rsidRPr="00AC3820">
        <w:rPr>
          <w:rStyle w:val="ng-star-inserted"/>
          <w:color w:val="000000" w:themeColor="text1"/>
        </w:rPr>
        <w:t xml:space="preserve"> the session, the recorded interview is transcribed verbatim in preparation for qualitative thematic analysi</w:t>
      </w:r>
      <w:r w:rsidRPr="00BF6248">
        <w:rPr>
          <w:rStyle w:val="ng-star-inserted"/>
          <w:color w:val="000000" w:themeColor="text1"/>
          <w:highlight w:val="cyan"/>
        </w:rPr>
        <w:t>s. To uphold interpretive</w:t>
      </w:r>
      <w:commentRangeStart w:id="27"/>
      <w:commentRangeStart w:id="28"/>
      <w:commentRangeStart w:id="29"/>
      <w:r w:rsidRPr="00BF6248">
        <w:rPr>
          <w:rStyle w:val="ng-star-inserted"/>
          <w:strike/>
          <w:color w:val="000000" w:themeColor="text1"/>
          <w:highlight w:val="cyan"/>
        </w:rPr>
        <w:t xml:space="preserve"> </w:t>
      </w:r>
      <w:r w:rsidRPr="00BF6248">
        <w:rPr>
          <w:rStyle w:val="ng-star-inserted"/>
          <w:strike/>
          <w:color w:val="000000" w:themeColor="text1"/>
          <w:highlight w:val="yellow"/>
        </w:rPr>
        <w:t>validity</w:t>
      </w:r>
      <w:commentRangeEnd w:id="27"/>
      <w:r w:rsidR="00E6017D">
        <w:rPr>
          <w:rStyle w:val="CommentReference"/>
          <w:strike/>
          <w:color w:val="000000" w:themeColor="text1"/>
          <w:sz w:val="24"/>
          <w:szCs w:val="24"/>
        </w:rPr>
        <w:commentReference w:id="27"/>
      </w:r>
      <w:commentRangeEnd w:id="28"/>
      <w:r w:rsidR="00BF6248">
        <w:rPr>
          <w:rStyle w:val="CommentReference"/>
          <w:strike/>
          <w:color w:val="000000" w:themeColor="text1"/>
          <w:sz w:val="24"/>
          <w:szCs w:val="24"/>
        </w:rPr>
        <w:commentReference w:id="28"/>
      </w:r>
      <w:commentRangeEnd w:id="29"/>
      <w:r w:rsidR="00EB61EE">
        <w:rPr>
          <w:rStyle w:val="CommentReference"/>
          <w:strike/>
          <w:color w:val="000000" w:themeColor="text1"/>
          <w:sz w:val="24"/>
          <w:szCs w:val="24"/>
        </w:rPr>
        <w:commentReference w:id="29"/>
      </w:r>
      <w:r w:rsidR="00BF6248">
        <w:rPr>
          <w:rStyle w:val="ng-star-inserted"/>
          <w:strike/>
          <w:color w:val="000000" w:themeColor="text1"/>
        </w:rPr>
        <w:t xml:space="preserve"> </w:t>
      </w:r>
      <w:r w:rsidR="00BF6248" w:rsidRPr="00BF6248">
        <w:rPr>
          <w:rStyle w:val="Strong"/>
          <w:b w:val="0"/>
          <w:bCs w:val="0"/>
          <w:highlight w:val="cyan"/>
        </w:rPr>
        <w:t>credibility</w:t>
      </w:r>
      <w:r w:rsidR="00BF6248">
        <w:t xml:space="preserve"> and ensure that the analysis remains accountable to participants’ accounts, the researcher will conduct member checking after transcription and de-identification. Participants will receive </w:t>
      </w:r>
      <w:r w:rsidR="00BF6248">
        <w:t>a summary</w:t>
      </w:r>
      <w:r w:rsidR="00BF6248">
        <w:t xml:space="preserve"> of their interview or selected interpretive points and will be invited to identify factual errors, clarify ambiguous statements, or provide additional context. Member checking will not require participants to approve the researcher’s final themes; rather, it will provide an opportunity to assess whether the participant’s account has been represented fairly and accurately (Park et al., 2023).</w:t>
      </w:r>
    </w:p>
    <w:p w14:paraId="14B7A2C2" w14:textId="77777777" w:rsidR="00AC0630" w:rsidRPr="00AC3820" w:rsidRDefault="00AC0630" w:rsidP="00AC0630">
      <w:pPr>
        <w:pStyle w:val="Heading5"/>
        <w:rPr>
          <w:color w:val="000000" w:themeColor="text1"/>
        </w:rPr>
      </w:pPr>
      <w:r w:rsidRPr="00AC3820">
        <w:rPr>
          <w:color w:val="000000" w:themeColor="text1"/>
        </w:rPr>
        <w:t>Validity/Reliability/Credibility/Dependability</w:t>
      </w:r>
    </w:p>
    <w:p w14:paraId="63EBA379" w14:textId="77777777" w:rsidR="00AC0630" w:rsidRPr="00AC3820" w:rsidRDefault="00AC0630" w:rsidP="00AC0630">
      <w:pPr>
        <w:pStyle w:val="Body"/>
        <w:rPr>
          <w:i/>
          <w:iCs/>
          <w:color w:val="000000" w:themeColor="text1"/>
        </w:rPr>
      </w:pPr>
      <w:r w:rsidRPr="00AC3820">
        <w:rPr>
          <w:i/>
          <w:iCs/>
          <w:color w:val="000000" w:themeColor="text1"/>
        </w:rPr>
        <w:t xml:space="preserve">Identify and present the potential threats to reliability and validity (quantitative techniques) or trustworthiness (qualitative techniques). Include a proposed plan to mitigate the noted threats. Suggested length 1-2 paragraphs. </w:t>
      </w:r>
    </w:p>
    <w:p w14:paraId="6CBF21C1" w14:textId="77777777" w:rsidR="00DD2554" w:rsidRPr="00AC3820" w:rsidRDefault="00DD2554" w:rsidP="00AC0630">
      <w:pPr>
        <w:pStyle w:val="Body"/>
        <w:rPr>
          <w:color w:val="000000" w:themeColor="text1"/>
        </w:rPr>
      </w:pPr>
    </w:p>
    <w:p w14:paraId="61EB3F3B" w14:textId="4093DD17" w:rsidR="00AC0630" w:rsidRPr="00AC3820" w:rsidRDefault="00537FD4" w:rsidP="00537FD4">
      <w:pPr>
        <w:pStyle w:val="Body"/>
        <w:spacing w:line="480" w:lineRule="auto"/>
        <w:ind w:firstLine="720"/>
        <w:rPr>
          <w:i/>
          <w:iCs/>
          <w:color w:val="000000" w:themeColor="text1"/>
        </w:rPr>
      </w:pPr>
      <w:r w:rsidRPr="00AC3820">
        <w:rPr>
          <w:color w:val="000000" w:themeColor="text1"/>
          <w:sz w:val="24"/>
          <w:szCs w:val="24"/>
        </w:rPr>
        <w:t xml:space="preserve">This project emphasizes the qualitative trustworthiness criteria of credibility, dependability, confirmability, and transferability, as proposed by </w:t>
      </w:r>
      <w:r w:rsidRPr="001B1529">
        <w:rPr>
          <w:color w:val="000000" w:themeColor="text1"/>
          <w:sz w:val="24"/>
          <w:szCs w:val="24"/>
          <w:highlight w:val="yellow"/>
        </w:rPr>
        <w:t>Lincoln and Guba (1985</w:t>
      </w:r>
      <w:r w:rsidRPr="00AC3820">
        <w:rPr>
          <w:color w:val="000000" w:themeColor="text1"/>
          <w:sz w:val="24"/>
          <w:szCs w:val="24"/>
        </w:rPr>
        <w:t xml:space="preserve">), </w:t>
      </w:r>
      <w:r w:rsidRPr="00AC3820">
        <w:rPr>
          <w:color w:val="000000" w:themeColor="text1"/>
          <w:sz w:val="24"/>
          <w:szCs w:val="24"/>
        </w:rPr>
        <w:lastRenderedPageBreak/>
        <w:t>rather than relying on Cronbach’s alpha for statistical validity. To enhance credibility, the study employs strategies such as prolonged engagement with critical-incident narratives, member checks, and careful selection of participants to prevent coercive influences (</w:t>
      </w:r>
      <w:r w:rsidR="0028214A" w:rsidRPr="00AC3820">
        <w:rPr>
          <w:color w:val="000000" w:themeColor="text1"/>
          <w:sz w:val="24"/>
          <w:szCs w:val="24"/>
        </w:rPr>
        <w:t>Moser</w:t>
      </w:r>
      <w:r w:rsidR="0028214A" w:rsidRPr="00AC3820">
        <w:rPr>
          <w:color w:val="000000" w:themeColor="text1"/>
          <w:sz w:val="24"/>
          <w:szCs w:val="24"/>
        </w:rPr>
        <w:t xml:space="preserve"> </w:t>
      </w:r>
      <w:r w:rsidRPr="00AC3820">
        <w:rPr>
          <w:color w:val="000000" w:themeColor="text1"/>
          <w:sz w:val="24"/>
          <w:szCs w:val="24"/>
        </w:rPr>
        <w:t>&amp;</w:t>
      </w:r>
      <w:r w:rsidR="0028214A">
        <w:rPr>
          <w:color w:val="000000" w:themeColor="text1"/>
          <w:sz w:val="24"/>
          <w:szCs w:val="24"/>
        </w:rPr>
        <w:t xml:space="preserve"> </w:t>
      </w:r>
      <w:r w:rsidR="0028214A" w:rsidRPr="00AC3820">
        <w:rPr>
          <w:color w:val="000000" w:themeColor="text1"/>
          <w:sz w:val="24"/>
          <w:szCs w:val="24"/>
        </w:rPr>
        <w:t>Korstjens</w:t>
      </w:r>
      <w:r w:rsidRPr="00AC3820">
        <w:rPr>
          <w:color w:val="000000" w:themeColor="text1"/>
          <w:sz w:val="24"/>
          <w:szCs w:val="24"/>
        </w:rPr>
        <w:t xml:space="preserve">, </w:t>
      </w:r>
      <w:commentRangeStart w:id="30"/>
      <w:r w:rsidRPr="00AC3820">
        <w:rPr>
          <w:color w:val="000000" w:themeColor="text1"/>
          <w:sz w:val="24"/>
          <w:szCs w:val="24"/>
        </w:rPr>
        <w:t>20</w:t>
      </w:r>
      <w:commentRangeEnd w:id="30"/>
      <w:r w:rsidR="00D06C0D">
        <w:rPr>
          <w:rStyle w:val="CommentReference"/>
          <w:color w:val="000000" w:themeColor="text1"/>
          <w:sz w:val="24"/>
          <w:szCs w:val="24"/>
        </w:rPr>
        <w:commentReference w:id="30"/>
      </w:r>
      <w:r w:rsidR="0028214A">
        <w:rPr>
          <w:color w:val="000000" w:themeColor="text1"/>
          <w:sz w:val="24"/>
          <w:szCs w:val="24"/>
        </w:rPr>
        <w:t>23</w:t>
      </w:r>
      <w:r w:rsidRPr="00AC3820">
        <w:rPr>
          <w:color w:val="000000" w:themeColor="text1"/>
          <w:sz w:val="24"/>
          <w:szCs w:val="24"/>
        </w:rPr>
        <w:t>).</w:t>
      </w:r>
      <w:r w:rsidR="0028214A">
        <w:rPr>
          <w:color w:val="000000" w:themeColor="text1"/>
          <w:sz w:val="24"/>
          <w:szCs w:val="24"/>
        </w:rPr>
        <w:t xml:space="preserve"> Current d</w:t>
      </w:r>
      <w:r w:rsidRPr="00AC3820">
        <w:rPr>
          <w:color w:val="000000" w:themeColor="text1"/>
          <w:sz w:val="24"/>
          <w:szCs w:val="24"/>
        </w:rPr>
        <w:t xml:space="preserve">ependability is ensured through meticulous documentation of protocols and </w:t>
      </w:r>
      <w:commentRangeStart w:id="31"/>
      <w:r w:rsidRPr="00AC3820">
        <w:rPr>
          <w:color w:val="000000" w:themeColor="text1"/>
          <w:sz w:val="24"/>
          <w:szCs w:val="24"/>
        </w:rPr>
        <w:t xml:space="preserve">analytic </w:t>
      </w:r>
      <w:commentRangeEnd w:id="31"/>
      <w:r w:rsidR="00D954B2" w:rsidRPr="00AC3820">
        <w:rPr>
          <w:rStyle w:val="CommentReference"/>
          <w:color w:val="000000" w:themeColor="text1"/>
          <w:sz w:val="24"/>
          <w:szCs w:val="24"/>
        </w:rPr>
        <w:commentReference w:id="31"/>
      </w:r>
      <w:r w:rsidRPr="00AC3820">
        <w:rPr>
          <w:color w:val="000000" w:themeColor="text1"/>
          <w:sz w:val="24"/>
          <w:szCs w:val="24"/>
        </w:rPr>
        <w:t>trails, while confirmability is achieved by maintaining reflexivity to distinguish participant insights from researcher biases. Furthermore, transferability is facilitated by providing rich descriptions of contexts while safeguarding organizational identities. Ultimately, this rigorous approach to qualitative trustworthiness underscores the reliability of findings in understanding SME IT disaster recovery as a nuanced and context-sensitive process</w:t>
      </w:r>
      <w:r w:rsidRPr="00AC3820">
        <w:rPr>
          <w:i/>
          <w:iCs/>
          <w:color w:val="000000" w:themeColor="text1"/>
        </w:rPr>
        <w:t>.</w:t>
      </w:r>
    </w:p>
    <w:p w14:paraId="18E5B851" w14:textId="77777777" w:rsidR="00AC0630" w:rsidRPr="00AC3820" w:rsidRDefault="00AC0630" w:rsidP="00AC0630">
      <w:pPr>
        <w:pStyle w:val="Heading2"/>
        <w:rPr>
          <w:color w:val="000000" w:themeColor="text1"/>
        </w:rPr>
      </w:pPr>
      <w:r w:rsidRPr="00AC3820">
        <w:rPr>
          <w:color w:val="000000" w:themeColor="text1"/>
        </w:rPr>
        <w:t>Proposed Data Collection</w:t>
      </w:r>
    </w:p>
    <w:p w14:paraId="3FDCB4E5" w14:textId="77777777" w:rsidR="00AC0630" w:rsidRPr="00AC3820" w:rsidRDefault="00AC0630" w:rsidP="00891FB6">
      <w:pPr>
        <w:pStyle w:val="Body"/>
        <w:shd w:val="clear" w:color="auto" w:fill="E7E6E6"/>
        <w:rPr>
          <w:i/>
          <w:iCs/>
          <w:color w:val="000000" w:themeColor="text1"/>
        </w:rPr>
      </w:pPr>
      <w:r w:rsidRPr="00AC3820">
        <w:rPr>
          <w:i/>
          <w:iCs/>
          <w:color w:val="000000" w:themeColor="text1"/>
        </w:rPr>
        <w:t>Describe sampling, recruitment, data collection procedures</w:t>
      </w:r>
      <w:r w:rsidR="00E43461" w:rsidRPr="00AC3820">
        <w:rPr>
          <w:i/>
          <w:iCs/>
          <w:color w:val="000000" w:themeColor="text1"/>
        </w:rPr>
        <w:t>,</w:t>
      </w:r>
      <w:r w:rsidRPr="00AC3820">
        <w:rPr>
          <w:i/>
          <w:iCs/>
          <w:color w:val="000000" w:themeColor="text1"/>
        </w:rPr>
        <w:t xml:space="preserve"> and potential ethical considerations.</w:t>
      </w:r>
    </w:p>
    <w:p w14:paraId="11149B3F" w14:textId="77777777" w:rsidR="00AC0630" w:rsidRPr="00AC3820" w:rsidRDefault="00AC0630" w:rsidP="00AC0630">
      <w:pPr>
        <w:pStyle w:val="Body"/>
        <w:rPr>
          <w:i/>
          <w:iCs/>
          <w:color w:val="000000" w:themeColor="text1"/>
        </w:rPr>
      </w:pPr>
    </w:p>
    <w:p w14:paraId="63E684AE" w14:textId="77777777" w:rsidR="00537FD4" w:rsidRPr="00AC3820" w:rsidRDefault="00537FD4" w:rsidP="00537FD4">
      <w:pPr>
        <w:pStyle w:val="Body"/>
        <w:rPr>
          <w:i/>
          <w:iCs/>
          <w:color w:val="000000" w:themeColor="text1"/>
        </w:rPr>
      </w:pPr>
      <w:r w:rsidRPr="00AC3820">
        <w:rPr>
          <w:color w:val="000000" w:themeColor="text1"/>
        </w:rPr>
        <w:t>Why does such a small number affect so great a populous when action transpires</w:t>
      </w:r>
      <w:r w:rsidRPr="00AC3820">
        <w:rPr>
          <w:i/>
          <w:iCs/>
          <w:color w:val="000000" w:themeColor="text1"/>
        </w:rPr>
        <w:t>.</w:t>
      </w:r>
    </w:p>
    <w:p w14:paraId="5E94827F" w14:textId="77777777" w:rsidR="00AC0630" w:rsidRPr="00AC3820" w:rsidRDefault="00AC0630" w:rsidP="00BF5ECF">
      <w:pPr>
        <w:pStyle w:val="Heading5"/>
        <w:rPr>
          <w:color w:val="000000" w:themeColor="text1"/>
        </w:rPr>
      </w:pPr>
      <w:commentRangeStart w:id="32"/>
      <w:commentRangeStart w:id="33"/>
      <w:r w:rsidRPr="00AC3820">
        <w:rPr>
          <w:color w:val="000000" w:themeColor="text1"/>
        </w:rPr>
        <w:t>Sampling Strategy, Number participants</w:t>
      </w:r>
    </w:p>
    <w:p w14:paraId="025F2E56" w14:textId="77777777" w:rsidR="00AC0630" w:rsidRDefault="00AC0630" w:rsidP="00AC0630">
      <w:pPr>
        <w:pStyle w:val="Body"/>
        <w:rPr>
          <w:i/>
          <w:iCs/>
          <w:color w:val="000000" w:themeColor="text1"/>
        </w:rPr>
      </w:pPr>
      <w:r w:rsidRPr="00AC3820">
        <w:rPr>
          <w:i/>
          <w:iCs/>
          <w:color w:val="000000" w:themeColor="text1"/>
        </w:rPr>
        <w:t xml:space="preserve">Describe, explain, and justify the sampling strategy to be used. Suggested length 2-3 </w:t>
      </w:r>
      <w:r w:rsidR="00BF5ECF" w:rsidRPr="00AC3820">
        <w:rPr>
          <w:i/>
          <w:iCs/>
          <w:color w:val="000000" w:themeColor="text1"/>
        </w:rPr>
        <w:t>paragraphs</w:t>
      </w:r>
      <w:r w:rsidRPr="00AC3820">
        <w:rPr>
          <w:i/>
          <w:iCs/>
          <w:color w:val="000000" w:themeColor="text1"/>
        </w:rPr>
        <w:t>.</w:t>
      </w:r>
    </w:p>
    <w:p w14:paraId="2C9BD168" w14:textId="77777777" w:rsidR="00B5783E" w:rsidRDefault="00B5783E" w:rsidP="00AC0630">
      <w:pPr>
        <w:pStyle w:val="Body"/>
        <w:rPr>
          <w:i/>
          <w:iCs/>
          <w:color w:val="000000" w:themeColor="text1"/>
        </w:rPr>
      </w:pPr>
    </w:p>
    <w:p w14:paraId="2A57FFCA" w14:textId="3EAB69BF" w:rsidR="00B5783E" w:rsidRPr="00687642" w:rsidRDefault="00B5783E" w:rsidP="00B5783E">
      <w:pPr>
        <w:pStyle w:val="Body"/>
        <w:ind w:firstLine="720"/>
        <w:rPr>
          <w:sz w:val="24"/>
          <w:szCs w:val="24"/>
        </w:rPr>
      </w:pPr>
      <w:r w:rsidRPr="00687642">
        <w:rPr>
          <w:sz w:val="24"/>
          <w:szCs w:val="24"/>
        </w:rPr>
        <w:t xml:space="preserve">This study will use a </w:t>
      </w:r>
      <w:r w:rsidRPr="00CF5F34">
        <w:rPr>
          <w:b/>
          <w:bCs/>
          <w:sz w:val="24"/>
          <w:szCs w:val="24"/>
        </w:rPr>
        <w:t>non</w:t>
      </w:r>
      <w:r w:rsidR="00D73EE2" w:rsidRPr="00CF5F34">
        <w:rPr>
          <w:b/>
          <w:bCs/>
          <w:sz w:val="24"/>
          <w:szCs w:val="24"/>
        </w:rPr>
        <w:t>-</w:t>
      </w:r>
      <w:r w:rsidRPr="00CF5F34">
        <w:rPr>
          <w:b/>
          <w:bCs/>
          <w:sz w:val="24"/>
          <w:szCs w:val="24"/>
        </w:rPr>
        <w:t>probability</w:t>
      </w:r>
      <w:r w:rsidRPr="00687642">
        <w:rPr>
          <w:sz w:val="24"/>
          <w:szCs w:val="24"/>
        </w:rPr>
        <w:t xml:space="preserve">, criterion-based purposive sampling strategy to select information-rich participants whose professional roles and recent recovery experience align with the research purpose (Percy et al., 2015; </w:t>
      </w:r>
      <w:r w:rsidRPr="00AD3765">
        <w:rPr>
          <w:sz w:val="24"/>
          <w:szCs w:val="24"/>
          <w:highlight w:val="cyan"/>
        </w:rPr>
        <w:t xml:space="preserve">Creswell &amp; Poth, </w:t>
      </w:r>
      <w:r w:rsidR="00AD3765" w:rsidRPr="00AD3765">
        <w:rPr>
          <w:sz w:val="24"/>
          <w:szCs w:val="24"/>
          <w:highlight w:val="cyan"/>
        </w:rPr>
        <w:t>199</w:t>
      </w:r>
      <w:r w:rsidRPr="00AD3765">
        <w:rPr>
          <w:sz w:val="24"/>
          <w:szCs w:val="24"/>
          <w:highlight w:val="cyan"/>
        </w:rPr>
        <w:t>8</w:t>
      </w:r>
      <w:r w:rsidRPr="00687642">
        <w:rPr>
          <w:sz w:val="24"/>
          <w:szCs w:val="24"/>
        </w:rPr>
        <w:t xml:space="preserve">). The target population consists </w:t>
      </w:r>
      <w:r w:rsidRPr="00CF5F34">
        <w:rPr>
          <w:b/>
          <w:bCs/>
          <w:sz w:val="24"/>
          <w:szCs w:val="24"/>
        </w:rPr>
        <w:t xml:space="preserve">of U.S. </w:t>
      </w:r>
      <w:r w:rsidR="00CF5F34" w:rsidRPr="00CF5F34">
        <w:rPr>
          <w:b/>
          <w:bCs/>
          <w:sz w:val="24"/>
          <w:szCs w:val="24"/>
        </w:rPr>
        <w:t xml:space="preserve">SME </w:t>
      </w:r>
      <w:r w:rsidRPr="00CF5F34">
        <w:rPr>
          <w:b/>
          <w:bCs/>
          <w:sz w:val="24"/>
          <w:szCs w:val="24"/>
        </w:rPr>
        <w:t>IT network, systems, infrastructure, or operations managers in small and medium-sized enterprises of 10 to 200 personnel who have direct responsibility for, or participation in, IT disaster recovery that uses an external recovery platform, managed recovery service, ITDRPaaS, or a functionally equivalent cloud-recovery capability.</w:t>
      </w:r>
      <w:r w:rsidRPr="00687642">
        <w:rPr>
          <w:sz w:val="24"/>
          <w:szCs w:val="24"/>
        </w:rPr>
        <w:t xml:space="preserve"> </w:t>
      </w:r>
      <w:r w:rsidRPr="00CF5F34">
        <w:rPr>
          <w:b/>
          <w:bCs/>
          <w:color w:val="EE0000"/>
          <w:sz w:val="24"/>
          <w:szCs w:val="24"/>
        </w:rPr>
        <w:t>Inclusion</w:t>
      </w:r>
      <w:r w:rsidRPr="00687642">
        <w:rPr>
          <w:sz w:val="24"/>
          <w:szCs w:val="24"/>
        </w:rPr>
        <w:t xml:space="preserve"> requires at least one disruption, failover, recovery test, or operational recovery in the preceding 36 months in which that external capability was used. Individuals employed only by a vendor, or who lack direct platform-mediated recovery responsibility, will be excluded. Criterion-based purposive sampling is appropriate for this generic qualitative inquiry because the researcher will deliberately select participants who can recount a named recovery event rather than attempt to obtain a statistically representative sample (Percy et al., 2015).</w:t>
      </w:r>
    </w:p>
    <w:p w14:paraId="208596E9" w14:textId="1186E8E5" w:rsidR="00B5783E" w:rsidRPr="00687642" w:rsidRDefault="00B5783E" w:rsidP="00CF5F34">
      <w:pPr>
        <w:pStyle w:val="ui-markdownparagraph"/>
        <w:ind w:firstLine="720"/>
      </w:pPr>
      <w:r w:rsidRPr="00687642">
        <w:t>The sample is locked at 12 participants. Sample adequacy will not be determined through statistical power calculations (Vasileiou et al., 2018). It will be justified by information power: a narrow study aim, a highly specific participant population, theoretically informed but not closed-ended dialogue, and an in-depth thematic analysis strategy (</w:t>
      </w:r>
      <w:r w:rsidRPr="00CC218E">
        <w:t xml:space="preserve">Malterud et al., </w:t>
      </w:r>
      <w:r w:rsidRPr="00F75B74">
        <w:rPr>
          <w:highlight w:val="cyan"/>
        </w:rPr>
        <w:t>2016</w:t>
      </w:r>
      <w:r w:rsidRPr="00687642">
        <w:t xml:space="preserve">). Twelve is the </w:t>
      </w:r>
      <w:r w:rsidRPr="00687642">
        <w:lastRenderedPageBreak/>
        <w:t xml:space="preserve">planned recruitment target for the detailed screening and interview process. It is not a finding that the gap is closed, </w:t>
      </w:r>
      <w:r w:rsidR="00687642">
        <w:t>nor is there a</w:t>
      </w:r>
      <w:r w:rsidRPr="00687642">
        <w:t xml:space="preserve"> claim that saturation occurs at the twelfth interview.</w:t>
      </w:r>
    </w:p>
    <w:p w14:paraId="498FCA99" w14:textId="7E58799C" w:rsidR="00567231" w:rsidRDefault="00B5783E" w:rsidP="00567231">
      <w:pPr>
        <w:pStyle w:val="p1"/>
      </w:pPr>
      <w:r w:rsidRPr="00687642">
        <w:rPr>
          <w:sz w:val="24"/>
          <w:szCs w:val="24"/>
        </w:rPr>
        <w:t>Recruitment and preliminary analysis will proceed through the locked sample of 12. Stopping will be documented as an analytic decision: the researcher will record whether interviews in that corpus continue to contribute new meaning units, categories, or thematic variation relevant to the research questions (</w:t>
      </w:r>
      <w:r w:rsidRPr="00CC218E">
        <w:rPr>
          <w:sz w:val="24"/>
          <w:szCs w:val="24"/>
          <w:highlight w:val="cyan"/>
        </w:rPr>
        <w:t>Naeem et al., 2024</w:t>
      </w:r>
      <w:r w:rsidRPr="00687642">
        <w:rPr>
          <w:sz w:val="24"/>
          <w:szCs w:val="24"/>
        </w:rPr>
        <w:t xml:space="preserve">). Guest et al. (2006) only as background that some homogeneous interview studies have observed early code stability; that source will not be used to claim in advance that 12 interviews </w:t>
      </w:r>
      <w:r w:rsidR="00687642" w:rsidRPr="00687642">
        <w:t>serve</w:t>
      </w:r>
      <w:r w:rsidRPr="00687642">
        <w:rPr>
          <w:sz w:val="24"/>
          <w:szCs w:val="24"/>
        </w:rPr>
        <w:t>. The final participant count and the rationale for ending recruitment will be recorded in the study audit trail (Carcary, 2020).</w:t>
      </w:r>
      <w:r w:rsidR="00567231">
        <w:t xml:space="preserve">     </w:t>
      </w:r>
    </w:p>
    <w:p w14:paraId="69098ABF" w14:textId="77777777" w:rsidR="00567231" w:rsidRDefault="00567231" w:rsidP="00567231">
      <w:pPr>
        <w:pStyle w:val="p1"/>
      </w:pPr>
    </w:p>
    <w:p w14:paraId="7A727EB9" w14:textId="5FAD3F5B" w:rsidR="00567231" w:rsidRPr="00695D92" w:rsidRDefault="00567231" w:rsidP="00567231">
      <w:pPr>
        <w:pStyle w:val="p1"/>
        <w:rPr>
          <w:highlight w:val="yellow"/>
        </w:rPr>
      </w:pPr>
      <w:r>
        <w:t xml:space="preserve"> </w:t>
      </w:r>
      <w:r w:rsidRPr="00695D92">
        <w:rPr>
          <w:highlight w:val="yellow"/>
        </w:rPr>
        <w:t>[</w:t>
      </w:r>
      <w:r w:rsidRPr="00695D92">
        <w:rPr>
          <w:highlight w:val="yellow"/>
        </w:rPr>
        <w:t xml:space="preserve">study’s participants were a purposive sample of </w:t>
      </w:r>
      <w:r w:rsidRPr="00695D92">
        <w:rPr>
          <w:highlight w:val="yellow"/>
        </w:rPr>
        <w:t>12</w:t>
      </w:r>
      <w:r w:rsidRPr="00695D92">
        <w:rPr>
          <w:highlight w:val="yellow"/>
        </w:rPr>
        <w:t xml:space="preserve"> U.S. business leaders with</w:t>
      </w:r>
    </w:p>
    <w:p w14:paraId="1574828F" w14:textId="69528036" w:rsidR="00567231" w:rsidRPr="00695D92" w:rsidRDefault="00567231" w:rsidP="00567231">
      <w:pPr>
        <w:pStyle w:val="p1"/>
        <w:rPr>
          <w:highlight w:val="green"/>
        </w:rPr>
      </w:pPr>
      <w:r w:rsidRPr="00695D92">
        <w:rPr>
          <w:highlight w:val="green"/>
        </w:rPr>
        <w:t>decision-making authority. This include</w:t>
      </w:r>
      <w:r w:rsidRPr="00695D92">
        <w:rPr>
          <w:highlight w:val="green"/>
        </w:rPr>
        <w:t>s</w:t>
      </w:r>
      <w:r w:rsidRPr="00695D92">
        <w:rPr>
          <w:highlight w:val="green"/>
        </w:rPr>
        <w:t xml:space="preserve"> participants with titles</w:t>
      </w:r>
    </w:p>
    <w:p w14:paraId="31C16B76" w14:textId="77777777" w:rsidR="00567231" w:rsidRPr="00695D92" w:rsidRDefault="00567231" w:rsidP="00567231">
      <w:pPr>
        <w:pStyle w:val="p1"/>
        <w:rPr>
          <w:highlight w:val="green"/>
        </w:rPr>
      </w:pPr>
      <w:r w:rsidRPr="00695D92">
        <w:rPr>
          <w:highlight w:val="green"/>
        </w:rPr>
        <w:t>including Chief Executive Officer, Executive Director, Executive Vice President, President,</w:t>
      </w:r>
    </w:p>
    <w:p w14:paraId="2EC21181" w14:textId="00A46603" w:rsidR="00B5783E" w:rsidRPr="00D04E02" w:rsidRDefault="00567231" w:rsidP="00D04E02">
      <w:pPr>
        <w:pStyle w:val="p1"/>
        <w:rPr>
          <w:strike/>
        </w:rPr>
      </w:pPr>
      <w:r w:rsidRPr="00695D92">
        <w:rPr>
          <w:highlight w:val="green"/>
        </w:rPr>
        <w:t xml:space="preserve">Chief </w:t>
      </w:r>
      <w:r w:rsidRPr="00695D92">
        <w:rPr>
          <w:highlight w:val="green"/>
        </w:rPr>
        <w:t>Finance</w:t>
      </w:r>
      <w:r w:rsidRPr="00695D92">
        <w:rPr>
          <w:highlight w:val="green"/>
        </w:rPr>
        <w:t xml:space="preserve"> Officer, and Director</w:t>
      </w:r>
      <w:r w:rsidR="00D04E02">
        <w:rPr>
          <w:highlight w:val="green"/>
        </w:rPr>
        <w:t>(s)</w:t>
      </w:r>
      <w:r w:rsidRPr="00695D92">
        <w:rPr>
          <w:highlight w:val="green"/>
        </w:rPr>
        <w:t xml:space="preserve">. </w:t>
      </w:r>
    </w:p>
    <w:p w14:paraId="188157CF" w14:textId="77777777" w:rsidR="00AC0630" w:rsidRPr="00AC3820" w:rsidRDefault="00AC0630" w:rsidP="00BF5ECF">
      <w:pPr>
        <w:pStyle w:val="Heading5"/>
        <w:rPr>
          <w:color w:val="000000" w:themeColor="text1"/>
        </w:rPr>
      </w:pPr>
      <w:r w:rsidRPr="00AC3820">
        <w:rPr>
          <w:color w:val="000000" w:themeColor="text1"/>
        </w:rPr>
        <w:t>Recr</w:t>
      </w:r>
      <w:r w:rsidR="00BF5ECF" w:rsidRPr="00AC3820">
        <w:rPr>
          <w:color w:val="000000" w:themeColor="text1"/>
        </w:rPr>
        <w:t>u</w:t>
      </w:r>
      <w:r w:rsidRPr="00AC3820">
        <w:rPr>
          <w:color w:val="000000" w:themeColor="text1"/>
        </w:rPr>
        <w:t>itment Procedures</w:t>
      </w:r>
    </w:p>
    <w:p w14:paraId="35126D61" w14:textId="77777777" w:rsidR="00AC0630" w:rsidRDefault="00AC0630" w:rsidP="00AC0630">
      <w:pPr>
        <w:pStyle w:val="Body"/>
        <w:rPr>
          <w:i/>
          <w:iCs/>
          <w:color w:val="000000" w:themeColor="text1"/>
        </w:rPr>
      </w:pPr>
      <w:r w:rsidRPr="00AC3820">
        <w:rPr>
          <w:i/>
          <w:iCs/>
          <w:color w:val="000000" w:themeColor="text1"/>
        </w:rPr>
        <w:t>Provide a recruitment process to identify, screen, and recruit participants as it aligns with the methodological approach. Present the inclusion and exclusion criteria for participating in the project. Suggested length 2-3 paragraphs.</w:t>
      </w:r>
    </w:p>
    <w:p w14:paraId="7D3C1A35" w14:textId="77777777" w:rsidR="00D505B2" w:rsidRDefault="00D505B2" w:rsidP="00D505B2">
      <w:pPr>
        <w:pStyle w:val="ui-markdownparagraph"/>
        <w:ind w:firstLine="720"/>
      </w:pPr>
      <w:r>
        <w:t>The target population for this generic qualitative inquiry is defined as U.S. IT, network, systems, infrastructure, or operations managers in small and medium-sized enterprises who have a direct operational role in IT disaster-recovery coordination that uses an external recovery platform, managed recovery service, ITDRPaaS, or a functionally equivalent cloud-recovery capability (Caelli et al., 2003; Kahlke, 2014; Percy et al., 2015). An SME in this study is bounded at 10 to 200 personnel so that the population remains inside SME governance rather than large-enterprise command structures. The population is not vendor staff whose only role is to operate a recovery platform for clients, and it is not executives who hold no operational recovery responsibility. That definition keeps the inquiry on managers who can recount how competing restoration claims were handled when restoration had to be ranked, delayed, or declared done.</w:t>
      </w:r>
    </w:p>
    <w:p w14:paraId="05C6651C" w14:textId="77777777" w:rsidR="00D505B2" w:rsidRDefault="00D505B2" w:rsidP="00D505B2">
      <w:pPr>
        <w:pStyle w:val="ui-markdownparagraph"/>
        <w:ind w:firstLine="720"/>
      </w:pPr>
      <w:r>
        <w:t>Membership in the population further requires recent, firsthand, platform-mediated recovery experience. A qualifying member must be able to name at least one disruption, failover, recovery test, or operational recovery in the preceding 36 months in which the external capability was used. That named event is the unit of talk for the critical-incident interview (</w:t>
      </w:r>
      <w:r w:rsidRPr="00D04E02">
        <w:rPr>
          <w:b/>
          <w:bCs/>
        </w:rPr>
        <w:t>Flanagan, 1954; Chell, 2004</w:t>
      </w:r>
      <w:r>
        <w:t>). A manager who cannot name such an event is not in the population and will not enter the sample. This recency and platform bound distinguishes the population from the broader set of IT managers who only know a written plan or a vendor demonstration.</w:t>
      </w:r>
    </w:p>
    <w:p w14:paraId="27218E68" w14:textId="74B1523E" w:rsidR="00D505B2" w:rsidRDefault="00D505B2" w:rsidP="00D505B2">
      <w:pPr>
        <w:pStyle w:val="ui-markdownparagraph"/>
        <w:ind w:firstLine="720"/>
      </w:pPr>
      <w:r>
        <w:t>This population definition is the pool from which the locked sample of 12 participants will be drawn. It is not itself the sample, and it is not a statistically representative frame of all U.S. SME recovery settings (</w:t>
      </w:r>
      <w:r w:rsidRPr="00AD3765">
        <w:rPr>
          <w:highlight w:val="cyan"/>
        </w:rPr>
        <w:t xml:space="preserve">Creswell &amp; Poth, </w:t>
      </w:r>
      <w:r w:rsidR="00AD3765" w:rsidRPr="00AD3765">
        <w:rPr>
          <w:highlight w:val="cyan"/>
        </w:rPr>
        <w:t>199</w:t>
      </w:r>
      <w:r w:rsidRPr="00AD3765">
        <w:rPr>
          <w:highlight w:val="cyan"/>
        </w:rPr>
        <w:t>8</w:t>
      </w:r>
      <w:r>
        <w:t>; Percy et al., 2015). The definition is written this tightly because information power depends on sample specificity: a narrow class of SME recovery events and a dense participant profile increase the information available from each interview (</w:t>
      </w:r>
      <w:r w:rsidRPr="00CC218E">
        <w:rPr>
          <w:highlight w:val="cyan"/>
        </w:rPr>
        <w:t xml:space="preserve">Malterud et al., </w:t>
      </w:r>
      <w:r w:rsidRPr="00F75B74">
        <w:rPr>
          <w:highlight w:val="cyan"/>
        </w:rPr>
        <w:t>2016</w:t>
      </w:r>
      <w:r>
        <w:t>). The 12-participant sample, the inclusion and exclusion screens, and the individual recruitment path all depend on this population boundary remaining stable.</w:t>
      </w:r>
    </w:p>
    <w:p w14:paraId="1A941523" w14:textId="77777777" w:rsidR="00D505B2" w:rsidRPr="00D505B2" w:rsidRDefault="00D505B2" w:rsidP="00AC0630">
      <w:pPr>
        <w:pStyle w:val="Body"/>
        <w:rPr>
          <w:color w:val="000000" w:themeColor="text1"/>
        </w:rPr>
      </w:pPr>
    </w:p>
    <w:p w14:paraId="1EFAF02B" w14:textId="2CD8F9D0" w:rsidR="00AC0630" w:rsidRPr="00AC3820" w:rsidRDefault="00AC0630" w:rsidP="00BF5ECF">
      <w:pPr>
        <w:pStyle w:val="Heading5"/>
        <w:rPr>
          <w:color w:val="000000" w:themeColor="text1"/>
        </w:rPr>
      </w:pPr>
      <w:r w:rsidRPr="00AC3820">
        <w:rPr>
          <w:color w:val="000000" w:themeColor="text1"/>
        </w:rPr>
        <w:t>Data Collection Process</w:t>
      </w:r>
      <w:commentRangeEnd w:id="32"/>
      <w:r w:rsidR="00B5783E" w:rsidRPr="00AC3820">
        <w:rPr>
          <w:rStyle w:val="CommentReference"/>
          <w:color w:val="000000" w:themeColor="text1"/>
          <w:sz w:val="24"/>
          <w:szCs w:val="26"/>
        </w:rPr>
        <w:commentReference w:id="32"/>
      </w:r>
      <w:commentRangeEnd w:id="33"/>
      <w:r w:rsidR="00B5783E" w:rsidRPr="00AC3820">
        <w:rPr>
          <w:rStyle w:val="CommentReference"/>
          <w:color w:val="000000" w:themeColor="text1"/>
          <w:sz w:val="24"/>
          <w:szCs w:val="26"/>
        </w:rPr>
        <w:commentReference w:id="33"/>
      </w:r>
    </w:p>
    <w:p w14:paraId="1BDC5181" w14:textId="77777777" w:rsidR="00AC0630" w:rsidRDefault="00AC0630" w:rsidP="00AC0630">
      <w:pPr>
        <w:pStyle w:val="Body"/>
        <w:rPr>
          <w:i/>
          <w:iCs/>
          <w:color w:val="000000" w:themeColor="text1"/>
        </w:rPr>
      </w:pPr>
      <w:r w:rsidRPr="00AC3820">
        <w:rPr>
          <w:i/>
          <w:iCs/>
          <w:color w:val="000000" w:themeColor="text1"/>
        </w:rPr>
        <w:t>Provide a logical step-by-step data collection process as it aligns with the methodological approach. Suggest</w:t>
      </w:r>
      <w:r w:rsidR="007C0764" w:rsidRPr="00AC3820">
        <w:rPr>
          <w:i/>
          <w:iCs/>
          <w:color w:val="000000" w:themeColor="text1"/>
        </w:rPr>
        <w:t>ed</w:t>
      </w:r>
      <w:r w:rsidRPr="00AC3820">
        <w:rPr>
          <w:i/>
          <w:iCs/>
          <w:color w:val="000000" w:themeColor="text1"/>
        </w:rPr>
        <w:t xml:space="preserve"> length 3-4 paragraphs.</w:t>
      </w:r>
    </w:p>
    <w:p w14:paraId="10A00206" w14:textId="77777777" w:rsidR="00123D5B" w:rsidRDefault="00123D5B" w:rsidP="00123D5B">
      <w:pPr>
        <w:pStyle w:val="NormalWeb"/>
        <w:ind w:firstLine="720"/>
      </w:pPr>
      <w:r>
        <w:t>Following institutional approval, the researcher will finalize the researcher-developed, semi-structured interview protocol, consent form, screening instrument, and artifact-request procedures. The protocol will be reviewed through expert feedback and pilot testing with two or three individuals who meet the general professional profile but will not participate in the study. Pilot feedback will assess question clarity, neutrality, construct coverage, sequencing, and the usefulness of follow-up probes. Revisions will ensure that the questions remain aligned with the generic qualitative inquiry design and the study’s conceptual chain: stakeholder salience, decision rights, escalation pathways, assurance evidence, and recoverability assurance (Caelli et al., 2003; Merriam &amp; Tisdell, 2016).</w:t>
      </w:r>
    </w:p>
    <w:p w14:paraId="657A5604" w14:textId="77777777" w:rsidR="00123D5B" w:rsidRDefault="00123D5B" w:rsidP="00123D5B">
      <w:pPr>
        <w:pStyle w:val="pdq2pgselectionanchorcontainer"/>
        <w:ind w:firstLine="720"/>
      </w:pPr>
      <w:r>
        <w:t>Critical-incident prompts will be used to encourage participants to describe a specific disruption, failover, recovery test, or restoration event. Follow-up probes will examine what occurred, who made or influenced decisions, how competing stakeholder demands were prioritized, when escalation occurred, and what evidence was accepted as proof of recovery. Participants may also be invited to describe or provide appropriately redacted artifacts, including responsibility-assignment matrices, disaster-recovery plans, incident-command charts, delegation-of-authority policies, failover-authorization records, and risk-acceptance forms. These artifacts will be treated as contextual evidence that may corroborate, qualify, or contradict participant accounts; they will not be treated automatically as proof that documented procedures were enacted.</w:t>
      </w:r>
    </w:p>
    <w:p w14:paraId="2142B1A2" w14:textId="79FA69F0" w:rsidR="00123D5B" w:rsidRDefault="00123D5B" w:rsidP="00123D5B">
      <w:pPr>
        <w:pStyle w:val="NormalWeb"/>
        <w:ind w:firstLine="720"/>
      </w:pPr>
      <w:r>
        <w:t>After each interview, the recording will be transcribed, checked against the audio, de-identified, and assigned a participant code. The researcher will prepare field notes and reflexive memos documenting interview context, emerging interpretations, uncertainties, and possible contradictions. Participants may be contacted for clarification of materially ambiguous statements or summary points, without requiring them to approve the researcher’s final interpretation. Verified transcripts, field notes, artifact records, and audit-trail documentation will then be imported into Delve for organization and retrieval during hybrid deductive–inductive codebook thematic analysis. Delve will support data management and coding; the analytic method will remain thematic analysis guided by the study’s research question and conceptual framework (Braun &amp; Clarke, 20</w:t>
      </w:r>
      <w:r w:rsidR="00CC218E">
        <w:t>19</w:t>
      </w:r>
      <w:r>
        <w:t>; Saldaña, 2021).</w:t>
      </w:r>
    </w:p>
    <w:p w14:paraId="6F264FC1" w14:textId="77777777" w:rsidR="00123D5B" w:rsidRPr="00123D5B" w:rsidRDefault="00123D5B" w:rsidP="00AC0630">
      <w:pPr>
        <w:pStyle w:val="Body"/>
        <w:rPr>
          <w:color w:val="000000" w:themeColor="text1"/>
        </w:rPr>
      </w:pPr>
    </w:p>
    <w:p w14:paraId="6E2F77F6" w14:textId="77777777" w:rsidR="00AC0630" w:rsidRPr="00AC3820" w:rsidRDefault="00AC0630" w:rsidP="00BF5ECF">
      <w:pPr>
        <w:pStyle w:val="Heading5"/>
        <w:rPr>
          <w:color w:val="000000" w:themeColor="text1"/>
        </w:rPr>
      </w:pPr>
      <w:r w:rsidRPr="00AC3820">
        <w:rPr>
          <w:color w:val="000000" w:themeColor="text1"/>
        </w:rPr>
        <w:t>Ethical Considerations</w:t>
      </w:r>
    </w:p>
    <w:p w14:paraId="2E19F7C1" w14:textId="77777777" w:rsidR="00BF5ECF" w:rsidRPr="00AC3820" w:rsidRDefault="00AC0630" w:rsidP="00AC0630">
      <w:pPr>
        <w:pStyle w:val="Body"/>
        <w:rPr>
          <w:i/>
          <w:iCs/>
          <w:color w:val="000000" w:themeColor="text1"/>
        </w:rPr>
      </w:pPr>
      <w:r w:rsidRPr="00AC3820">
        <w:rPr>
          <w:i/>
          <w:iCs/>
          <w:color w:val="000000" w:themeColor="text1"/>
        </w:rPr>
        <w:t xml:space="preserve">Identify potential ethical issues and provide </w:t>
      </w:r>
      <w:r w:rsidR="00BF5ECF" w:rsidRPr="00AC3820">
        <w:rPr>
          <w:i/>
          <w:iCs/>
          <w:color w:val="000000" w:themeColor="text1"/>
        </w:rPr>
        <w:t xml:space="preserve">a proposed plan to adhere to strict ethical standards. Include details regarding privacy, confidentiality, and data security procedures and concerns. Suggested length </w:t>
      </w:r>
      <w:r w:rsidR="00BF5ECF" w:rsidRPr="00DE29C6">
        <w:rPr>
          <w:i/>
          <w:iCs/>
          <w:color w:val="000000" w:themeColor="text1"/>
          <w:highlight w:val="yellow"/>
        </w:rPr>
        <w:t>1-2 paragraphs</w:t>
      </w:r>
      <w:r w:rsidR="00BF5ECF" w:rsidRPr="00AC3820">
        <w:rPr>
          <w:i/>
          <w:iCs/>
          <w:color w:val="000000" w:themeColor="text1"/>
        </w:rPr>
        <w:t>.</w:t>
      </w:r>
    </w:p>
    <w:p w14:paraId="4AA00DCC" w14:textId="72E196D5" w:rsidR="004B3856" w:rsidRDefault="004B3856" w:rsidP="004B3856">
      <w:pPr>
        <w:pStyle w:val="ui-markdownparagraph"/>
        <w:ind w:firstLine="720"/>
      </w:pPr>
      <w:r w:rsidRPr="004B3856">
        <w:rPr>
          <w:highlight w:val="yellow"/>
        </w:rPr>
        <w:t xml:space="preserve">Ethics is a guiding principle in qualitative research. It shapes study design, the process of discovery, and the significance of the findings, and it requires the researcher to weigh the human </w:t>
      </w:r>
      <w:r w:rsidRPr="004B3856">
        <w:rPr>
          <w:highlight w:val="yellow"/>
        </w:rPr>
        <w:lastRenderedPageBreak/>
        <w:t>cost of inquiry (Miteu, 2024). This generic qualitative inquiry will utilize U.S. small and medium-sized enterprise (SME) IT, network, systems, infrastructure, or operations managers in firms of 10 to 200 personnel. In that setting, ethical risk is concentrated: a named recovery event, a role title, and a platform type can re-identify a person or firm more easily than in a large enterprise. The study will therefore treat data management, respect for persons, honesty and integrity, and responsible dissemination as operational requirements, not as a checklist (Miteu, 2024). The researcher will not begin identification, screening, or scheduling until the Capella University Institutional Review Board has granted written approval. The design follows the Belmont Report’s principles of respect for persons, beneficence, and justice (National Commission for the Protection of Human Subjects of Biomedical and Behavioral Research, 1979; Office for Human Research Protections, 2024). Respect for persons will be enacted through voluntary participation, signed electronic consent, a recorded permission-to-record check, and the right to skip any question or stop at any time without penalty. Beneficence will be enacted by treating SME organizational disclosure as both a compliance issue and a Gap-data threat: the researcher will not recruit through a supervisor, owner, employer command chain, or vendor account manager; artifact sharing will remain optional; identifiers will be stripped to P##, role only, SME-</w:t>
      </w:r>
      <w:r w:rsidRPr="004B3856">
        <w:rPr>
          <w:highlight w:val="yellow"/>
        </w:rPr>
        <w:t>X</w:t>
      </w:r>
      <w:r w:rsidRPr="004B3856">
        <w:rPr>
          <w:highlight w:val="yellow"/>
        </w:rPr>
        <w:t>, and Platform-</w:t>
      </w:r>
      <w:r w:rsidRPr="004B3856">
        <w:rPr>
          <w:highlight w:val="yellow"/>
        </w:rPr>
        <w:t>X</w:t>
      </w:r>
      <w:r w:rsidRPr="004B3856">
        <w:rPr>
          <w:highlight w:val="yellow"/>
        </w:rPr>
        <w:t>; and member checking will be a seven-day factual review of sequence, roles, and artifact type so contested recovery decisions are not edited out. Justice will be enacted by placing the research burden on operational U.S. SME managers who can name a qualifying event, and by excluding vendor-only staff and command-visible recruitment paths</w:t>
      </w:r>
      <w:r>
        <w:t>.</w:t>
      </w:r>
    </w:p>
    <w:p w14:paraId="793E2971" w14:textId="018AA65B" w:rsidR="004B3856" w:rsidRDefault="004B3856" w:rsidP="004B3856">
      <w:pPr>
        <w:pStyle w:val="ui-markdownparagraph"/>
        <w:ind w:firstLine="720"/>
      </w:pPr>
      <w:r w:rsidRPr="004B3856">
        <w:rPr>
          <w:highlight w:val="yellow"/>
        </w:rPr>
        <w:t>Honesty and integrity will govern collection, storage, analysis, reporting, and any later Q&amp;A about the study (Miteu, 2024). Recordings, RAW notes, and identifiable artifacts will be stored in an encrypted, password-protected directory separate from CLEAN transcripts and the Delve audit nest. The researcher will not continue a session from memory if recording fails, will not invent artifact contents a manager did not state, and will not claim that Delve</w:t>
      </w:r>
      <w:r w:rsidR="00123D5B">
        <w:rPr>
          <w:highlight w:val="yellow"/>
        </w:rPr>
        <w:t>tool</w:t>
      </w:r>
      <w:r w:rsidRPr="004B3856">
        <w:rPr>
          <w:highlight w:val="yellow"/>
        </w:rPr>
        <w:t xml:space="preserve"> performed the analysis. Findings and will be disseminated as de-identified patterned accounts of named U.S. SME recovery events, without employer, owner, vendor, or product names, so the study can report how managers enacted whose claim counted, who decided, and what counted as enough proof without exposing the participant or the firm.</w:t>
      </w:r>
    </w:p>
    <w:p w14:paraId="4EED5544" w14:textId="77777777" w:rsidR="00BF5ECF" w:rsidRPr="00AC3820" w:rsidRDefault="00BF5ECF" w:rsidP="00BF5ECF">
      <w:pPr>
        <w:pStyle w:val="Heading2"/>
        <w:rPr>
          <w:color w:val="000000" w:themeColor="text1"/>
        </w:rPr>
      </w:pPr>
      <w:r w:rsidRPr="00AC3820">
        <w:rPr>
          <w:color w:val="000000" w:themeColor="text1"/>
        </w:rPr>
        <w:t>Proposed Data Analysis Plan</w:t>
      </w:r>
    </w:p>
    <w:p w14:paraId="01ECF789" w14:textId="77777777" w:rsidR="00AC0630" w:rsidRPr="00AC3820" w:rsidRDefault="00BF5ECF" w:rsidP="00891FB6">
      <w:pPr>
        <w:pStyle w:val="Body"/>
        <w:shd w:val="clear" w:color="auto" w:fill="E7E6E6"/>
        <w:rPr>
          <w:color w:val="000000" w:themeColor="text1"/>
        </w:rPr>
      </w:pPr>
      <w:r w:rsidRPr="00AC3820">
        <w:rPr>
          <w:i/>
          <w:iCs/>
          <w:color w:val="000000" w:themeColor="text1"/>
        </w:rPr>
        <w:t xml:space="preserve">Articulate data analysis techniques appropriate to project framework. </w:t>
      </w:r>
      <w:r w:rsidRPr="00AC3820">
        <w:rPr>
          <w:color w:val="000000" w:themeColor="text1"/>
        </w:rPr>
        <w:t xml:space="preserve"> </w:t>
      </w:r>
    </w:p>
    <w:p w14:paraId="7AE0F079" w14:textId="77777777" w:rsidR="00AC0630" w:rsidRPr="00AC3820" w:rsidRDefault="00AC0630" w:rsidP="00AC0630">
      <w:pPr>
        <w:pStyle w:val="Body"/>
        <w:rPr>
          <w:i/>
          <w:iCs/>
          <w:color w:val="000000" w:themeColor="text1"/>
        </w:rPr>
      </w:pPr>
      <w:r w:rsidRPr="00AC3820">
        <w:rPr>
          <w:i/>
          <w:iCs/>
          <w:color w:val="000000" w:themeColor="text1"/>
        </w:rPr>
        <w:t xml:space="preserve"> </w:t>
      </w:r>
    </w:p>
    <w:p w14:paraId="22764A85" w14:textId="77777777" w:rsidR="00AC0630" w:rsidRDefault="00BF5ECF" w:rsidP="00BF5ECF">
      <w:pPr>
        <w:pStyle w:val="Body"/>
        <w:rPr>
          <w:i/>
          <w:iCs/>
          <w:color w:val="000000" w:themeColor="text1"/>
        </w:rPr>
      </w:pPr>
      <w:r w:rsidRPr="00AC3820">
        <w:rPr>
          <w:i/>
          <w:iCs/>
          <w:color w:val="000000" w:themeColor="text1"/>
        </w:rPr>
        <w:t>Present a plan to analyze and present data with techniques that are appropriate to the project, framework, data sources, and sample size. Suggest</w:t>
      </w:r>
      <w:r w:rsidR="007C0764" w:rsidRPr="00AC3820">
        <w:rPr>
          <w:i/>
          <w:iCs/>
          <w:color w:val="000000" w:themeColor="text1"/>
        </w:rPr>
        <w:t>ed</w:t>
      </w:r>
      <w:r w:rsidRPr="00AC3820">
        <w:rPr>
          <w:i/>
          <w:iCs/>
          <w:color w:val="000000" w:themeColor="text1"/>
        </w:rPr>
        <w:t xml:space="preserve"> length 3-4 paragraphs.</w:t>
      </w:r>
    </w:p>
    <w:p w14:paraId="496EE48A" w14:textId="77777777" w:rsidR="00FB5178" w:rsidRDefault="00FB5178" w:rsidP="00BF5ECF">
      <w:pPr>
        <w:pStyle w:val="Body"/>
        <w:rPr>
          <w:i/>
          <w:iCs/>
          <w:color w:val="000000" w:themeColor="text1"/>
        </w:rPr>
      </w:pPr>
    </w:p>
    <w:p w14:paraId="00BCC010" w14:textId="77777777" w:rsidR="00320DC6" w:rsidRDefault="00320DC6" w:rsidP="00320DC6">
      <w:pPr>
        <w:pStyle w:val="ui-markdownparagraph"/>
      </w:pPr>
      <w:r>
        <w:t>The researcher will analyze de-identified critical-incident interviews and optional artifact maps from the locked sample of 12 U.S. SME IT, network, systems, infrastructure, or operations managers using hybrid deductive–inductive codebook thematic analysis within a generic qualitative inquiry (</w:t>
      </w:r>
      <w:r w:rsidRPr="00320DC6">
        <w:rPr>
          <w:highlight w:val="cyan"/>
        </w:rPr>
        <w:t>Caelli et al., 2003</w:t>
      </w:r>
      <w:r>
        <w:t xml:space="preserve">; </w:t>
      </w:r>
      <w:r w:rsidRPr="00320DC6">
        <w:rPr>
          <w:highlight w:val="cyan"/>
        </w:rPr>
        <w:t>Fereday &amp; Muir-Cochr</w:t>
      </w:r>
      <w:r>
        <w:t xml:space="preserve">ane, 2006; </w:t>
      </w:r>
      <w:r w:rsidRPr="00320DC6">
        <w:rPr>
          <w:highlight w:val="cyan"/>
        </w:rPr>
        <w:t>Kahlke, 2014</w:t>
      </w:r>
      <w:r>
        <w:t xml:space="preserve">; Percy et al., 2015). Before coding, the researcher will complete a scope register that records the purpose, implied project questions, framework role, eligibility rules, participant count, source count, and required deliverables, and will keep three work areas separate: preserved RAW recordings, CLEAN analytic files, and presentation outputs (Walker, 2026a). Each interview and each </w:t>
      </w:r>
      <w:r>
        <w:lastRenderedPageBreak/>
        <w:t>participant will receive a stable identifier that will not change when records are sorted. The researcher will produce a verbatim transcript, strip person, firm, vendor, and product names, complete a seven-day factual member check of sequence, roles, and artifact type, and read each CLEAN transcript and artifact map in full before formal coding, writing a familiarization and 24-hour reflexive memo that remains separate from participant data (Lincoln &amp; Guba, 1985; Poland, 2002). Delve will store CLEAN transcripts, the versioned codebook, memos, and snippet URLs. Delve will not perform the analysis (Delve, Ho, &amp; Limpaecher, n.d.).</w:t>
      </w:r>
    </w:p>
    <w:p w14:paraId="6420E965" w14:textId="128CC29D" w:rsidR="00320DC6" w:rsidRDefault="00320DC6" w:rsidP="00320DC6">
      <w:pPr>
        <w:pStyle w:val="ui-markdownparagraph"/>
      </w:pPr>
      <w:r>
        <w:t>Second, the researcher will import the nested start-list of STRUCTURAL, FRAMEWORK_DEDUCTIVE, and BOUNDARY codes and create one excerpt record for each bounded passage that requires analysis, attaching its source locator, speaker, incident context, and provisional code (Fereday &amp; Muir-Cochrane, 2006; Haan &amp; Venema, 2025). A passage may receive more than one code when it conveys distinct ideas. Power, legitimacy, and urgency will function as sensitizing probes, not predetermined theme titles (Mitchell et al., 1997). Decision rights, escalation, evidentiary standards, and recoverability assurance will be coded as enactment evidence, not as a fourth salience attribute. Each code definition will state its meaning, inclusion criteria, exclusion criteria, and a source-linked example; uncertain assignments will be flagged for review. EMERGENT child codes will remain empty until meaning units are locked (</w:t>
      </w:r>
      <w:r w:rsidR="00CC218E" w:rsidRPr="00CC218E">
        <w:rPr>
          <w:highlight w:val="cyan"/>
        </w:rPr>
        <w:t>Braun</w:t>
      </w:r>
      <w:r w:rsidR="00CC218E" w:rsidRPr="00CC218E">
        <w:rPr>
          <w:highlight w:val="cyan"/>
        </w:rPr>
        <w:t xml:space="preserve"> </w:t>
      </w:r>
      <w:r w:rsidR="00CC218E" w:rsidRPr="00CC218E">
        <w:rPr>
          <w:highlight w:val="cyan"/>
        </w:rPr>
        <w:t>&amp; Clarke,</w:t>
      </w:r>
      <w:r w:rsidR="00CC218E" w:rsidRPr="00CC218E">
        <w:rPr>
          <w:highlight w:val="cyan"/>
        </w:rPr>
        <w:t xml:space="preserve"> 2</w:t>
      </w:r>
      <w:r w:rsidR="00CC218E" w:rsidRPr="00CC218E">
        <w:rPr>
          <w:highlight w:val="cyan"/>
        </w:rPr>
        <w:t>0</w:t>
      </w:r>
      <w:r w:rsidR="00CC218E">
        <w:t>19;</w:t>
      </w:r>
      <w:r>
        <w:t xml:space="preserve"> Taylor &amp; Bogdan, 1998). Coding changes will be recorded with the date, reason, and affected records. Spreadsheet lookup and Delve retrieval may support these records; interpretive approval will remain with the researcher (Haan &amp; Venema, 2025).</w:t>
      </w:r>
    </w:p>
    <w:p w14:paraId="5DA6C1C0" w14:textId="0DC34B4D" w:rsidR="00320DC6" w:rsidRDefault="00320DC6" w:rsidP="00320DC6">
      <w:pPr>
        <w:pStyle w:val="ui-markdownparagraph"/>
      </w:pPr>
      <w:r>
        <w:t xml:space="preserve">Third, the researcher will lock meaning units that state a practice claim before any theme name is written, confirm each unit with a named excerpt and a negative or boundary case, and group related units only when they describe the same salience-to-assurance bargain rather than the same recovery topic (Braun &amp; </w:t>
      </w:r>
      <w:r w:rsidRPr="00CC218E">
        <w:rPr>
          <w:highlight w:val="cyan"/>
        </w:rPr>
        <w:t>Clarke, 20</w:t>
      </w:r>
      <w:r w:rsidR="00CC218E" w:rsidRPr="00CC218E">
        <w:rPr>
          <w:highlight w:val="cyan"/>
        </w:rPr>
        <w:t>19</w:t>
      </w:r>
      <w:r w:rsidRPr="00CC218E">
        <w:rPr>
          <w:highlight w:val="cyan"/>
        </w:rPr>
        <w:t>;</w:t>
      </w:r>
      <w:r>
        <w:t xml:space="preserve"> Taylor &amp; Bogdan, 1998; Walker, 2026b). For every proposed theme, the researcher will record its central claim, contributing categories, representative excerpts, exceptions, and research-question relevance, then return to the original passages to inspect context. Candidate categories may be retained, revised, split, combined, or rejected, with earlier versions preserved. This is iterative interpretive work, not an automatic promotion of frequently used labels into themes, and it is not reflexive thematic analysis as the analytic method (</w:t>
      </w:r>
      <w:r w:rsidRPr="00CC218E">
        <w:rPr>
          <w:highlight w:val="cyan"/>
        </w:rPr>
        <w:t>Braun &amp; Clarke, 20</w:t>
      </w:r>
      <w:r w:rsidR="00CC218E" w:rsidRPr="00CC218E">
        <w:rPr>
          <w:highlight w:val="cyan"/>
        </w:rPr>
        <w:t>19</w:t>
      </w:r>
      <w:r>
        <w:t>; Fereday &amp; Muir-Cochrane, 2006). The locked n = 12 will be reported as the planned participant count, not as proof of saturation; adequacy will be assessed through richness, relevant variation, question coverage, and whether later interviews still change the meaning-unit inventory (</w:t>
      </w:r>
      <w:r w:rsidRPr="00CC218E">
        <w:rPr>
          <w:highlight w:val="cyan"/>
        </w:rPr>
        <w:t>Malterud</w:t>
      </w:r>
      <w:r>
        <w:t xml:space="preserve"> et al., 2016; </w:t>
      </w:r>
      <w:r w:rsidRPr="00CC218E">
        <w:rPr>
          <w:highlight w:val="cyan"/>
        </w:rPr>
        <w:t>Naeem et a</w:t>
      </w:r>
      <w:r>
        <w:t>l., 2024).</w:t>
      </w:r>
    </w:p>
    <w:p w14:paraId="6163C3EE" w14:textId="77777777" w:rsidR="00320DC6" w:rsidRDefault="00320DC6" w:rsidP="00320DC6">
      <w:pPr>
        <w:pStyle w:val="ui-markdownparagraph"/>
      </w:pPr>
      <w:r>
        <w:t xml:space="preserve">Fourth, the researcher will write two separate syntheses from the reviewed theme records: one for stakeholder-claim management and salience shifts, and one for decision rights, escalation, and recoverability assurance (Lester et al., 2020; Percy et al., 2015). Presentation will include a meaning-unit evidence table, a theme-to-question map, and a narrative that pairs each interpretive claim with source-verified excerpts and relevant boundary cases, including Path B verbal reconstructions and Path C “no reviewable artifact named” rows. Every published quotation, participant label, source locator, and thematic claim will receive a source check; table titles and theme names will be compared with the narrative. Participant counts, excerpt counts, and source counts will remain separate. The researcher will close the revision log, record unresolved gaps, and release a dated version of the report, codebook, and CSV nest (Carcary, </w:t>
      </w:r>
      <w:r>
        <w:lastRenderedPageBreak/>
        <w:t>2020). Clerical software and retrieval aids will not replace researcher interpretation; every quotation and thematic claim will remain grounded in the CLEAN transcript and the dated audit trail (Nowell et al., 2017). Findings will distinguish managers’ reported interpretations from independently documented actions and will not claim statistical generalization.</w:t>
      </w:r>
    </w:p>
    <w:p w14:paraId="140E42C7" w14:textId="77777777" w:rsidR="00FB5178" w:rsidRPr="00FB5178" w:rsidRDefault="00FB5178" w:rsidP="00BF5ECF">
      <w:pPr>
        <w:pStyle w:val="Body"/>
        <w:rPr>
          <w:color w:val="000000" w:themeColor="text1"/>
        </w:rPr>
      </w:pPr>
    </w:p>
    <w:p w14:paraId="2F15A4C3" w14:textId="77777777" w:rsidR="00BF5ECF" w:rsidRPr="00AC3820" w:rsidRDefault="00BF5ECF" w:rsidP="00BF5ECF">
      <w:pPr>
        <w:pStyle w:val="Body"/>
        <w:rPr>
          <w:i/>
          <w:iCs/>
          <w:color w:val="000000" w:themeColor="text1"/>
        </w:rPr>
      </w:pPr>
    </w:p>
    <w:p w14:paraId="6C5E9B83" w14:textId="77777777" w:rsidR="00BF5ECF" w:rsidRPr="00AC3820" w:rsidRDefault="00BF5ECF" w:rsidP="00BF5ECF">
      <w:pPr>
        <w:pStyle w:val="Body"/>
        <w:rPr>
          <w:i/>
          <w:iCs/>
          <w:color w:val="000000" w:themeColor="text1"/>
        </w:rPr>
      </w:pPr>
    </w:p>
    <w:p w14:paraId="0480E628" w14:textId="77777777" w:rsidR="00BF5ECF" w:rsidRPr="00AC3820" w:rsidRDefault="005C07EF" w:rsidP="00BF5ECF">
      <w:pPr>
        <w:pStyle w:val="Heading5"/>
        <w:rPr>
          <w:color w:val="000000" w:themeColor="text1"/>
        </w:rPr>
      </w:pPr>
      <w:r w:rsidRPr="00AC3820">
        <w:rPr>
          <w:color w:val="000000" w:themeColor="text1"/>
        </w:rPr>
        <w:br w:type="page"/>
      </w:r>
      <w:commentRangeStart w:id="34"/>
      <w:commentRangeStart w:id="35"/>
      <w:r w:rsidR="00BF5ECF" w:rsidRPr="00AC3820">
        <w:rPr>
          <w:rFonts w:cs="Arial"/>
          <w:iCs w:val="0"/>
          <w:color w:val="000000" w:themeColor="text1"/>
          <w:sz w:val="32"/>
          <w:szCs w:val="32"/>
        </w:rPr>
        <w:lastRenderedPageBreak/>
        <w:t>References</w:t>
      </w:r>
      <w:commentRangeEnd w:id="34"/>
      <w:r w:rsidR="00D26D7D" w:rsidRPr="00AC3820">
        <w:rPr>
          <w:rStyle w:val="CommentReference"/>
          <w:color w:val="000000" w:themeColor="text1"/>
          <w:sz w:val="24"/>
          <w:szCs w:val="26"/>
        </w:rPr>
        <w:commentReference w:id="34"/>
      </w:r>
      <w:commentRangeEnd w:id="35"/>
      <w:r w:rsidR="000C2D96" w:rsidRPr="00AC3820">
        <w:rPr>
          <w:rStyle w:val="CommentReference"/>
          <w:color w:val="000000" w:themeColor="text1"/>
          <w:sz w:val="24"/>
          <w:szCs w:val="26"/>
        </w:rPr>
        <w:commentReference w:id="35"/>
      </w:r>
    </w:p>
    <w:p w14:paraId="600A3FDB" w14:textId="77777777" w:rsidR="00BF5ECF" w:rsidRPr="00AC3820" w:rsidRDefault="00BF5ECF" w:rsidP="00BF5ECF">
      <w:pPr>
        <w:pStyle w:val="Body"/>
        <w:rPr>
          <w:i/>
          <w:iCs/>
          <w:color w:val="000000" w:themeColor="text1"/>
        </w:rPr>
      </w:pPr>
      <w:r w:rsidRPr="00AC3820">
        <w:rPr>
          <w:i/>
          <w:iCs/>
          <w:color w:val="000000" w:themeColor="text1"/>
        </w:rPr>
        <w:t xml:space="preserve">APA formatted reference section that includes a reference for each citation used in text. </w:t>
      </w:r>
    </w:p>
    <w:p w14:paraId="04409EA9" w14:textId="77777777" w:rsidR="006106AF" w:rsidRPr="00AC3820" w:rsidRDefault="006106AF" w:rsidP="006106AF">
      <w:pPr>
        <w:pStyle w:val="Body"/>
        <w:rPr>
          <w:color w:val="000000" w:themeColor="text1"/>
        </w:rPr>
      </w:pPr>
    </w:p>
    <w:p w14:paraId="3E1374A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Ampel, B. M., Samtani, S., Zhu, H., Chen, H., &amp; Nunamaker, J. F., Jr. (2024). Improving threat mitigation through a cybersecurity risk management framework: A computational design science approach. Journal of Management Information Systems, 41(1), 236–265. </w:t>
      </w:r>
      <w:hyperlink r:id="rId15" w:history="1">
        <w:r w:rsidRPr="00AC3820">
          <w:rPr>
            <w:rStyle w:val="Hyperlink"/>
            <w:color w:val="000000" w:themeColor="text1"/>
          </w:rPr>
          <w:t>https://www.researchgate.net/publication/378330555_Improving_Threat_Mitigation_Through_a_Cybersecurity_Risk_Management_Framework_A_Computational_Design_Science_Approach</w:t>
        </w:r>
      </w:hyperlink>
    </w:p>
    <w:p w14:paraId="0B6F6B3D" w14:textId="77777777" w:rsidR="0089165D" w:rsidRPr="00AC3820" w:rsidRDefault="0089165D" w:rsidP="0089165D">
      <w:pPr>
        <w:spacing w:line="480" w:lineRule="auto"/>
        <w:ind w:left="630" w:hanging="630"/>
        <w:rPr>
          <w:color w:val="000000" w:themeColor="text1"/>
        </w:rPr>
      </w:pPr>
      <w:r w:rsidRPr="00AC3820">
        <w:rPr>
          <w:color w:val="000000" w:themeColor="text1"/>
        </w:rPr>
        <w:t>Agle, B. R., Mitchell, R. K., &amp; Sonnenfeld, J. A. (1999). Who matters to Ceos? An investigation of stakeholder attributes and salience, corpate performance, and Ceo values. Academy of management journal, 42(5), 507-525.</w:t>
      </w:r>
    </w:p>
    <w:p w14:paraId="28B03BC0" w14:textId="77777777" w:rsidR="0028214A" w:rsidRDefault="0089165D" w:rsidP="0028214A">
      <w:pPr>
        <w:spacing w:line="480" w:lineRule="auto"/>
        <w:ind w:left="630" w:hanging="630"/>
      </w:pPr>
      <w:r w:rsidRPr="00AC3820">
        <w:rPr>
          <w:color w:val="000000" w:themeColor="text1"/>
        </w:rPr>
        <w:t xml:space="preserve">Agle, B. R., Donaldson, T., Freeman, R. E., Jensen, M. C., Mitchell, R. K., &amp; Wood, D. J. (2008). Dialogue: Toward superior stakeholder theory. Business Ethics Quarterly, 18(2), 153-190. </w:t>
      </w:r>
      <w:hyperlink r:id="rId16" w:tgtFrame="_blank" w:history="1">
        <w:r w:rsidRPr="00AC3820">
          <w:rPr>
            <w:rStyle w:val="Hyperlink"/>
            <w:color w:val="000000" w:themeColor="text1"/>
          </w:rPr>
          <w:t>https://doi.org/10.5840/beq200818214</w:t>
        </w:r>
      </w:hyperlink>
    </w:p>
    <w:p w14:paraId="375D435E" w14:textId="77777777" w:rsidR="0028214A" w:rsidRDefault="0028214A" w:rsidP="0028214A">
      <w:pPr>
        <w:spacing w:line="480" w:lineRule="auto"/>
        <w:ind w:left="630" w:hanging="630"/>
      </w:pPr>
      <w:r w:rsidRPr="0028214A">
        <w:rPr>
          <w:highlight w:val="yellow"/>
        </w:rPr>
        <w:t>Braun, V., &amp; Clarke, V. (2019). Reflecting</w:t>
      </w:r>
      <w:r>
        <w:t xml:space="preserve"> on reflexive thematic analysis. </w:t>
      </w:r>
      <w:r>
        <w:rPr>
          <w:i/>
          <w:iCs/>
        </w:rPr>
        <w:t>Qualitative Research in Sport, Exercise and Health</w:t>
      </w:r>
      <w:r>
        <w:t xml:space="preserve">, </w:t>
      </w:r>
      <w:r>
        <w:rPr>
          <w:i/>
          <w:iCs/>
        </w:rPr>
        <w:t>11</w:t>
      </w:r>
      <w:r>
        <w:t xml:space="preserve">(4), 589–597. </w:t>
      </w:r>
      <w:hyperlink r:id="rId17" w:history="1">
        <w:r w:rsidRPr="00DF654B">
          <w:rPr>
            <w:rStyle w:val="Hyperlink"/>
          </w:rPr>
          <w:t>https://doi.org/</w:t>
        </w:r>
        <w:r w:rsidRPr="00DF654B">
          <w:rPr>
            <w:rStyle w:val="Hyperlink"/>
          </w:rPr>
          <w:t>1</w:t>
        </w:r>
        <w:r w:rsidRPr="00DF654B">
          <w:rPr>
            <w:rStyle w:val="Hyperlink"/>
          </w:rPr>
          <w:t>0.1080/2159676X.2019.1628806</w:t>
        </w:r>
      </w:hyperlink>
    </w:p>
    <w:p w14:paraId="406A290B" w14:textId="0B9A3E86" w:rsidR="0089165D" w:rsidRPr="00320DC6" w:rsidRDefault="0089165D" w:rsidP="0028214A">
      <w:pPr>
        <w:spacing w:line="480" w:lineRule="auto"/>
        <w:ind w:left="630" w:hanging="630"/>
        <w:rPr>
          <w:highlight w:val="cyan"/>
        </w:rPr>
      </w:pPr>
      <w:r w:rsidRPr="00AC3820">
        <w:rPr>
          <w:color w:val="000000" w:themeColor="text1"/>
        </w:rPr>
        <w:t>Brinkmann, S., &amp; Kvale, S. (2017). Ethics in qualitative psychological research. The Sage handbook of qua</w:t>
      </w:r>
      <w:r w:rsidRPr="00320DC6">
        <w:rPr>
          <w:color w:val="000000" w:themeColor="text1"/>
          <w:highlight w:val="cyan"/>
        </w:rPr>
        <w:t>litative research in psychology, 2, 259-273.</w:t>
      </w:r>
    </w:p>
    <w:p w14:paraId="5E5C38A4" w14:textId="77777777" w:rsidR="00320DC6" w:rsidRDefault="0089165D" w:rsidP="0089165D">
      <w:pPr>
        <w:spacing w:line="480" w:lineRule="auto"/>
        <w:ind w:left="630" w:hanging="630"/>
      </w:pPr>
      <w:r w:rsidRPr="00320DC6">
        <w:rPr>
          <w:color w:val="000000" w:themeColor="text1"/>
          <w:highlight w:val="cyan"/>
        </w:rPr>
        <w:t>Caelli</w:t>
      </w:r>
      <w:r w:rsidRPr="00AC3820">
        <w:rPr>
          <w:color w:val="000000" w:themeColor="text1"/>
        </w:rPr>
        <w:t xml:space="preserve">, K., Ray, L., &amp; Mill, J. (2003). “Clear as mud”: Toward greater clarity in generic qualitative research. International Journal of Qualitative Methods, 2(2), 1–13. </w:t>
      </w:r>
      <w:hyperlink r:id="rId18" w:tgtFrame="_new" w:history="1">
        <w:r w:rsidRPr="00AC3820">
          <w:rPr>
            <w:rStyle w:val="Hyperlink"/>
            <w:color w:val="000000" w:themeColor="text1"/>
          </w:rPr>
          <w:t>https://doi.org/10.1177/160940690300200201</w:t>
        </w:r>
      </w:hyperlink>
      <w:r w:rsidR="00320DC6">
        <w:t xml:space="preserve"> </w:t>
      </w:r>
    </w:p>
    <w:p w14:paraId="43B56822" w14:textId="40ECFABF" w:rsidR="0089165D" w:rsidRPr="00AC3820" w:rsidRDefault="00320DC6" w:rsidP="0089165D">
      <w:pPr>
        <w:spacing w:line="480" w:lineRule="auto"/>
        <w:ind w:left="630" w:hanging="630"/>
        <w:rPr>
          <w:color w:val="000000" w:themeColor="text1"/>
        </w:rPr>
      </w:pPr>
      <w:r w:rsidRPr="00320DC6">
        <w:rPr>
          <w:highlight w:val="cyan"/>
        </w:rPr>
        <w:lastRenderedPageBreak/>
        <w:t>Carcary, Marian. "The</w:t>
      </w:r>
      <w:r>
        <w:t xml:space="preserve"> research audit trail: Methodological guidance for application in practice." </w:t>
      </w:r>
      <w:r>
        <w:rPr>
          <w:i/>
          <w:iCs/>
        </w:rPr>
        <w:t>Electronic journal of business research methods</w:t>
      </w:r>
      <w:r>
        <w:t xml:space="preserve"> 18, no. 2 (2020): 166-177.</w:t>
      </w:r>
    </w:p>
    <w:p w14:paraId="2168B1B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Cooper, S., &amp; Endacott, R. (2007). Generic qualitative research: A design for qualitative research in emergency care? Emergency Medicine Journal, 24(12), 816–819. </w:t>
      </w:r>
      <w:hyperlink r:id="rId19" w:history="1">
        <w:r w:rsidRPr="00AC3820">
          <w:rPr>
            <w:rStyle w:val="Hyperlink"/>
            <w:color w:val="000000" w:themeColor="text1"/>
          </w:rPr>
          <w:t>https://doi.org/10.1136/emj.2007.050641</w:t>
        </w:r>
      </w:hyperlink>
    </w:p>
    <w:p w14:paraId="4876EA16"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Creswell, J. W., &amp; Miller, D. L. (2000). Determining validity in qualitative inquiry. Theory into Practice, 39(3), 124. https://library.capella.edu/login?url=https://www.proquest.com/scholarly-journals/determining-validity-qualitative-inquiry/docview/218779368/se-2 </w:t>
      </w:r>
    </w:p>
    <w:p w14:paraId="14FF2CB4" w14:textId="1A50B925" w:rsidR="0089165D" w:rsidRPr="00AC3820" w:rsidRDefault="0089165D" w:rsidP="0089165D">
      <w:pPr>
        <w:spacing w:line="480" w:lineRule="auto"/>
        <w:ind w:left="630" w:hanging="630"/>
        <w:rPr>
          <w:color w:val="000000" w:themeColor="text1"/>
        </w:rPr>
      </w:pPr>
      <w:r w:rsidRPr="00AD3765">
        <w:rPr>
          <w:color w:val="000000" w:themeColor="text1"/>
          <w:highlight w:val="cyan"/>
        </w:rPr>
        <w:t xml:space="preserve">Creswell, J. W., &amp; Poth, </w:t>
      </w:r>
      <w:r w:rsidRPr="00AD3765">
        <w:rPr>
          <w:color w:val="000000" w:themeColor="text1"/>
          <w:highlight w:val="green"/>
        </w:rPr>
        <w:t>C. N. (</w:t>
      </w:r>
      <w:r w:rsidR="00AD3765" w:rsidRPr="00AD3765">
        <w:rPr>
          <w:color w:val="000000" w:themeColor="text1"/>
          <w:highlight w:val="green"/>
        </w:rPr>
        <w:t>1998</w:t>
      </w:r>
      <w:r w:rsidRPr="00AD3765">
        <w:rPr>
          <w:color w:val="000000" w:themeColor="text1"/>
          <w:highlight w:val="green"/>
        </w:rPr>
        <w:t>).</w:t>
      </w:r>
      <w:r w:rsidRPr="00AC3820">
        <w:rPr>
          <w:color w:val="000000" w:themeColor="text1"/>
        </w:rPr>
        <w:t xml:space="preserve"> Qualitative inquiry and research design: Choosing among five approaches. Sage publications.</w:t>
      </w:r>
    </w:p>
    <w:p w14:paraId="1C62BFA6" w14:textId="77777777" w:rsidR="0089165D" w:rsidRPr="00AC3820" w:rsidRDefault="0089165D" w:rsidP="0089165D">
      <w:pPr>
        <w:spacing w:line="480" w:lineRule="auto"/>
        <w:ind w:left="630" w:hanging="630"/>
        <w:rPr>
          <w:color w:val="000000" w:themeColor="text1"/>
        </w:rPr>
      </w:pPr>
      <w:r w:rsidRPr="00AC3820">
        <w:rPr>
          <w:color w:val="000000" w:themeColor="text1"/>
        </w:rPr>
        <w:t>Dodgson, J. E. (2023). Phenomenology: Researching the lived experience. Journal of Human</w:t>
      </w:r>
      <w:r w:rsidR="00202E6F" w:rsidRPr="00AC3820">
        <w:rPr>
          <w:color w:val="000000" w:themeColor="text1"/>
        </w:rPr>
        <w:t xml:space="preserve"> Lactation.</w:t>
      </w:r>
      <w:r w:rsidRPr="00AC3820">
        <w:rPr>
          <w:color w:val="000000" w:themeColor="text1"/>
        </w:rPr>
        <w:t xml:space="preserve">  </w:t>
      </w:r>
      <w:hyperlink r:id="rId20" w:history="1">
        <w:r w:rsidRPr="00AC3820">
          <w:rPr>
            <w:rStyle w:val="Hyperlink"/>
            <w:color w:val="000000" w:themeColor="text1"/>
          </w:rPr>
          <w:t>Https://doi.org/10.1177/08903344231176453</w:t>
        </w:r>
      </w:hyperlink>
    </w:p>
    <w:p w14:paraId="135EF702" w14:textId="77777777" w:rsidR="0089165D" w:rsidRPr="00AC3820" w:rsidRDefault="0089165D" w:rsidP="0089165D">
      <w:pPr>
        <w:spacing w:line="480" w:lineRule="auto"/>
        <w:ind w:left="630" w:hanging="630"/>
        <w:rPr>
          <w:color w:val="000000" w:themeColor="text1"/>
        </w:rPr>
      </w:pPr>
      <w:r w:rsidRPr="00AC3820">
        <w:rPr>
          <w:color w:val="000000" w:themeColor="text1"/>
        </w:rPr>
        <w:t>Donaldson, T., &amp; Preston, L. E. (1995). The stakeholder theory of the corporation: Concepts, evidence, and implications. Academy of Management Review, 20(1), 65–91.</w:t>
      </w:r>
    </w:p>
    <w:p w14:paraId="13174C62" w14:textId="77777777" w:rsidR="006C0B44" w:rsidRPr="00AC3820" w:rsidRDefault="0089165D" w:rsidP="006C0B44">
      <w:pPr>
        <w:spacing w:line="480" w:lineRule="auto"/>
        <w:ind w:left="630" w:hanging="630"/>
        <w:rPr>
          <w:color w:val="000000" w:themeColor="text1"/>
        </w:rPr>
      </w:pPr>
      <w:r w:rsidRPr="00AC3820">
        <w:rPr>
          <w:color w:val="000000" w:themeColor="text1"/>
        </w:rPr>
        <w:t xml:space="preserve">Dorobantu, S., Henisz, W. J., &amp; Nartey, L. J. (2024). Firm–Stakeholder dialogue and the media: The evolution of stakeholder evaluations in different informational environments. Academy of Management Journal, 67(1), 92–125. https://doi-org.library.capella.edu/10.5465/amj.2021.0103 </w:t>
      </w:r>
    </w:p>
    <w:p w14:paraId="6DC975CE" w14:textId="5F888305" w:rsidR="006C0B44" w:rsidRPr="00AC3820" w:rsidRDefault="006C0B44" w:rsidP="006C0B44">
      <w:pPr>
        <w:spacing w:line="480" w:lineRule="auto"/>
        <w:ind w:left="630" w:hanging="630"/>
        <w:rPr>
          <w:color w:val="000000" w:themeColor="text1"/>
        </w:rPr>
      </w:pPr>
      <w:r w:rsidRPr="00AC3820">
        <w:rPr>
          <w:color w:val="000000" w:themeColor="text1"/>
        </w:rPr>
        <w:t>Ekinci, Y., Rodrigo, P., Japutra, A., Çifci, S., Tee, M., &amp; Jia, Y. (2025). Assessing small and medium-size enterprise CEOs' attitude towards business growth: the impact of event risk. Journal of Business Economics and Management, 26(3), 533-554. https://doi.org/10.3846/jbem.2025.23519</w:t>
      </w:r>
    </w:p>
    <w:p w14:paraId="79A13593" w14:textId="77777777" w:rsidR="0089165D" w:rsidRPr="00AC3820" w:rsidRDefault="0089165D" w:rsidP="0089165D">
      <w:pPr>
        <w:spacing w:line="480" w:lineRule="auto"/>
        <w:ind w:left="630" w:hanging="630"/>
        <w:rPr>
          <w:color w:val="000000" w:themeColor="text1"/>
        </w:rPr>
      </w:pPr>
      <w:r w:rsidRPr="00C17561">
        <w:rPr>
          <w:color w:val="000000" w:themeColor="text1"/>
          <w:highlight w:val="cyan"/>
        </w:rPr>
        <w:lastRenderedPageBreak/>
        <w:t>Erdiaw-Kwasie, M. O., Alam</w:t>
      </w:r>
      <w:r w:rsidRPr="00AC3820">
        <w:rPr>
          <w:color w:val="000000" w:themeColor="text1"/>
        </w:rPr>
        <w:t xml:space="preserve">, K., &amp; Shahiduzzaman, M. (2017). Towards understanding stakeholder salience transition and relational approach to 'better' corporate social responsibility: A case for a proposed model in practice. Journal of Business Ethics, 144(1), 85–101. </w:t>
      </w:r>
      <w:hyperlink r:id="rId21" w:tgtFrame="_blank" w:history="1">
        <w:r w:rsidRPr="00AC3820">
          <w:rPr>
            <w:rStyle w:val="Hyperlink"/>
            <w:color w:val="000000" w:themeColor="text1"/>
          </w:rPr>
          <w:t>https://doi.org/10.1007/s10551-015-2805-z</w:t>
        </w:r>
      </w:hyperlink>
    </w:p>
    <w:p w14:paraId="38913E1E" w14:textId="77777777" w:rsidR="0089165D" w:rsidRPr="00AC3820" w:rsidRDefault="0089165D" w:rsidP="0089165D">
      <w:pPr>
        <w:spacing w:line="480" w:lineRule="auto"/>
        <w:ind w:left="630" w:hanging="630"/>
        <w:rPr>
          <w:color w:val="000000" w:themeColor="text1"/>
        </w:rPr>
      </w:pPr>
      <w:r w:rsidRPr="00AC3820">
        <w:rPr>
          <w:color w:val="000000" w:themeColor="text1"/>
        </w:rPr>
        <w:t>Farahbod, K., Shayo, C., &amp; Varzandeh, J. (2022). Six sigma and lean operations in cybersecurity management. Journal of Business and Behavioral Sciences, 34(1), 99–109.Freeman, R. E. (1984). Strategic management: A stakeholder approach. Pitman.</w:t>
      </w:r>
    </w:p>
    <w:p w14:paraId="3708C629" w14:textId="2138DCB3" w:rsidR="0089165D" w:rsidRDefault="0089165D" w:rsidP="0089165D">
      <w:pPr>
        <w:spacing w:line="480" w:lineRule="auto"/>
        <w:ind w:left="630" w:hanging="630"/>
        <w:rPr>
          <w:color w:val="000000" w:themeColor="text1"/>
        </w:rPr>
      </w:pPr>
      <w:r w:rsidRPr="00AC3820">
        <w:rPr>
          <w:color w:val="000000" w:themeColor="text1"/>
        </w:rPr>
        <w:t xml:space="preserve">Federal Bureau of Investigation. (2024). Internet Crime Report 2024 (IC3). </w:t>
      </w:r>
      <w:hyperlink r:id="rId22" w:history="1">
        <w:r w:rsidR="00106231" w:rsidRPr="00DF654B">
          <w:rPr>
            <w:rStyle w:val="Hyperlink"/>
          </w:rPr>
          <w:t>https://www.ic3.gov/AnnualReport/Reports/2024_IC3Report.pdfUntitled</w:t>
        </w:r>
      </w:hyperlink>
      <w:r w:rsidRPr="00AC3820">
        <w:rPr>
          <w:color w:val="000000" w:themeColor="text1"/>
        </w:rPr>
        <w:t>.</w:t>
      </w:r>
    </w:p>
    <w:p w14:paraId="7F19CB5E" w14:textId="236B823A" w:rsidR="00106231" w:rsidRPr="00AC3820" w:rsidRDefault="00106231" w:rsidP="0089165D">
      <w:pPr>
        <w:spacing w:line="480" w:lineRule="auto"/>
        <w:ind w:left="630" w:hanging="630"/>
        <w:rPr>
          <w:color w:val="000000" w:themeColor="text1"/>
        </w:rPr>
      </w:pPr>
      <w:r w:rsidRPr="00106231">
        <w:rPr>
          <w:highlight w:val="yellow"/>
        </w:rPr>
        <w:t>Fereday, J., &amp; Muir-Cochrane</w:t>
      </w:r>
      <w:r>
        <w:t xml:space="preserve">, E. (2006). Demonstrating rigor using thematic analysis: A hybrid approach of inductive and deductive coding and theme development. </w:t>
      </w:r>
      <w:r>
        <w:rPr>
          <w:i/>
          <w:iCs/>
        </w:rPr>
        <w:t>International journal of qualitative methods</w:t>
      </w:r>
      <w:r>
        <w:t xml:space="preserve">, </w:t>
      </w:r>
      <w:r>
        <w:rPr>
          <w:i/>
          <w:iCs/>
        </w:rPr>
        <w:t>5</w:t>
      </w:r>
      <w:r>
        <w:t>(1), 80-92.</w:t>
      </w:r>
    </w:p>
    <w:p w14:paraId="66A6F4C0"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Fischer, D., Brettel, M., &amp; Mauer, R. (2020). The three dimensions of sustainability: A delicate balancing act for entrepreneurs made more complex by stakeholder expectations. Journal of Business Ethics, 163(1), 87-106. </w:t>
      </w:r>
      <w:hyperlink r:id="rId23" w:tgtFrame="_blank" w:history="1">
        <w:r w:rsidRPr="00AC3820">
          <w:rPr>
            <w:rStyle w:val="Hyperlink"/>
            <w:color w:val="000000" w:themeColor="text1"/>
          </w:rPr>
          <w:t>https://doi.org/10.1007/s10551-018-4012-1</w:t>
        </w:r>
      </w:hyperlink>
    </w:p>
    <w:p w14:paraId="5DCDD433" w14:textId="7FE01A98" w:rsidR="00AD3765" w:rsidRPr="00AD3765" w:rsidRDefault="00AD3765" w:rsidP="0089165D">
      <w:pPr>
        <w:spacing w:line="480" w:lineRule="auto"/>
        <w:ind w:left="630" w:hanging="630"/>
        <w:rPr>
          <w:b/>
          <w:bCs/>
          <w:color w:val="000000" w:themeColor="text1"/>
        </w:rPr>
      </w:pPr>
      <w:r w:rsidRPr="00AD3765">
        <w:rPr>
          <w:b/>
          <w:bCs/>
          <w:color w:val="000000" w:themeColor="text1"/>
          <w:highlight w:val="yellow"/>
        </w:rPr>
        <w:t>Freeman, R, E. (2020)</w:t>
      </w:r>
    </w:p>
    <w:p w14:paraId="2E084C22" w14:textId="1FD231D1" w:rsidR="0089165D" w:rsidRPr="00AC3820" w:rsidRDefault="0089165D" w:rsidP="0089165D">
      <w:pPr>
        <w:spacing w:line="480" w:lineRule="auto"/>
        <w:ind w:left="630" w:hanging="630"/>
        <w:rPr>
          <w:color w:val="000000" w:themeColor="text1"/>
        </w:rPr>
      </w:pPr>
      <w:r w:rsidRPr="00AC3820">
        <w:rPr>
          <w:color w:val="000000" w:themeColor="text1"/>
        </w:rPr>
        <w:t xml:space="preserve">Freeman, R. E. (2008). Managing for stakeholders: Survival, reputation, and success. Yale University Press. </w:t>
      </w:r>
      <w:hyperlink r:id="rId24" w:history="1">
        <w:r w:rsidRPr="00AC3820">
          <w:rPr>
            <w:rStyle w:val="Hyperlink"/>
            <w:color w:val="000000" w:themeColor="text1"/>
          </w:rPr>
          <w:t>https://www.proquest.com/legacydocview/EBC/3420430?accountid=27965</w:t>
        </w:r>
      </w:hyperlink>
    </w:p>
    <w:p w14:paraId="0F5D7AC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Freeman, R. E., Wicks, A. C., &amp; Parmar, B. (2004). Stakeholder theory and the corporate objective revisited. Organization Science, 15(3), 364–369. </w:t>
      </w:r>
      <w:hyperlink r:id="rId25" w:tgtFrame="_blank" w:history="1">
        <w:r w:rsidRPr="00AC3820">
          <w:rPr>
            <w:rStyle w:val="Hyperlink"/>
            <w:color w:val="000000" w:themeColor="text1"/>
          </w:rPr>
          <w:t>https://10.1287/orsc.1040.0066</w:t>
        </w:r>
      </w:hyperlink>
    </w:p>
    <w:p w14:paraId="103C40F9"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Freeman, R. E., Martin, K., &amp; Parmar, B. (2007). Stakeholder capitalism. Journal of Business Ethics, 74(4), 303–314. </w:t>
      </w:r>
      <w:hyperlink r:id="rId26" w:tgtFrame="_blank" w:history="1">
        <w:r w:rsidRPr="00AC3820">
          <w:rPr>
            <w:rStyle w:val="Hyperlink"/>
            <w:color w:val="000000" w:themeColor="text1"/>
          </w:rPr>
          <w:t>https://10.1007/s10551-007-9517-y</w:t>
        </w:r>
      </w:hyperlink>
    </w:p>
    <w:p w14:paraId="72953CA9" w14:textId="77777777" w:rsidR="0089165D" w:rsidRPr="00AC3820" w:rsidRDefault="0089165D" w:rsidP="0089165D">
      <w:pPr>
        <w:spacing w:line="480" w:lineRule="auto"/>
        <w:ind w:left="630" w:hanging="630"/>
        <w:rPr>
          <w:color w:val="000000" w:themeColor="text1"/>
        </w:rPr>
      </w:pPr>
      <w:r w:rsidRPr="00AC3820">
        <w:rPr>
          <w:color w:val="000000" w:themeColor="text1"/>
        </w:rPr>
        <w:lastRenderedPageBreak/>
        <w:t xml:space="preserve">Freeman, R. E. (2009). Stakeholder theory: 25 years later. Philosophy of Management, 8(3), 97–107. </w:t>
      </w:r>
      <w:hyperlink r:id="rId27" w:history="1">
        <w:r w:rsidRPr="00AC3820">
          <w:rPr>
            <w:rStyle w:val="Hyperlink"/>
            <w:color w:val="000000" w:themeColor="text1"/>
          </w:rPr>
          <w:t>https://doi.org/10.5840/pom20098310</w:t>
        </w:r>
      </w:hyperlink>
    </w:p>
    <w:p w14:paraId="6245260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Freeman, R. E., Gilbert, D. R., &amp; Hartman, E. (1988). Values and the foundations of strategic management. Journal of Business Ethics, 7(11), 821–834. </w:t>
      </w:r>
      <w:hyperlink r:id="rId28" w:tgtFrame="_blank" w:history="1">
        <w:r w:rsidRPr="00AC3820">
          <w:rPr>
            <w:rStyle w:val="Hyperlink"/>
            <w:color w:val="000000" w:themeColor="text1"/>
          </w:rPr>
          <w:t>https://www.proquest.com/scholarly-journals/values-foundations-strategic-management/docview/198089072/se-2?accountid=27965</w:t>
        </w:r>
      </w:hyperlink>
      <w:r w:rsidRPr="00AC3820">
        <w:rPr>
          <w:color w:val="000000" w:themeColor="text1"/>
        </w:rPr>
        <w:t xml:space="preserve"> </w:t>
      </w:r>
      <w:hyperlink r:id="rId29" w:tgtFrame="_blank" w:history="1">
        <w:r w:rsidRPr="00AC3820">
          <w:rPr>
            <w:rStyle w:val="Hyperlink"/>
            <w:color w:val="000000" w:themeColor="text1"/>
          </w:rPr>
          <w:t>https://capella.alma.exlibrisgroup.com/openurl/01CAPELLA_INST/01CAPELLA_INST:Services?genre=article&amp;atitle=Values+And+The+Foundations+Of+Strategic+Management%253A+JBE&amp;author=Freeman%252C+R+Edward%253BGilbert%252C+Daniel+R%252C+Jr%253BHartman%252C+Edwin&amp;volume=7&amp;issue=11&amp;spage=821&amp;date=1988-11-01&amp;rft.btitle=&amp;rft.jtitle=Journal+of+Business+Ethics&amp;issn=0167-4544&amp;isbn=&amp;sid=ProQ%253Aabiglobal_00438427</w:t>
        </w:r>
      </w:hyperlink>
    </w:p>
    <w:p w14:paraId="11D13736"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Freeman, R. E., Martin, K., &amp; Parmar, B. (2007). Stakeholder capitalism. Journal of Business Ethics, 74(4), 303–314. </w:t>
      </w:r>
      <w:hyperlink r:id="rId30" w:tgtFrame="_blank" w:history="1">
        <w:r w:rsidRPr="00AC3820">
          <w:rPr>
            <w:rStyle w:val="Hyperlink"/>
            <w:color w:val="000000" w:themeColor="text1"/>
          </w:rPr>
          <w:t>https://10.1007/s10551-007-9517-y</w:t>
        </w:r>
      </w:hyperlink>
    </w:p>
    <w:p w14:paraId="223FC379"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Freeman, R. E., Wicks, A. C., &amp; Parmar, B. (2004). Stakeholder theory and "the corporate objective revisited". Organization Science (Providence, R.I.), 15(3), 364–369. </w:t>
      </w:r>
      <w:hyperlink r:id="rId31" w:tgtFrame="_blank" w:history="1">
        <w:r w:rsidRPr="00AC3820">
          <w:rPr>
            <w:rStyle w:val="Hyperlink"/>
            <w:color w:val="000000" w:themeColor="text1"/>
          </w:rPr>
          <w:t>https://10.1287/orsc.1040.0066</w:t>
        </w:r>
      </w:hyperlink>
    </w:p>
    <w:p w14:paraId="033ABCEC" w14:textId="77777777" w:rsidR="0089165D" w:rsidRPr="00AC3820" w:rsidRDefault="0089165D" w:rsidP="0089165D">
      <w:pPr>
        <w:spacing w:line="480" w:lineRule="auto"/>
        <w:ind w:left="630" w:hanging="630"/>
        <w:rPr>
          <w:color w:val="000000" w:themeColor="text1"/>
        </w:rPr>
      </w:pPr>
      <w:r w:rsidRPr="00AC3820">
        <w:rPr>
          <w:color w:val="000000" w:themeColor="text1"/>
        </w:rPr>
        <w:t>Fusch, P., Fusch, G. E., &amp; Ness, L. R. (2018). Denzin’s paradigm shift: Revisiting triangulation in qualitative research. Journal of Social Change, 10(1)</w:t>
      </w:r>
      <w:hyperlink r:id="rId32" w:tgtFrame="_blank" w:history="1">
        <w:r w:rsidRPr="00AC3820">
          <w:rPr>
            <w:rStyle w:val="Hyperlink"/>
            <w:color w:val="000000" w:themeColor="text1"/>
          </w:rPr>
          <w:t>https://doi.org/10.5590/JOSC.2018.10.1.02</w:t>
        </w:r>
      </w:hyperlink>
    </w:p>
    <w:p w14:paraId="0383BBDD" w14:textId="77777777" w:rsidR="001B1529" w:rsidRDefault="0089165D" w:rsidP="001B1529">
      <w:pPr>
        <w:spacing w:line="480" w:lineRule="auto"/>
        <w:ind w:left="630" w:hanging="630"/>
      </w:pPr>
      <w:r w:rsidRPr="00AC3820">
        <w:rPr>
          <w:color w:val="000000" w:themeColor="text1"/>
        </w:rPr>
        <w:t xml:space="preserve">Gabriel, C., &amp; Shafique, K. (2024). An ethical salience framework to achieve sustainable development goals. Sustainable Development, 32(4), 3213–3225. </w:t>
      </w:r>
      <w:hyperlink r:id="rId33" w:history="1">
        <w:r w:rsidRPr="00AC3820">
          <w:rPr>
            <w:rStyle w:val="Hyperlink"/>
            <w:color w:val="000000" w:themeColor="text1"/>
          </w:rPr>
          <w:t>https://doi-org.library.capella.edu/10.1002/sd.2840</w:t>
        </w:r>
      </w:hyperlink>
    </w:p>
    <w:p w14:paraId="240044FB" w14:textId="349FE28D" w:rsidR="007A693C" w:rsidRDefault="007A693C" w:rsidP="001B1529">
      <w:pPr>
        <w:spacing w:line="480" w:lineRule="auto"/>
        <w:ind w:left="630" w:hanging="630"/>
      </w:pPr>
      <w:r w:rsidRPr="007A693C">
        <w:rPr>
          <w:highlight w:val="cyan"/>
        </w:rPr>
        <w:lastRenderedPageBreak/>
        <w:t>Gibran, K. (1923</w:t>
      </w:r>
      <w:r>
        <w:t xml:space="preserve">). </w:t>
      </w:r>
      <w:r>
        <w:rPr>
          <w:rStyle w:val="Emphasis"/>
        </w:rPr>
        <w:t>The prophet</w:t>
      </w:r>
      <w:r>
        <w:t>. Alfred A. Knopf.</w:t>
      </w:r>
    </w:p>
    <w:p w14:paraId="278D99F8" w14:textId="77777777" w:rsidR="00F770BC" w:rsidRDefault="001B1529" w:rsidP="001B1529">
      <w:pPr>
        <w:spacing w:line="480" w:lineRule="auto"/>
        <w:ind w:left="630" w:hanging="630"/>
      </w:pPr>
      <w:r w:rsidRPr="001B1529">
        <w:rPr>
          <w:highlight w:val="yellow"/>
        </w:rPr>
        <w:t>Guba, E. G., &amp; Lincoln, Y. S</w:t>
      </w:r>
      <w:r>
        <w:t xml:space="preserve">. (1994). Competing paradigms in qualitative research. </w:t>
      </w:r>
      <w:r>
        <w:rPr>
          <w:i/>
          <w:iCs/>
        </w:rPr>
        <w:t>Handbook of qualitative research</w:t>
      </w:r>
      <w:r>
        <w:t xml:space="preserve">, </w:t>
      </w:r>
      <w:r>
        <w:rPr>
          <w:i/>
          <w:iCs/>
        </w:rPr>
        <w:t>2</w:t>
      </w:r>
      <w:r>
        <w:t>(163-194), 105.</w:t>
      </w:r>
    </w:p>
    <w:p w14:paraId="59EA7CF9" w14:textId="77777777" w:rsidR="00106231" w:rsidRDefault="0089165D" w:rsidP="001B1529">
      <w:pPr>
        <w:spacing w:line="480" w:lineRule="auto"/>
        <w:ind w:left="630" w:hanging="630"/>
        <w:rPr>
          <w:color w:val="000000" w:themeColor="text1"/>
        </w:rPr>
      </w:pPr>
      <w:r w:rsidRPr="00AC3820">
        <w:rPr>
          <w:color w:val="000000" w:themeColor="text1"/>
        </w:rPr>
        <w:t xml:space="preserve">Guest, G., Bunce, A., &amp; Johnson, L. (2006). How many interviews are enough? An experiment with data saturation and variability. Field methods, 18(1), 59-82. </w:t>
      </w:r>
      <w:hyperlink r:id="rId34" w:history="1">
        <w:r w:rsidRPr="00AC3820">
          <w:rPr>
            <w:rStyle w:val="Hyperlink"/>
            <w:color w:val="000000" w:themeColor="text1"/>
          </w:rPr>
          <w:t>https://doi-org.library.capella.edu/10.1177/1525822X05279903</w:t>
        </w:r>
      </w:hyperlink>
      <w:r w:rsidRPr="00AC3820">
        <w:rPr>
          <w:color w:val="000000" w:themeColor="text1"/>
        </w:rPr>
        <w:t xml:space="preserve"> </w:t>
      </w:r>
    </w:p>
    <w:p w14:paraId="4687E2F9" w14:textId="60ACA2B2" w:rsidR="0089165D" w:rsidRPr="001B1529" w:rsidRDefault="00106231" w:rsidP="001B1529">
      <w:pPr>
        <w:spacing w:line="480" w:lineRule="auto"/>
        <w:ind w:left="630" w:hanging="630"/>
      </w:pPr>
      <w:r w:rsidRPr="00106231">
        <w:rPr>
          <w:highlight w:val="yellow"/>
        </w:rPr>
        <w:t>Hermann, V., Osman, F., Durbeej, N., Karlsson, A.-C., &amp; Sarkadi, A. (2024).</w:t>
      </w:r>
      <w:r>
        <w:t xml:space="preserve"> How to analyze focus group interactions – Development of a coding scheme. </w:t>
      </w:r>
      <w:r>
        <w:rPr>
          <w:i/>
        </w:rPr>
        <w:t>International Journal of Qualitative Methods, 23</w:t>
      </w:r>
      <w:r>
        <w:t xml:space="preserve">, 1–13. </w:t>
      </w:r>
      <w:hyperlink r:id="rId35">
        <w:r>
          <w:rPr>
            <w:color w:val="1F4D78"/>
            <w:u w:val="single"/>
          </w:rPr>
          <w:t>https://doi.org/10.1177/16094069241286848</w:t>
        </w:r>
      </w:hyperlink>
    </w:p>
    <w:p w14:paraId="661B5561" w14:textId="77777777" w:rsidR="0089165D" w:rsidRDefault="0089165D" w:rsidP="0089165D">
      <w:pPr>
        <w:spacing w:line="480" w:lineRule="auto"/>
        <w:ind w:left="630" w:hanging="630"/>
      </w:pPr>
      <w:r w:rsidRPr="00320DC6">
        <w:rPr>
          <w:color w:val="000000" w:themeColor="text1"/>
          <w:highlight w:val="cyan"/>
        </w:rPr>
        <w:t>Kahlke, R. M. (2014). Generic</w:t>
      </w:r>
      <w:r w:rsidRPr="00AC3820">
        <w:rPr>
          <w:color w:val="000000" w:themeColor="text1"/>
        </w:rPr>
        <w:t xml:space="preserve"> qualitative approaches: Pitfalls and benefits of methodological mixology. International Journal of Qualitative Methods, 13, 37–52. </w:t>
      </w:r>
      <w:hyperlink r:id="rId36" w:tgtFrame="_new" w:history="1">
        <w:r w:rsidRPr="00AC3820">
          <w:rPr>
            <w:rStyle w:val="Hyperlink"/>
            <w:color w:val="000000" w:themeColor="text1"/>
          </w:rPr>
          <w:t>https://doi.org/10.1177/160940691401300119</w:t>
        </w:r>
      </w:hyperlink>
    </w:p>
    <w:p w14:paraId="27F6C307" w14:textId="091FF9A9" w:rsidR="001B1529" w:rsidRPr="001B1529" w:rsidRDefault="001B1529" w:rsidP="0089165D">
      <w:pPr>
        <w:spacing w:line="480" w:lineRule="auto"/>
        <w:ind w:left="630" w:hanging="630"/>
        <w:rPr>
          <w:b/>
          <w:bCs/>
          <w:color w:val="000000" w:themeColor="text1"/>
        </w:rPr>
      </w:pPr>
      <w:r w:rsidRPr="001B1529">
        <w:rPr>
          <w:b/>
          <w:bCs/>
          <w:highlight w:val="yellow"/>
        </w:rPr>
        <w:t>Kvale &amp; Brinkmann</w:t>
      </w:r>
    </w:p>
    <w:p w14:paraId="47C9D758" w14:textId="77777777" w:rsidR="00720AE5" w:rsidRPr="00AC3820" w:rsidRDefault="0089165D" w:rsidP="00720AE5">
      <w:pPr>
        <w:spacing w:line="480" w:lineRule="auto"/>
        <w:ind w:left="630" w:hanging="630"/>
        <w:rPr>
          <w:color w:val="000000" w:themeColor="text1"/>
        </w:rPr>
      </w:pPr>
      <w:r w:rsidRPr="00AC3820">
        <w:rPr>
          <w:color w:val="000000" w:themeColor="text1"/>
        </w:rPr>
        <w:t xml:space="preserve">Kenny, C., Weber, C., &amp; Bratton, K. (2017). The characteristics of interpersonal networks in disaster response. Social Science Quarterly (Wiley-Blackwell), 98(2), 566–583. </w:t>
      </w:r>
      <w:hyperlink r:id="rId37" w:history="1">
        <w:r w:rsidRPr="00AC3820">
          <w:rPr>
            <w:rStyle w:val="Hyperlink"/>
            <w:color w:val="000000" w:themeColor="text1"/>
          </w:rPr>
          <w:t>https://doi-org.library.capella.edu/10.1111/ssqu.12328</w:t>
        </w:r>
      </w:hyperlink>
    </w:p>
    <w:p w14:paraId="5DDDD347" w14:textId="77777777" w:rsidR="00720AE5" w:rsidRPr="00AC3820" w:rsidRDefault="00720AE5" w:rsidP="00720AE5">
      <w:pPr>
        <w:spacing w:line="480" w:lineRule="auto"/>
        <w:ind w:left="630" w:hanging="630"/>
        <w:rPr>
          <w:color w:val="000000" w:themeColor="text1"/>
        </w:rPr>
      </w:pPr>
      <w:r w:rsidRPr="00AC3820">
        <w:rPr>
          <w:color w:val="000000" w:themeColor="text1"/>
        </w:rPr>
        <w:t xml:space="preserve">Koerber, A., &amp; McMichael, L. (2008). Qualitative Sampling Methods: A Primer for Technical Communicators: A Primer for Technical Communicators. Journal of Business and Technical Communication, 22(4), 454-473. </w:t>
      </w:r>
      <w:hyperlink r:id="rId38" w:history="1">
        <w:r w:rsidRPr="00AC3820">
          <w:rPr>
            <w:rStyle w:val="Hyperlink"/>
            <w:color w:val="000000" w:themeColor="text1"/>
          </w:rPr>
          <w:t>https://doi-org.library.capella.edu/10.1177/1050651908320362</w:t>
        </w:r>
      </w:hyperlink>
    </w:p>
    <w:p w14:paraId="6CAC5F50" w14:textId="77777777" w:rsidR="0089165D" w:rsidRPr="00AC3820" w:rsidRDefault="0089165D" w:rsidP="0089165D">
      <w:pPr>
        <w:spacing w:line="480" w:lineRule="auto"/>
        <w:ind w:left="630" w:hanging="630"/>
        <w:rPr>
          <w:color w:val="000000" w:themeColor="text1"/>
        </w:rPr>
      </w:pPr>
      <w:r w:rsidRPr="001B1529">
        <w:rPr>
          <w:color w:val="000000" w:themeColor="text1"/>
          <w:highlight w:val="yellow"/>
        </w:rPr>
        <w:t>Lincoln, Y. S., &amp; Guba, E. G. (1985). Naturalistic</w:t>
      </w:r>
      <w:r w:rsidRPr="00AC3820">
        <w:rPr>
          <w:color w:val="000000" w:themeColor="text1"/>
        </w:rPr>
        <w:t xml:space="preserve"> Inquiry. Beverly Hills, CA: Sage Publications, Inc. http://dx.doi.org/10.1016/0147-1767(85)90062-8  </w:t>
      </w:r>
    </w:p>
    <w:p w14:paraId="2BD174E1" w14:textId="77777777" w:rsidR="0089165D" w:rsidRPr="00AC3820" w:rsidRDefault="0089165D" w:rsidP="0089165D">
      <w:pPr>
        <w:spacing w:line="480" w:lineRule="auto"/>
        <w:ind w:left="630" w:hanging="630"/>
        <w:rPr>
          <w:color w:val="000000" w:themeColor="text1"/>
        </w:rPr>
      </w:pPr>
      <w:r w:rsidRPr="00AC3820">
        <w:rPr>
          <w:color w:val="000000" w:themeColor="text1"/>
        </w:rPr>
        <w:lastRenderedPageBreak/>
        <w:t xml:space="preserve">Liu, W., Liu, R., Chen, H., &amp; Mboga, J. (2020). Perspectives on disruptive technology and innovation. The International Journal of Conflict Management, 31(3), 313-331. </w:t>
      </w:r>
      <w:hyperlink r:id="rId39" w:tgtFrame="_blank" w:history="1">
        <w:r w:rsidRPr="00AC3820">
          <w:rPr>
            <w:rStyle w:val="Hyperlink"/>
            <w:color w:val="000000" w:themeColor="text1"/>
          </w:rPr>
          <w:t>https://doi.org/10.1108/IJCMA-09-2019-0172</w:t>
        </w:r>
      </w:hyperlink>
    </w:p>
    <w:p w14:paraId="1D7D961C"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Lowry, M. R., Vance, A., &amp; Vance, M. D. (2025). Inexpert supervision: Field evidence on boards’ oversight of cybersecurity. Management Science. </w:t>
      </w:r>
      <w:hyperlink r:id="rId40" w:history="1">
        <w:r w:rsidRPr="00AC3820">
          <w:rPr>
            <w:rStyle w:val="Hyperlink"/>
            <w:color w:val="000000" w:themeColor="text1"/>
          </w:rPr>
          <w:t>https://doi.org/10.1287/mnsc.2023.04147</w:t>
        </w:r>
      </w:hyperlink>
      <w:r w:rsidRPr="00AC3820">
        <w:rPr>
          <w:color w:val="000000" w:themeColor="text1"/>
        </w:rPr>
        <w:t xml:space="preserve"> </w:t>
      </w:r>
    </w:p>
    <w:p w14:paraId="75F476C0" w14:textId="77777777" w:rsidR="0089165D" w:rsidRPr="00AC3820" w:rsidRDefault="0089165D" w:rsidP="0089165D">
      <w:pPr>
        <w:spacing w:line="480" w:lineRule="auto"/>
        <w:ind w:left="630" w:hanging="630"/>
        <w:rPr>
          <w:color w:val="000000" w:themeColor="text1"/>
        </w:rPr>
      </w:pPr>
      <w:r w:rsidRPr="00F75B74">
        <w:rPr>
          <w:color w:val="000000" w:themeColor="text1"/>
          <w:highlight w:val="yellow"/>
        </w:rPr>
        <w:t>Malterud, K., Siersma, V. D.,</w:t>
      </w:r>
      <w:r w:rsidRPr="00AC3820">
        <w:rPr>
          <w:color w:val="000000" w:themeColor="text1"/>
        </w:rPr>
        <w:t xml:space="preserve"> &amp; Guassora, A. D. (2016). Sample size in qualitative interview studies: Guided by information power. Qualitative health research, 26(13), 1753-1760. </w:t>
      </w:r>
      <w:hyperlink r:id="rId41" w:history="1">
        <w:r w:rsidRPr="00AC3820">
          <w:rPr>
            <w:rStyle w:val="Hyperlink"/>
            <w:color w:val="000000" w:themeColor="text1"/>
          </w:rPr>
          <w:t>https://doi-org.library.capella.edu/1</w:t>
        </w:r>
        <w:r w:rsidRPr="00AC3820">
          <w:rPr>
            <w:rStyle w:val="Hyperlink"/>
            <w:color w:val="000000" w:themeColor="text1"/>
          </w:rPr>
          <w:t>0</w:t>
        </w:r>
        <w:r w:rsidRPr="00AC3820">
          <w:rPr>
            <w:rStyle w:val="Hyperlink"/>
            <w:color w:val="000000" w:themeColor="text1"/>
          </w:rPr>
          <w:t>.1177/14034948156211</w:t>
        </w:r>
      </w:hyperlink>
    </w:p>
    <w:p w14:paraId="3E7CA800" w14:textId="77777777" w:rsidR="0089165D" w:rsidRDefault="0089165D" w:rsidP="0089165D">
      <w:pPr>
        <w:spacing w:line="480" w:lineRule="auto"/>
        <w:ind w:left="630" w:hanging="630"/>
      </w:pPr>
      <w:r w:rsidRPr="008C1B5E">
        <w:rPr>
          <w:color w:val="000000" w:themeColor="text1"/>
          <w:highlight w:val="cyan"/>
        </w:rPr>
        <w:t>Mitchell, R. K., Agle</w:t>
      </w:r>
      <w:r w:rsidRPr="00AC3820">
        <w:rPr>
          <w:color w:val="000000" w:themeColor="text1"/>
        </w:rPr>
        <w:t xml:space="preserve">, B. R., &amp; Wood, D. J. (1997). Toward a theory of stakeholder identification and salience: Defining the principle of who and what really counts. The Academy of Management Review, 22(4), 853-886. </w:t>
      </w:r>
      <w:hyperlink r:id="rId42" w:tgtFrame="_blank" w:history="1">
        <w:r w:rsidRPr="00AC3820">
          <w:rPr>
            <w:rStyle w:val="Hyperlink"/>
            <w:color w:val="000000" w:themeColor="text1"/>
          </w:rPr>
          <w:t>https://doi.org/10.2307/259247</w:t>
        </w:r>
      </w:hyperlink>
    </w:p>
    <w:p w14:paraId="5FA3F427" w14:textId="77777777" w:rsidR="00861114" w:rsidRDefault="00861114" w:rsidP="00861114">
      <w:pPr>
        <w:spacing w:line="480" w:lineRule="auto"/>
        <w:ind w:left="630" w:hanging="630"/>
      </w:pPr>
      <w:r w:rsidRPr="00861114">
        <w:rPr>
          <w:highlight w:val="yellow"/>
        </w:rPr>
        <w:t>Miteu, G. D. (2024). Ethics</w:t>
      </w:r>
      <w:r>
        <w:t xml:space="preserve"> in scientific research: A lens into its importance, history, and future.</w:t>
      </w:r>
      <w:r>
        <w:rPr>
          <w:i/>
          <w:iCs/>
        </w:rPr>
        <w:t xml:space="preserve"> Annals of Medicine and Surgery, 86</w:t>
      </w:r>
      <w:r>
        <w:t>(5), 2395-2398.</w:t>
      </w:r>
      <w:r>
        <w:t xml:space="preserve"> </w:t>
      </w:r>
      <w:hyperlink r:id="rId43" w:history="1">
        <w:r w:rsidRPr="00DF654B">
          <w:rPr>
            <w:rStyle w:val="Hyperlink"/>
          </w:rPr>
          <w:t>https://doi.org/10.1097/MS9.0000000000001959</w:t>
        </w:r>
      </w:hyperlink>
    </w:p>
    <w:p w14:paraId="4F45D267" w14:textId="77777777" w:rsidR="0089165D" w:rsidRPr="00AC3820" w:rsidRDefault="0089165D" w:rsidP="0089165D">
      <w:pPr>
        <w:spacing w:line="480" w:lineRule="auto"/>
        <w:ind w:left="630" w:hanging="630"/>
        <w:rPr>
          <w:color w:val="000000" w:themeColor="text1"/>
        </w:rPr>
      </w:pPr>
      <w:r w:rsidRPr="00AC3820">
        <w:rPr>
          <w:color w:val="000000" w:themeColor="text1"/>
        </w:rPr>
        <w:t>Mojtahedi, M., &amp; Oo, B. L. (2017). Critical attributes for proactive engagement of stakeholders in disaster risk management. International journal of disaster risk reduction, 21, 35-43. https://doi-org.library.capella.edu/10.1016/j.ijdrr.2016.10.017</w:t>
      </w:r>
    </w:p>
    <w:p w14:paraId="717D5A0E" w14:textId="77777777" w:rsidR="0028214A" w:rsidRDefault="0089165D" w:rsidP="0089165D">
      <w:pPr>
        <w:spacing w:line="480" w:lineRule="auto"/>
        <w:ind w:left="630" w:hanging="630"/>
        <w:rPr>
          <w:color w:val="000000" w:themeColor="text1"/>
        </w:rPr>
      </w:pPr>
      <w:r w:rsidRPr="00AC3820">
        <w:rPr>
          <w:color w:val="000000" w:themeColor="text1"/>
        </w:rPr>
        <w:t xml:space="preserve">Molete, O. B., Mokhele, S. E., Ntombela, S. D., &amp; Thango, B. A. (2025). The impact of IT strategic planning process on SME performance: A systematic review. Businesses, 5(1), 2. </w:t>
      </w:r>
      <w:hyperlink r:id="rId44" w:tgtFrame="_blank" w:history="1">
        <w:r w:rsidRPr="00AC3820">
          <w:rPr>
            <w:rStyle w:val="Hyperlink"/>
            <w:color w:val="000000" w:themeColor="text1"/>
          </w:rPr>
          <w:t>https://doi.org/10.3390/businesses5010002</w:t>
        </w:r>
      </w:hyperlink>
      <w:r w:rsidRPr="00AC3820">
        <w:rPr>
          <w:color w:val="000000" w:themeColor="text1"/>
        </w:rPr>
        <w:t xml:space="preserve"> </w:t>
      </w:r>
    </w:p>
    <w:p w14:paraId="44A5A16B" w14:textId="2A73B054" w:rsidR="0089165D" w:rsidRDefault="0028214A" w:rsidP="0089165D">
      <w:pPr>
        <w:spacing w:line="480" w:lineRule="auto"/>
        <w:ind w:left="630" w:hanging="630"/>
      </w:pPr>
      <w:r w:rsidRPr="0028214A">
        <w:rPr>
          <w:highlight w:val="yellow"/>
        </w:rPr>
        <w:t>Moser, A., &amp; Korstjens, I. (2023).</w:t>
      </w:r>
      <w:r>
        <w:t xml:space="preserve"> Series: Practical guidance to qualitative research. Part 7: Qualitative evidence synthesis for emerging themes in primary care research: Scoping </w:t>
      </w:r>
      <w:r>
        <w:lastRenderedPageBreak/>
        <w:t xml:space="preserve">review, meta-ethnography and rapid realist review. </w:t>
      </w:r>
      <w:r>
        <w:rPr>
          <w:i/>
          <w:iCs/>
        </w:rPr>
        <w:t>European Journal of General Practice</w:t>
      </w:r>
      <w:r>
        <w:t xml:space="preserve">, </w:t>
      </w:r>
      <w:r>
        <w:rPr>
          <w:i/>
          <w:iCs/>
        </w:rPr>
        <w:t>29</w:t>
      </w:r>
      <w:r>
        <w:t xml:space="preserve">(1). </w:t>
      </w:r>
      <w:hyperlink r:id="rId45" w:history="1">
        <w:r w:rsidR="00CC218E" w:rsidRPr="00DF654B">
          <w:rPr>
            <w:rStyle w:val="Hyperlink"/>
          </w:rPr>
          <w:t>https://doi.org/10.1080/13814788.2023.2274467</w:t>
        </w:r>
      </w:hyperlink>
    </w:p>
    <w:p w14:paraId="5D075B52" w14:textId="4BC3D8E1" w:rsidR="00CC218E" w:rsidRPr="00AC3820" w:rsidRDefault="00CC218E" w:rsidP="0089165D">
      <w:pPr>
        <w:spacing w:line="480" w:lineRule="auto"/>
        <w:ind w:left="630" w:hanging="630"/>
        <w:rPr>
          <w:color w:val="000000" w:themeColor="text1"/>
        </w:rPr>
      </w:pPr>
      <w:r w:rsidRPr="00CC218E">
        <w:rPr>
          <w:highlight w:val="yellow"/>
        </w:rPr>
        <w:t>Naeem, M., Ozuem, W., Howell</w:t>
      </w:r>
      <w:r>
        <w:t xml:space="preserve">, K., &amp; Ranfagni, S. (2024). Demystification and actualisation of data saturation in qualitative research through thematic analysis. </w:t>
      </w:r>
      <w:r>
        <w:rPr>
          <w:i/>
          <w:iCs/>
        </w:rPr>
        <w:t>International journal of qualitative methods</w:t>
      </w:r>
      <w:r>
        <w:t xml:space="preserve">, </w:t>
      </w:r>
      <w:r>
        <w:rPr>
          <w:i/>
          <w:iCs/>
        </w:rPr>
        <w:t>23</w:t>
      </w:r>
      <w:r>
        <w:t>, 16094069241229777.</w:t>
      </w:r>
    </w:p>
    <w:p w14:paraId="212E6435"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National Institute of Standards and Technology. (2024). The </w:t>
      </w:r>
      <w:r w:rsidRPr="00AA13BF">
        <w:rPr>
          <w:color w:val="000000" w:themeColor="text1"/>
          <w:highlight w:val="cyan"/>
        </w:rPr>
        <w:t>NIST</w:t>
      </w:r>
      <w:r w:rsidRPr="00AC3820">
        <w:rPr>
          <w:color w:val="000000" w:themeColor="text1"/>
        </w:rPr>
        <w:t xml:space="preserve"> Cybersecurity Framework (CSF) 2.0 (NIST CSWP 29). </w:t>
      </w:r>
      <w:hyperlink r:id="rId46" w:history="1">
        <w:r w:rsidRPr="00AC3820">
          <w:rPr>
            <w:rStyle w:val="Hyperlink"/>
            <w:color w:val="000000" w:themeColor="text1"/>
          </w:rPr>
          <w:t>https://www.nist.gov/publications/nist-cybersecurity-framework-csf-20?utm_source=openai</w:t>
        </w:r>
      </w:hyperlink>
    </w:p>
    <w:p w14:paraId="0BC71308"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Narayanan, A., Finucane, M., Acosta, J., &amp; Wicker, A. (2020). From awareness to action: Accounting for infrastructure interdependencies in disaster response and recovery planning. GeoHealth, 4, e2020GH000251. </w:t>
      </w:r>
      <w:hyperlink r:id="rId47" w:history="1">
        <w:r w:rsidRPr="00AC3820">
          <w:rPr>
            <w:rStyle w:val="Hyperlink"/>
            <w:color w:val="000000" w:themeColor="text1"/>
          </w:rPr>
          <w:t>https://doi.org/10.1029/2020GH000251</w:t>
        </w:r>
      </w:hyperlink>
      <w:r w:rsidRPr="00AC3820">
        <w:rPr>
          <w:color w:val="000000" w:themeColor="text1"/>
        </w:rPr>
        <w:t xml:space="preserve"> </w:t>
      </w:r>
    </w:p>
    <w:p w14:paraId="29021AD6" w14:textId="77777777" w:rsidR="00FB5178" w:rsidRDefault="0089165D" w:rsidP="00FB5178">
      <w:pPr>
        <w:spacing w:line="480" w:lineRule="auto"/>
        <w:ind w:left="630" w:hanging="630"/>
        <w:rPr>
          <w:color w:val="000000" w:themeColor="text1"/>
        </w:rPr>
      </w:pPr>
      <w:r w:rsidRPr="00974A23">
        <w:rPr>
          <w:color w:val="000000" w:themeColor="text1"/>
          <w:highlight w:val="yellow"/>
        </w:rPr>
        <w:t>National Commission for the Protection of Human Subjects</w:t>
      </w:r>
      <w:r w:rsidRPr="00AC3820">
        <w:rPr>
          <w:color w:val="000000" w:themeColor="text1"/>
        </w:rPr>
        <w:t xml:space="preserve"> of Biomedical and Behavioral Research. (1979). The belmont report: Ethical principles and guidelines for the protection of human subjects of research. U.S. Department of Health, Education, and Welfare.</w:t>
      </w:r>
    </w:p>
    <w:p w14:paraId="7879937A" w14:textId="49E67422" w:rsidR="00FB5178" w:rsidRPr="00FB5178" w:rsidRDefault="00FB5178" w:rsidP="00FB5178">
      <w:pPr>
        <w:spacing w:line="480" w:lineRule="auto"/>
        <w:ind w:left="630" w:hanging="630"/>
        <w:rPr>
          <w:color w:val="000000" w:themeColor="text1"/>
        </w:rPr>
      </w:pPr>
      <w:r w:rsidRPr="00FB5178">
        <w:rPr>
          <w:highlight w:val="cyan"/>
        </w:rPr>
        <w:t>Nowell, L. S., Norris, J. M., White, D. E., &amp;</w:t>
      </w:r>
      <w:r>
        <w:t xml:space="preserve"> Moules, N. J. (2017). Thematic analysis: Striving to meet the trustworthiness criteria: Striving to meet the trustworthiness criteria.</w:t>
      </w:r>
      <w:r>
        <w:rPr>
          <w:i/>
          <w:iCs/>
        </w:rPr>
        <w:t xml:space="preserve"> International Journal of Qualitative Methods, 16</w:t>
      </w:r>
      <w:r>
        <w:t xml:space="preserve">(1), 13. </w:t>
      </w:r>
      <w:hyperlink r:id="rId48" w:tgtFrame="_blank" w:history="1">
        <w:r>
          <w:rPr>
            <w:rStyle w:val="Hyperlink"/>
          </w:rPr>
          <w:t>https://doi.org/10.1177/1609406917733847.;10.1177/1609406917733847;</w:t>
        </w:r>
      </w:hyperlink>
    </w:p>
    <w:p w14:paraId="67C01652" w14:textId="48F119A6" w:rsidR="0089165D" w:rsidRPr="00AC3820" w:rsidRDefault="0089165D" w:rsidP="0089165D">
      <w:pPr>
        <w:spacing w:line="480" w:lineRule="auto"/>
        <w:ind w:left="630" w:hanging="630"/>
        <w:rPr>
          <w:color w:val="000000" w:themeColor="text1"/>
        </w:rPr>
      </w:pPr>
      <w:r w:rsidRPr="00AC3820">
        <w:rPr>
          <w:color w:val="000000" w:themeColor="text1"/>
        </w:rPr>
        <w:t xml:space="preserve">Nowell, B., &amp; Albrecht, K. (2019). A reviewer’s guide to qualitative rigor. Journal of public administration research and theory, 29(2), 348-363. </w:t>
      </w:r>
      <w:hyperlink r:id="rId49" w:history="1">
        <w:r w:rsidRPr="00AC3820">
          <w:rPr>
            <w:rStyle w:val="Hyperlink"/>
            <w:color w:val="000000" w:themeColor="text1"/>
          </w:rPr>
          <w:t>https://doi-org.library.capella.edu/10.1093/jopart/muy052</w:t>
        </w:r>
      </w:hyperlink>
    </w:p>
    <w:p w14:paraId="4F25266C"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Örtenblad, A. (2007). Senge's many faces: Problem or opportunity? The Learning Organization, 14(2), 108–122. </w:t>
      </w:r>
      <w:hyperlink r:id="rId50" w:tgtFrame="_blank" w:history="1">
        <w:r w:rsidRPr="00AC3820">
          <w:rPr>
            <w:rStyle w:val="Hyperlink"/>
            <w:color w:val="000000" w:themeColor="text1"/>
          </w:rPr>
          <w:t>https://10.1108/09696470710726989</w:t>
        </w:r>
      </w:hyperlink>
    </w:p>
    <w:p w14:paraId="5F3FE6E2" w14:textId="77777777" w:rsidR="0089165D" w:rsidRPr="00AC3820" w:rsidRDefault="0089165D" w:rsidP="0089165D">
      <w:pPr>
        <w:spacing w:line="480" w:lineRule="auto"/>
        <w:ind w:left="630" w:hanging="630"/>
        <w:rPr>
          <w:color w:val="000000" w:themeColor="text1"/>
        </w:rPr>
      </w:pPr>
      <w:r w:rsidRPr="00AC3820">
        <w:rPr>
          <w:color w:val="000000" w:themeColor="text1"/>
        </w:rPr>
        <w:lastRenderedPageBreak/>
        <w:t xml:space="preserve">Park, J., Son, Y., &amp; Angst, C. M. (2023). The value of centralized IT in building resilience during crises. MIS Quarterly, 47(1), 451–482. </w:t>
      </w:r>
      <w:hyperlink r:id="rId51" w:tgtFrame="_blank" w:history="1">
        <w:r w:rsidRPr="00AC3820">
          <w:rPr>
            <w:rStyle w:val="Hyperlink"/>
            <w:color w:val="000000" w:themeColor="text1"/>
          </w:rPr>
          <w:t>https://doi.org/10.25300/MISQ/2022/17265</w:t>
        </w:r>
      </w:hyperlink>
      <w:r w:rsidRPr="00AC3820">
        <w:rPr>
          <w:color w:val="000000" w:themeColor="text1"/>
        </w:rPr>
        <w:t xml:space="preserve"> </w:t>
      </w:r>
    </w:p>
    <w:p w14:paraId="31894A4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Stieb, J. A. (2009). Assessing freeman's stakeholder theory. Journal of Business Ethics, 87(3), 401-414. </w:t>
      </w:r>
      <w:hyperlink r:id="rId52" w:tgtFrame="_blank" w:history="1">
        <w:r w:rsidRPr="00AC3820">
          <w:rPr>
            <w:rStyle w:val="Hyperlink"/>
            <w:color w:val="000000" w:themeColor="text1"/>
          </w:rPr>
          <w:t>https://doi.org/10.1007/s10551-008-9928-4</w:t>
        </w:r>
      </w:hyperlink>
    </w:p>
    <w:p w14:paraId="7AF3B8B8" w14:textId="77777777" w:rsidR="0089165D" w:rsidRPr="00AC3820" w:rsidRDefault="0089165D" w:rsidP="0089165D">
      <w:pPr>
        <w:spacing w:line="480" w:lineRule="auto"/>
        <w:ind w:left="630" w:hanging="630"/>
        <w:rPr>
          <w:color w:val="000000" w:themeColor="text1"/>
        </w:rPr>
      </w:pPr>
      <w:r w:rsidRPr="00AC3820">
        <w:rPr>
          <w:color w:val="000000" w:themeColor="text1"/>
        </w:rPr>
        <w:t>Tisdell, E. J., Merriam, S. B., &amp; Stuckey-Peyrot, H. L. (2025). Qualitative research: A guide to design and implementation. John Wiley &amp; Sons. DOI:</w:t>
      </w:r>
      <w:hyperlink r:id="rId53" w:tgtFrame="_blank" w:history="1">
        <w:r w:rsidRPr="00AC3820">
          <w:rPr>
            <w:rStyle w:val="Hyperlink"/>
            <w:color w:val="000000" w:themeColor="text1"/>
          </w:rPr>
          <w:t>10.1177/07417136251356470</w:t>
        </w:r>
      </w:hyperlink>
    </w:p>
    <w:p w14:paraId="730261C1"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Tracy, S. J. (2010). Qualitative quality: Eight “big-tent” criteria for excellent qualitative research. Qualitative inquiry, 16(10), 837-851. </w:t>
      </w:r>
      <w:hyperlink r:id="rId54" w:history="1">
        <w:r w:rsidRPr="00AC3820">
          <w:rPr>
            <w:rStyle w:val="Hyperlink"/>
            <w:color w:val="000000" w:themeColor="text1"/>
          </w:rPr>
          <w:t>https://doi-org.library.capella.edu/10.1002/9781118901731.iecrm0016Digital Object Identifier (DOI)</w:t>
        </w:r>
      </w:hyperlink>
    </w:p>
    <w:p w14:paraId="3D6D0D25"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van der Kamp, M., Tjemkes, B., Duplat, V., &amp; Jehn, K. (2023). On alliance teams: Conceptualization, review, and future research agenda. Human Relations (New York), 76(9), 1382-1413. </w:t>
      </w:r>
      <w:hyperlink r:id="rId55" w:tgtFrame="_blank" w:history="1">
        <w:r w:rsidRPr="00AC3820">
          <w:rPr>
            <w:rStyle w:val="Hyperlink"/>
            <w:color w:val="000000" w:themeColor="text1"/>
          </w:rPr>
          <w:t>https://doi.org/10.1177/00187267221104985</w:t>
        </w:r>
      </w:hyperlink>
      <w:r w:rsidRPr="00AC3820">
        <w:rPr>
          <w:color w:val="000000" w:themeColor="text1"/>
        </w:rPr>
        <w:t xml:space="preserve"> </w:t>
      </w:r>
    </w:p>
    <w:p w14:paraId="1B9E0ACD"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Vaujany, F.-X. de, Leclercq-Vandelannoitte, A., Aroles, J., Introna, L., &amp; Davidson, S. (2025). Rethinking responsibility in the digital age: A narrative approach. MIS Quarterly, 49(4), 1295–1318. </w:t>
      </w:r>
      <w:hyperlink r:id="rId56" w:history="1">
        <w:r w:rsidRPr="00AC3820">
          <w:rPr>
            <w:rStyle w:val="Hyperlink"/>
            <w:color w:val="000000" w:themeColor="text1"/>
          </w:rPr>
          <w:t>https://cnrs.hal.science/hal-04962366v1</w:t>
        </w:r>
      </w:hyperlink>
    </w:p>
    <w:p w14:paraId="19112375" w14:textId="77777777" w:rsidR="0089165D" w:rsidRPr="00AC3820" w:rsidRDefault="0089165D" w:rsidP="0089165D">
      <w:pPr>
        <w:spacing w:line="480" w:lineRule="auto"/>
        <w:rPr>
          <w:color w:val="000000" w:themeColor="text1"/>
        </w:rPr>
      </w:pPr>
      <w:r w:rsidRPr="00AC3820">
        <w:rPr>
          <w:color w:val="000000" w:themeColor="text1"/>
        </w:rPr>
        <w:t>Verizon. (2025). 2025 Data Breach Investigations Report (DBIR).</w:t>
      </w:r>
    </w:p>
    <w:p w14:paraId="4189EFD5"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Vos, J. (2022). A delicate balance: How structure, creativity and innovation play A role in advancing change. HCM Sales, Marketing &amp; Alliance Excellence, 21(11), 15–17. </w:t>
      </w:r>
      <w:hyperlink r:id="rId57" w:tgtFrame="_blank" w:history="1">
        <w:r w:rsidRPr="00AC3820">
          <w:rPr>
            <w:rStyle w:val="Hyperlink"/>
            <w:color w:val="000000" w:themeColor="text1"/>
          </w:rPr>
          <w:t>https://research-ebsco-com.library.capella.edu/linkprocessor/plink?id=64ea6eaa-cac0-3a22-8336-55c3f6626a14</w:t>
        </w:r>
      </w:hyperlink>
    </w:p>
    <w:p w14:paraId="56A319A5" w14:textId="106F84CA" w:rsidR="00EB61EE" w:rsidRPr="00AC3820" w:rsidRDefault="0089165D" w:rsidP="00EB61EE">
      <w:pPr>
        <w:spacing w:line="480" w:lineRule="auto"/>
        <w:ind w:left="630" w:hanging="630"/>
        <w:rPr>
          <w:color w:val="000000" w:themeColor="text1"/>
        </w:rPr>
      </w:pPr>
      <w:r w:rsidRPr="00EB61EE">
        <w:rPr>
          <w:color w:val="000000" w:themeColor="text1"/>
          <w:highlight w:val="cyan"/>
        </w:rPr>
        <w:t>Weill, P., &amp; Ross, J. W. (2004). IT governance</w:t>
      </w:r>
      <w:r w:rsidRPr="00AC3820">
        <w:rPr>
          <w:color w:val="000000" w:themeColor="text1"/>
        </w:rPr>
        <w:t xml:space="preserve">: How top performers manage IT decision rights for superior results. Harvard Business Press. </w:t>
      </w:r>
      <w:hyperlink r:id="rId58" w:history="1">
        <w:r w:rsidR="00EB61EE" w:rsidRPr="00DF654B">
          <w:rPr>
            <w:rStyle w:val="Hyperlink"/>
          </w:rPr>
          <w:t>https://www.researchgate.net/publication/236973378_IT_Governance_How_Top_Performers_Manage_IT_Decision_Rights_for_Superior_Results</w:t>
        </w:r>
      </w:hyperlink>
    </w:p>
    <w:p w14:paraId="3C3F438A" w14:textId="77777777" w:rsidR="0089165D" w:rsidRPr="00AC3820" w:rsidRDefault="0089165D" w:rsidP="0089165D">
      <w:pPr>
        <w:spacing w:line="480" w:lineRule="auto"/>
        <w:ind w:left="630" w:hanging="630"/>
        <w:rPr>
          <w:color w:val="000000" w:themeColor="text1"/>
        </w:rPr>
      </w:pPr>
      <w:r w:rsidRPr="00AC3820">
        <w:rPr>
          <w:color w:val="000000" w:themeColor="text1"/>
        </w:rPr>
        <w:t xml:space="preserve">Weick, K. E. (1989). Theory construction as disciplined imagination. Academy of management review, 14(4), 516-531. </w:t>
      </w:r>
      <w:hyperlink r:id="rId59" w:history="1">
        <w:r w:rsidRPr="00AC3820">
          <w:rPr>
            <w:rStyle w:val="Hyperlink"/>
            <w:color w:val="000000" w:themeColor="text1"/>
          </w:rPr>
          <w:t>https://doi.org/10.5465/a</w:t>
        </w:r>
        <w:r w:rsidRPr="00AC3820">
          <w:rPr>
            <w:rStyle w:val="Hyperlink"/>
            <w:color w:val="000000" w:themeColor="text1"/>
          </w:rPr>
          <w:t>m</w:t>
        </w:r>
        <w:r w:rsidRPr="00AC3820">
          <w:rPr>
            <w:rStyle w:val="Hyperlink"/>
            <w:color w:val="000000" w:themeColor="text1"/>
          </w:rPr>
          <w:t>r.1989.4308376</w:t>
        </w:r>
      </w:hyperlink>
    </w:p>
    <w:p w14:paraId="7E91D1E5" w14:textId="77777777" w:rsidR="00FB5178" w:rsidRDefault="0089165D" w:rsidP="0089165D">
      <w:pPr>
        <w:spacing w:line="480" w:lineRule="auto"/>
        <w:ind w:left="630" w:hanging="630"/>
        <w:rPr>
          <w:color w:val="000000" w:themeColor="text1"/>
        </w:rPr>
      </w:pPr>
      <w:r w:rsidRPr="00AC3820">
        <w:rPr>
          <w:color w:val="000000" w:themeColor="text1"/>
        </w:rPr>
        <w:t xml:space="preserve">Williams, T. A., Gruber, D. A., Sutcliffe, K. M., Shepherd, D. A., &amp; Zhao, E. Y. (2017). Organizational response to adversity: Fusing crisis management and resilience research streams. Academy of Management Annals, 11(2), 733–769. </w:t>
      </w:r>
      <w:hyperlink r:id="rId60" w:history="1">
        <w:r w:rsidR="00FB5178" w:rsidRPr="00DF654B">
          <w:rPr>
            <w:rStyle w:val="Hyperlink"/>
          </w:rPr>
          <w:t>https://doi-org.library.capella.edu/10.5465/annals.2015.0134</w:t>
        </w:r>
      </w:hyperlink>
    </w:p>
    <w:p w14:paraId="0FC2DCED" w14:textId="1DCA5C71" w:rsidR="00FB5178" w:rsidRPr="006C70C5" w:rsidRDefault="00FB5178" w:rsidP="0089165D">
      <w:pPr>
        <w:spacing w:line="480" w:lineRule="auto"/>
        <w:ind w:left="630" w:hanging="630"/>
        <w:rPr>
          <w:color w:val="000000" w:themeColor="text1"/>
        </w:rPr>
      </w:pPr>
      <w:r w:rsidRPr="00FB5178">
        <w:rPr>
          <w:highlight w:val="cyan"/>
        </w:rPr>
        <w:t>Wutich, A., Beresford, M</w:t>
      </w:r>
      <w:r>
        <w:t xml:space="preserve">., &amp; Bernard, H. R. (2024). Sample sizes for 10 types of qualitative data analysis: an integrative review, empirical guidance, and next steps. </w:t>
      </w:r>
      <w:r>
        <w:rPr>
          <w:i/>
          <w:iCs/>
        </w:rPr>
        <w:t>International Journal of Qualitative Methods</w:t>
      </w:r>
      <w:r>
        <w:t xml:space="preserve">, </w:t>
      </w:r>
      <w:r>
        <w:rPr>
          <w:i/>
          <w:iCs/>
        </w:rPr>
        <w:t>23</w:t>
      </w:r>
      <w:r>
        <w:t>, 16094069241296206</w:t>
      </w:r>
    </w:p>
    <w:sectPr w:rsidR="00FB5178" w:rsidRPr="006C70C5" w:rsidSect="0019353A">
      <w:headerReference w:type="even" r:id="rId61"/>
      <w:headerReference w:type="default" r:id="rId62"/>
      <w:footerReference w:type="even" r:id="rId63"/>
      <w:footerReference w:type="default" r:id="rId64"/>
      <w:headerReference w:type="first" r:id="rId65"/>
      <w:footerReference w:type="first" r:id="rId66"/>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c muchnick" w:date="2026-08-24T03:07:00Z" w:initials="mm">
    <w:p w14:paraId="734A10A1" w14:textId="77777777" w:rsidR="00F36A6F" w:rsidRDefault="00F36A6F" w:rsidP="00F36A6F">
      <w:r>
        <w:rPr>
          <w:rStyle w:val="CommentReference"/>
        </w:rPr>
        <w:annotationRef/>
      </w:r>
      <w:r>
        <w:rPr>
          <w:sz w:val="20"/>
          <w:szCs w:val="20"/>
        </w:rPr>
        <w:t>Hi Max – thank you for submitting your Wk 5 assignment!</w:t>
      </w:r>
    </w:p>
    <w:p w14:paraId="7B6CD843" w14:textId="77777777" w:rsidR="00F36A6F" w:rsidRDefault="00F36A6F" w:rsidP="00F36A6F"/>
    <w:p w14:paraId="19B17236" w14:textId="77777777" w:rsidR="00F36A6F" w:rsidRDefault="00F36A6F" w:rsidP="00F36A6F">
      <w:r>
        <w:rPr>
          <w:sz w:val="20"/>
          <w:szCs w:val="20"/>
        </w:rPr>
        <w:t>Good improvements overall. Please see my feedback below and let me know if you have any questions. As before, please be sure to address each comment in full as it pertains to the entire document. I look forward to your Wk 8 assignment. Also as before, please be sure to work off of this document so that my comments stay intact on the document.</w:t>
      </w:r>
    </w:p>
    <w:p w14:paraId="47773C70" w14:textId="77777777" w:rsidR="00F36A6F" w:rsidRDefault="00F36A6F" w:rsidP="00F36A6F"/>
    <w:p w14:paraId="44565EB7" w14:textId="77777777" w:rsidR="00F36A6F" w:rsidRDefault="00F36A6F" w:rsidP="00F36A6F">
      <w:r>
        <w:rPr>
          <w:sz w:val="20"/>
          <w:szCs w:val="20"/>
        </w:rPr>
        <w:t>Regards,</w:t>
      </w:r>
    </w:p>
    <w:p w14:paraId="407C7E01" w14:textId="77777777" w:rsidR="00F36A6F" w:rsidRDefault="00F36A6F" w:rsidP="00F36A6F"/>
    <w:p w14:paraId="66F96227" w14:textId="77777777" w:rsidR="00F36A6F" w:rsidRDefault="00F36A6F" w:rsidP="00F36A6F">
      <w:r>
        <w:rPr>
          <w:sz w:val="20"/>
          <w:szCs w:val="20"/>
        </w:rPr>
        <w:t>Marc</w:t>
      </w:r>
    </w:p>
  </w:comment>
  <w:comment w:id="1" w:author="marc muchnick" w:date="2026-08-02T12:37:00Z" w:initials="mm">
    <w:p w14:paraId="4E700B4D" w14:textId="77777777" w:rsidR="00595C3E" w:rsidRDefault="00595C3E" w:rsidP="00595C3E">
      <w:r>
        <w:rPr>
          <w:rStyle w:val="CommentReference"/>
        </w:rPr>
        <w:annotationRef/>
      </w:r>
      <w:r>
        <w:rPr>
          <w:sz w:val="20"/>
          <w:szCs w:val="20"/>
        </w:rPr>
        <w:t>Need to state your specialization and how project specifically aligns with it.</w:t>
      </w:r>
    </w:p>
  </w:comment>
  <w:comment w:id="2" w:author="marc muchnick" w:date="2026-08-24T09:31:00Z" w:initials="mm">
    <w:p w14:paraId="1DE5A190" w14:textId="77777777" w:rsidR="00D92E80" w:rsidRDefault="00D92E80" w:rsidP="00D92E80">
      <w:r>
        <w:rPr>
          <w:rStyle w:val="CommentReference"/>
        </w:rPr>
        <w:annotationRef/>
      </w:r>
      <w:r>
        <w:rPr>
          <w:sz w:val="20"/>
          <w:szCs w:val="20"/>
        </w:rPr>
        <w:t>same comment.</w:t>
      </w:r>
    </w:p>
  </w:comment>
  <w:comment w:id="3" w:author="marc muchnick" w:date="2026-08-02T12:37:00Z" w:initials="mm">
    <w:p w14:paraId="3B6E7625" w14:textId="77777777" w:rsidR="00595C3E" w:rsidRDefault="00595C3E" w:rsidP="00595C3E">
      <w:r>
        <w:rPr>
          <w:rStyle w:val="CommentReference"/>
        </w:rPr>
        <w:annotationRef/>
      </w:r>
      <w:r>
        <w:rPr>
          <w:sz w:val="20"/>
          <w:szCs w:val="20"/>
        </w:rPr>
        <w:t>source?</w:t>
      </w:r>
    </w:p>
  </w:comment>
  <w:comment w:id="4" w:author="marc muchnick" w:date="2026-08-24T09:31:00Z" w:initials="mm">
    <w:p w14:paraId="5DEE7F37" w14:textId="77777777" w:rsidR="00D92E80" w:rsidRDefault="00D92E80" w:rsidP="00D92E80">
      <w:r>
        <w:rPr>
          <w:rStyle w:val="CommentReference"/>
        </w:rPr>
        <w:annotationRef/>
      </w:r>
      <w:r>
        <w:rPr>
          <w:sz w:val="20"/>
          <w:szCs w:val="20"/>
        </w:rPr>
        <w:t>same comment</w:t>
      </w:r>
    </w:p>
  </w:comment>
  <w:comment w:id="5" w:author="marc muchnick" w:date="2026-08-02T12:38:00Z" w:initials="mm">
    <w:p w14:paraId="17B735DF" w14:textId="77777777" w:rsidR="00595C3E" w:rsidRDefault="00595C3E" w:rsidP="00595C3E">
      <w:r>
        <w:rPr>
          <w:rStyle w:val="CommentReference"/>
        </w:rPr>
        <w:annotationRef/>
      </w:r>
      <w:r>
        <w:rPr>
          <w:sz w:val="20"/>
          <w:szCs w:val="20"/>
        </w:rPr>
        <w:t xml:space="preserve">dated source. Sources need to be from within the last 3-5 years unless seminal or foundational work. </w:t>
      </w:r>
    </w:p>
    <w:p w14:paraId="6A9A69FA" w14:textId="77777777" w:rsidR="00595C3E" w:rsidRDefault="00595C3E" w:rsidP="00595C3E">
      <w:r>
        <w:rPr>
          <w:sz w:val="20"/>
          <w:szCs w:val="20"/>
        </w:rPr>
        <w:t>***Please address throughout the entire document.</w:t>
      </w:r>
    </w:p>
    <w:p w14:paraId="40E07DFA" w14:textId="77777777" w:rsidR="00595C3E" w:rsidRDefault="00595C3E" w:rsidP="00595C3E"/>
  </w:comment>
  <w:comment w:id="6" w:author="marc muchnick" w:date="2026-08-24T09:31:00Z" w:initials="mm">
    <w:p w14:paraId="0E0DB0DC" w14:textId="77777777" w:rsidR="00D92E80" w:rsidRDefault="00D92E80" w:rsidP="00D92E80">
      <w:r>
        <w:rPr>
          <w:rStyle w:val="CommentReference"/>
        </w:rPr>
        <w:annotationRef/>
      </w:r>
      <w:r>
        <w:rPr>
          <w:sz w:val="20"/>
          <w:szCs w:val="20"/>
        </w:rPr>
        <w:t>same comment</w:t>
      </w:r>
    </w:p>
  </w:comment>
  <w:comment w:id="7" w:author="M W" w:date="2026-08-16T11:37:00Z" w:initials="MW">
    <w:p w14:paraId="21E7C82E" w14:textId="77777777" w:rsidR="00570A44" w:rsidRDefault="00570A44" w:rsidP="00570A44">
      <w:r>
        <w:rPr>
          <w:rStyle w:val="CommentReference"/>
        </w:rPr>
        <w:annotationRef/>
      </w:r>
      <w:r>
        <w:rPr>
          <w:sz w:val="20"/>
          <w:szCs w:val="20"/>
        </w:rPr>
        <w:t xml:space="preserve"> REMOVE and change to better word, sentence construct</w:t>
      </w:r>
    </w:p>
  </w:comment>
  <w:comment w:id="8" w:author="M W" w:date="2026-08-16T14:37:00Z" w:initials="MW">
    <w:p w14:paraId="72202B5A" w14:textId="77777777" w:rsidR="00E320E4" w:rsidRDefault="00E320E4" w:rsidP="00E320E4">
      <w:r>
        <w:rPr>
          <w:rStyle w:val="CommentReference"/>
        </w:rPr>
        <w:annotationRef/>
      </w:r>
      <w:r>
        <w:rPr>
          <w:sz w:val="20"/>
          <w:szCs w:val="20"/>
        </w:rPr>
        <w:t xml:space="preserve"> Still not fully happy with this wording, doesnt flow. </w:t>
      </w:r>
    </w:p>
  </w:comment>
  <w:comment w:id="9" w:author="marc muchnick" w:date="2026-08-02T12:42:00Z" w:initials="mm">
    <w:p w14:paraId="0D83FF46" w14:textId="77777777" w:rsidR="00D26D7D" w:rsidRDefault="00D26D7D" w:rsidP="00D26D7D">
      <w:r>
        <w:rPr>
          <w:rStyle w:val="CommentReference"/>
        </w:rPr>
        <w:annotationRef/>
      </w:r>
      <w:r>
        <w:rPr>
          <w:sz w:val="20"/>
          <w:szCs w:val="20"/>
        </w:rPr>
        <w:t>State the term first followed by period then the definition.</w:t>
      </w:r>
    </w:p>
  </w:comment>
  <w:comment w:id="10" w:author="marc muchnick" w:date="2026-08-24T09:33:00Z" w:initials="mm">
    <w:p w14:paraId="275A305A" w14:textId="77777777" w:rsidR="00D92E80" w:rsidRDefault="00D92E80" w:rsidP="00D92E80">
      <w:r>
        <w:rPr>
          <w:rStyle w:val="CommentReference"/>
        </w:rPr>
        <w:annotationRef/>
      </w:r>
      <w:r>
        <w:rPr>
          <w:sz w:val="20"/>
          <w:szCs w:val="20"/>
        </w:rPr>
        <w:t>same comment.</w:t>
      </w:r>
    </w:p>
  </w:comment>
  <w:comment w:id="11" w:author="marc muchnick" w:date="2026-08-24T09:37:00Z" w:initials="mm">
    <w:p w14:paraId="15BA223F" w14:textId="77777777" w:rsidR="006B06AF" w:rsidRDefault="006B06AF" w:rsidP="006B06AF">
      <w:r>
        <w:rPr>
          <w:rStyle w:val="CommentReference"/>
        </w:rPr>
        <w:annotationRef/>
      </w:r>
      <w:r>
        <w:rPr>
          <w:sz w:val="20"/>
          <w:szCs w:val="20"/>
        </w:rPr>
        <w:t>remove - duplicate of previous sentence</w:t>
      </w:r>
    </w:p>
  </w:comment>
  <w:comment w:id="12" w:author="marc muchnick" w:date="2026-08-02T12:45:00Z" w:initials="mm">
    <w:p w14:paraId="61305A72" w14:textId="77777777" w:rsidR="00D26D7D" w:rsidRDefault="00D26D7D" w:rsidP="00D26D7D">
      <w:r>
        <w:rPr>
          <w:rStyle w:val="CommentReference"/>
        </w:rPr>
        <w:annotationRef/>
      </w:r>
      <w:r>
        <w:rPr>
          <w:sz w:val="20"/>
          <w:szCs w:val="20"/>
        </w:rPr>
        <w:t>size of population with source?</w:t>
      </w:r>
    </w:p>
  </w:comment>
  <w:comment w:id="13" w:author="M W" w:date="2026-08-16T13:22:00Z" w:initials="MW">
    <w:p w14:paraId="5D84FEBE" w14:textId="77777777" w:rsidR="00BB1B22" w:rsidRDefault="00BB1B22" w:rsidP="00BB1B22">
      <w:r>
        <w:rPr>
          <w:rStyle w:val="CommentReference"/>
        </w:rPr>
        <w:annotationRef/>
      </w:r>
      <w:hyperlink r:id="rId1" w:history="1">
        <w:r w:rsidRPr="0085242F">
          <w:rPr>
            <w:rStyle w:val="Hyperlink"/>
            <w:sz w:val="20"/>
            <w:szCs w:val="20"/>
          </w:rPr>
          <w:t>https://doi.org/10.3846/jbem.2025.23519</w:t>
        </w:r>
      </w:hyperlink>
      <w:r>
        <w:rPr>
          <w:sz w:val="20"/>
          <w:szCs w:val="20"/>
        </w:rPr>
        <w:t xml:space="preserve"> </w:t>
      </w:r>
    </w:p>
  </w:comment>
  <w:comment w:id="14" w:author="M W" w:date="2026-08-16T14:39:00Z" w:initials="MW">
    <w:p w14:paraId="5955BA26" w14:textId="77777777" w:rsidR="00E320E4" w:rsidRDefault="00E320E4" w:rsidP="00E320E4">
      <w:r>
        <w:rPr>
          <w:rStyle w:val="CommentReference"/>
        </w:rPr>
        <w:annotationRef/>
      </w:r>
      <w:r>
        <w:rPr>
          <w:sz w:val="20"/>
          <w:szCs w:val="20"/>
        </w:rPr>
        <w:t xml:space="preserve">10-200, expansion maybe </w:t>
      </w:r>
    </w:p>
    <w:p w14:paraId="2EF8ADBB" w14:textId="77777777" w:rsidR="00E320E4" w:rsidRDefault="00E320E4" w:rsidP="00E320E4">
      <w:r>
        <w:rPr>
          <w:sz w:val="20"/>
          <w:szCs w:val="20"/>
        </w:rPr>
        <w:t>250</w:t>
      </w:r>
    </w:p>
  </w:comment>
  <w:comment w:id="15" w:author="marc muchnick" w:date="2026-08-24T09:38:00Z" w:initials="mm">
    <w:p w14:paraId="7195C665" w14:textId="77777777" w:rsidR="006B06AF" w:rsidRDefault="006B06AF" w:rsidP="006B06AF">
      <w:r>
        <w:rPr>
          <w:rStyle w:val="CommentReference"/>
        </w:rPr>
        <w:annotationRef/>
      </w:r>
      <w:r>
        <w:rPr>
          <w:sz w:val="20"/>
          <w:szCs w:val="20"/>
        </w:rPr>
        <w:t xml:space="preserve">same comment </w:t>
      </w:r>
    </w:p>
  </w:comment>
  <w:comment w:id="16" w:author="marc muchnick" w:date="2026-08-02T12:44:00Z" w:initials="mm">
    <w:p w14:paraId="170AA35B" w14:textId="77777777" w:rsidR="00D26D7D" w:rsidRDefault="00D26D7D" w:rsidP="00D26D7D">
      <w:r>
        <w:rPr>
          <w:rStyle w:val="CommentReference"/>
        </w:rPr>
        <w:annotationRef/>
      </w:r>
      <w:r>
        <w:rPr>
          <w:sz w:val="20"/>
          <w:szCs w:val="20"/>
        </w:rPr>
        <w:t>15</w:t>
      </w:r>
    </w:p>
  </w:comment>
  <w:comment w:id="17" w:author="M W" w:date="2026-08-16T14:10:00Z" w:initials="MW">
    <w:p w14:paraId="2BED59CC" w14:textId="77777777" w:rsidR="0043707D" w:rsidRDefault="0043707D" w:rsidP="0043707D">
      <w:r>
        <w:rPr>
          <w:rStyle w:val="CommentReference"/>
        </w:rPr>
        <w:annotationRef/>
      </w:r>
      <w:r>
        <w:rPr>
          <w:sz w:val="20"/>
          <w:szCs w:val="20"/>
        </w:rPr>
        <w:t xml:space="preserve"> Updated</w:t>
      </w:r>
    </w:p>
  </w:comment>
  <w:comment w:id="18" w:author="marc muchnick" w:date="2026-08-24T09:39:00Z" w:initials="mm">
    <w:p w14:paraId="1FD7C632" w14:textId="77777777" w:rsidR="006B06AF" w:rsidRDefault="006B06AF" w:rsidP="006B06AF">
      <w:r>
        <w:rPr>
          <w:rStyle w:val="CommentReference"/>
        </w:rPr>
        <w:annotationRef/>
      </w:r>
      <w:r>
        <w:rPr>
          <w:sz w:val="20"/>
          <w:szCs w:val="20"/>
        </w:rPr>
        <w:t>School now is requiring a specific number instead of range - 12 is fine. Please correct throughout document.</w:t>
      </w:r>
    </w:p>
  </w:comment>
  <w:comment w:id="19" w:author="marc muchnick" w:date="2026-08-02T12:47:00Z" w:initials="mm">
    <w:p w14:paraId="0E2988AB" w14:textId="77777777" w:rsidR="00D26D7D" w:rsidRDefault="00D26D7D" w:rsidP="00D26D7D">
      <w:r>
        <w:rPr>
          <w:rStyle w:val="CommentReference"/>
        </w:rPr>
        <w:annotationRef/>
      </w:r>
      <w:r>
        <w:rPr>
          <w:sz w:val="20"/>
          <w:szCs w:val="20"/>
        </w:rPr>
        <w:t>need to discuss theoretical framework and how it informs the project as well here.</w:t>
      </w:r>
    </w:p>
  </w:comment>
  <w:comment w:id="20" w:author="marc muchnick" w:date="2026-08-24T09:43:00Z" w:initials="mm">
    <w:p w14:paraId="188CFFC0" w14:textId="77777777" w:rsidR="00995D09" w:rsidRDefault="00995D09" w:rsidP="00995D09">
      <w:r>
        <w:rPr>
          <w:rStyle w:val="CommentReference"/>
        </w:rPr>
        <w:annotationRef/>
      </w:r>
      <w:r>
        <w:rPr>
          <w:sz w:val="20"/>
          <w:szCs w:val="20"/>
        </w:rPr>
        <w:t>In this section you need to discuss the interview guide development process, including discussion of SME panel review (and why) as well as mock interviews/pilot test (and why). You do not need to complete these activities as part of this course though it is necessary to discuss them as next steps. ***Also need to provide an interview question alignment matrix with four columns from left to right: RQ/interview questions (listed and numbered)/alignment to RQ (insert bullet re: how aligned)/alignment to theoretical framework (insert bullet re: how aligned - also state your theoretical framework). See Project Plan example in courseroom Announcements posted at the beginning of the term.</w:t>
      </w:r>
    </w:p>
    <w:p w14:paraId="4D6A2CA6" w14:textId="77777777" w:rsidR="00995D09" w:rsidRDefault="00995D09" w:rsidP="00995D09"/>
  </w:comment>
  <w:comment w:id="21" w:author="marc muchnick" w:date="2026-08-24T09:42:00Z" w:initials="mm">
    <w:p w14:paraId="3C4652ED" w14:textId="77777777" w:rsidR="00995D09" w:rsidRDefault="00995D09" w:rsidP="00995D09">
      <w:r>
        <w:rPr>
          <w:rStyle w:val="CommentReference"/>
        </w:rPr>
        <w:annotationRef/>
      </w:r>
      <w:r>
        <w:rPr>
          <w:sz w:val="20"/>
          <w:szCs w:val="20"/>
        </w:rPr>
        <w:t>spacing</w:t>
      </w:r>
    </w:p>
  </w:comment>
  <w:comment w:id="22" w:author="marc muchnick" w:date="2026-08-24T19:49:00Z" w:initials="mm">
    <w:p w14:paraId="15856D18" w14:textId="77777777" w:rsidR="00857AF4" w:rsidRDefault="00857AF4" w:rsidP="00857AF4">
      <w:r>
        <w:rPr>
          <w:rStyle w:val="CommentReference"/>
        </w:rPr>
        <w:annotationRef/>
      </w:r>
      <w:r>
        <w:rPr>
          <w:sz w:val="20"/>
          <w:szCs w:val="20"/>
        </w:rPr>
        <w:t>no - interviews only. Please fix throughout document.</w:t>
      </w:r>
    </w:p>
  </w:comment>
  <w:comment w:id="23" w:author="marc muchnick" w:date="2026-08-24T19:50:00Z" w:initials="mm">
    <w:p w14:paraId="1BAF040A" w14:textId="77777777" w:rsidR="00857AF4" w:rsidRDefault="00857AF4" w:rsidP="00857AF4">
      <w:r>
        <w:rPr>
          <w:rStyle w:val="CommentReference"/>
        </w:rPr>
        <w:annotationRef/>
      </w:r>
      <w:r>
        <w:rPr>
          <w:sz w:val="20"/>
          <w:szCs w:val="20"/>
        </w:rPr>
        <w:t>no - interviews only. Please fix throughout document.</w:t>
      </w:r>
    </w:p>
  </w:comment>
  <w:comment w:id="24" w:author="marc muchnick" w:date="2026-08-24T19:50:00Z" w:initials="mm">
    <w:p w14:paraId="489316E2" w14:textId="77777777" w:rsidR="00857AF4" w:rsidRDefault="00857AF4" w:rsidP="00857AF4">
      <w:r>
        <w:rPr>
          <w:rStyle w:val="CommentReference"/>
        </w:rPr>
        <w:annotationRef/>
      </w:r>
      <w:r>
        <w:rPr>
          <w:sz w:val="20"/>
          <w:szCs w:val="20"/>
        </w:rPr>
        <w:t>no - interviews only. Please fix throughout document.</w:t>
      </w:r>
    </w:p>
  </w:comment>
  <w:comment w:id="25" w:author="M W" w:date="2026-08-16T16:58:00Z" w:initials="MW">
    <w:p w14:paraId="35624094" w14:textId="77777777" w:rsidR="00DD2554" w:rsidRDefault="00DD2554" w:rsidP="00DD2554">
      <w:r>
        <w:rPr>
          <w:rStyle w:val="CommentReference"/>
        </w:rPr>
        <w:annotationRef/>
      </w:r>
      <w:r>
        <w:rPr>
          <w:rFonts w:ascii="Arial" w:hAnsi="Arial"/>
          <w:sz w:val="20"/>
          <w:szCs w:val="20"/>
        </w:rPr>
        <w:t xml:space="preserve"> </w:t>
      </w:r>
    </w:p>
  </w:comment>
  <w:comment w:id="26" w:author="marc muchnick" w:date="2026-08-24T09:44:00Z" w:initials="mm">
    <w:p w14:paraId="2E55BF15" w14:textId="77777777" w:rsidR="00995D09" w:rsidRDefault="00995D09" w:rsidP="00995D09">
      <w:r>
        <w:rPr>
          <w:rStyle w:val="CommentReference"/>
        </w:rPr>
        <w:annotationRef/>
      </w:r>
      <w:r>
        <w:rPr>
          <w:sz w:val="20"/>
          <w:szCs w:val="20"/>
        </w:rPr>
        <w:t>no - interviews only. Please fix throughout entire document.</w:t>
      </w:r>
    </w:p>
  </w:comment>
  <w:comment w:id="27" w:author="marc muchnick" w:date="2026-08-24T09:46:00Z" w:initials="mm">
    <w:p w14:paraId="4A57C133" w14:textId="77777777" w:rsidR="00E6017D" w:rsidRDefault="00E6017D" w:rsidP="00E6017D">
      <w:r>
        <w:rPr>
          <w:rStyle w:val="CommentReference"/>
        </w:rPr>
        <w:annotationRef/>
      </w:r>
      <w:r>
        <w:rPr>
          <w:sz w:val="20"/>
          <w:szCs w:val="20"/>
        </w:rPr>
        <w:t>credibility</w:t>
      </w:r>
    </w:p>
  </w:comment>
  <w:comment w:id="28" w:author="M W" w:date="2026-09-05T21:23:00Z" w:initials="MW">
    <w:p w14:paraId="1297950E" w14:textId="77777777" w:rsidR="00BF6248" w:rsidRDefault="00BF6248" w:rsidP="00BF6248">
      <w:r>
        <w:rPr>
          <w:rStyle w:val="CommentReference"/>
        </w:rPr>
        <w:annotationRef/>
      </w:r>
      <w:r>
        <w:rPr>
          <w:sz w:val="20"/>
          <w:szCs w:val="20"/>
        </w:rPr>
        <w:t>Edited word. Adjusted sentence structure. Some</w:t>
      </w:r>
    </w:p>
    <w:p w14:paraId="2C29717C" w14:textId="77777777" w:rsidR="00BF6248" w:rsidRDefault="00BF6248" w:rsidP="00BF6248"/>
  </w:comment>
  <w:comment w:id="29" w:author="M W" w:date="2026-09-06T00:38:00Z" w:initials="MW">
    <w:p w14:paraId="17110248" w14:textId="77777777" w:rsidR="00EB61EE" w:rsidRDefault="00EB61EE" w:rsidP="00EB61EE">
      <w:r>
        <w:rPr>
          <w:rStyle w:val="CommentReference"/>
        </w:rPr>
        <w:annotationRef/>
      </w:r>
      <w:r>
        <w:rPr>
          <w:sz w:val="20"/>
          <w:szCs w:val="20"/>
        </w:rPr>
        <w:t>edited</w:t>
      </w:r>
    </w:p>
    <w:p w14:paraId="02915409" w14:textId="77777777" w:rsidR="00EB61EE" w:rsidRDefault="00EB61EE" w:rsidP="00EB61EE"/>
    <w:p w14:paraId="3EF8E4C9" w14:textId="77777777" w:rsidR="00EB61EE" w:rsidRDefault="00EB61EE" w:rsidP="00EB61EE"/>
  </w:comment>
  <w:comment w:id="30" w:author="marc muchnick" w:date="2026-08-24T09:46:00Z" w:initials="mm">
    <w:p w14:paraId="738951A0" w14:textId="77777777" w:rsidR="00D06C0D" w:rsidRDefault="00D06C0D" w:rsidP="00D06C0D">
      <w:r>
        <w:rPr>
          <w:rStyle w:val="CommentReference"/>
        </w:rPr>
        <w:annotationRef/>
      </w:r>
      <w:r>
        <w:rPr>
          <w:sz w:val="20"/>
          <w:szCs w:val="20"/>
        </w:rPr>
        <w:t>also expert review and pilot test/mock interviews re: interview guide.</w:t>
      </w:r>
    </w:p>
  </w:comment>
  <w:comment w:id="31" w:author="marc muchnick" w:date="2026-08-24T09:47:00Z" w:initials="mm">
    <w:p w14:paraId="6A795FA6" w14:textId="77777777" w:rsidR="00D954B2" w:rsidRDefault="00D954B2" w:rsidP="00D954B2">
      <w:r>
        <w:rPr>
          <w:rStyle w:val="CommentReference"/>
        </w:rPr>
        <w:annotationRef/>
      </w:r>
      <w:r>
        <w:rPr>
          <w:sz w:val="20"/>
          <w:szCs w:val="20"/>
        </w:rPr>
        <w:t>audit</w:t>
      </w:r>
    </w:p>
  </w:comment>
  <w:comment w:id="32" w:author="marc muchnick" w:date="2026-08-24T09:47:00Z" w:initials="mm">
    <w:p w14:paraId="18044054" w14:textId="77777777" w:rsidR="006E44C2" w:rsidRDefault="006E44C2" w:rsidP="006E44C2">
      <w:r>
        <w:rPr>
          <w:rStyle w:val="CommentReference"/>
        </w:rPr>
        <w:annotationRef/>
      </w:r>
      <w:r>
        <w:rPr>
          <w:sz w:val="20"/>
          <w:szCs w:val="20"/>
        </w:rPr>
        <w:t>need to complete.</w:t>
      </w:r>
    </w:p>
  </w:comment>
  <w:comment w:id="33" w:author="M W" w:date="2026-09-05T15:11:00Z" w:initials="MW">
    <w:p w14:paraId="6A090A9E" w14:textId="77777777" w:rsidR="00B5783E" w:rsidRDefault="00B5783E" w:rsidP="00B5783E">
      <w:r>
        <w:rPr>
          <w:rStyle w:val="CommentReference"/>
        </w:rPr>
        <w:annotationRef/>
      </w:r>
      <w:r>
        <w:rPr>
          <w:sz w:val="20"/>
          <w:szCs w:val="20"/>
        </w:rPr>
        <w:t xml:space="preserve"> Completing for input</w:t>
      </w:r>
    </w:p>
    <w:p w14:paraId="1CD31172" w14:textId="77777777" w:rsidR="00B5783E" w:rsidRDefault="00B5783E" w:rsidP="00B5783E"/>
  </w:comment>
  <w:comment w:id="34" w:author="marc muchnick" w:date="2026-08-02T12:47:00Z" w:initials="mm">
    <w:p w14:paraId="6A6CBAD8" w14:textId="77777777" w:rsidR="00D26D7D" w:rsidRDefault="00D26D7D" w:rsidP="00D26D7D">
      <w:r>
        <w:rPr>
          <w:rStyle w:val="CommentReference"/>
        </w:rPr>
        <w:annotationRef/>
      </w:r>
      <w:r>
        <w:rPr>
          <w:sz w:val="20"/>
          <w:szCs w:val="20"/>
        </w:rPr>
        <w:t>need to carefully edit each reference for APA 7th format.</w:t>
      </w:r>
    </w:p>
  </w:comment>
  <w:comment w:id="35" w:author="marc muchnick" w:date="2026-08-24T09:48:00Z" w:initials="mm">
    <w:p w14:paraId="044CCCD0" w14:textId="77777777" w:rsidR="000C2D96" w:rsidRDefault="000C2D96" w:rsidP="000C2D96">
      <w:r>
        <w:rPr>
          <w:rStyle w:val="CommentReference"/>
        </w:rPr>
        <w:annotationRef/>
      </w:r>
      <w:r>
        <w:rPr>
          <w:sz w:val="20"/>
          <w:szCs w:val="20"/>
        </w:rPr>
        <w:t>same comment. Also all dois and URLs need to be hot-linked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F96227" w15:done="0"/>
  <w15:commentEx w15:paraId="4E700B4D" w15:done="0"/>
  <w15:commentEx w15:paraId="1DE5A190" w15:paraIdParent="4E700B4D" w15:done="0"/>
  <w15:commentEx w15:paraId="3B6E7625" w15:done="0"/>
  <w15:commentEx w15:paraId="5DEE7F37" w15:paraIdParent="3B6E7625" w15:done="0"/>
  <w15:commentEx w15:paraId="40E07DFA" w15:done="0"/>
  <w15:commentEx w15:paraId="0E0DB0DC" w15:paraIdParent="40E07DFA" w15:done="0"/>
  <w15:commentEx w15:paraId="21E7C82E" w15:done="0"/>
  <w15:commentEx w15:paraId="72202B5A" w15:paraIdParent="21E7C82E" w15:done="0"/>
  <w15:commentEx w15:paraId="0D83FF46" w15:done="0"/>
  <w15:commentEx w15:paraId="275A305A" w15:paraIdParent="0D83FF46" w15:done="0"/>
  <w15:commentEx w15:paraId="15BA223F" w15:done="0"/>
  <w15:commentEx w15:paraId="61305A72" w15:done="0"/>
  <w15:commentEx w15:paraId="5D84FEBE" w15:paraIdParent="61305A72" w15:done="0"/>
  <w15:commentEx w15:paraId="2EF8ADBB" w15:paraIdParent="61305A72" w15:done="0"/>
  <w15:commentEx w15:paraId="7195C665" w15:paraIdParent="61305A72" w15:done="0"/>
  <w15:commentEx w15:paraId="170AA35B" w15:done="0"/>
  <w15:commentEx w15:paraId="2BED59CC" w15:paraIdParent="170AA35B" w15:done="0"/>
  <w15:commentEx w15:paraId="1FD7C632" w15:paraIdParent="170AA35B" w15:done="0"/>
  <w15:commentEx w15:paraId="0E2988AB" w15:done="0"/>
  <w15:commentEx w15:paraId="4D6A2CA6" w15:done="0"/>
  <w15:commentEx w15:paraId="3C4652ED" w15:done="0"/>
  <w15:commentEx w15:paraId="15856D18" w15:done="0"/>
  <w15:commentEx w15:paraId="1BAF040A" w15:done="0"/>
  <w15:commentEx w15:paraId="489316E2" w15:done="0"/>
  <w15:commentEx w15:paraId="35624094" w15:done="0"/>
  <w15:commentEx w15:paraId="2E55BF15" w15:done="0"/>
  <w15:commentEx w15:paraId="4A57C133" w15:done="0"/>
  <w15:commentEx w15:paraId="2C29717C" w15:paraIdParent="4A57C133" w15:done="0"/>
  <w15:commentEx w15:paraId="3EF8E4C9" w15:paraIdParent="4A57C133" w15:done="0"/>
  <w15:commentEx w15:paraId="738951A0" w15:done="0"/>
  <w15:commentEx w15:paraId="6A795FA6" w15:done="0"/>
  <w15:commentEx w15:paraId="18044054" w15:done="0"/>
  <w15:commentEx w15:paraId="1CD31172" w15:paraIdParent="18044054" w15:done="0"/>
  <w15:commentEx w15:paraId="6A6CBAD8" w15:done="0"/>
  <w15:commentEx w15:paraId="044CCCD0" w15:paraIdParent="6A6CB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8DCE1E" w16cex:dateUtc="2026-08-24T10:07:00Z"/>
  <w16cex:commentExtensible w16cex:durableId="430F2628" w16cex:dateUtc="2026-08-24T16:31:00Z"/>
  <w16cex:commentExtensible w16cex:durableId="615E500B" w16cex:dateUtc="2026-08-24T16:31:00Z"/>
  <w16cex:commentExtensible w16cex:durableId="6F2D0A26" w16cex:dateUtc="2026-08-24T16:31:00Z"/>
  <w16cex:commentExtensible w16cex:durableId="4A31FBFA" w16cex:dateUtc="2026-08-16T15:37:00Z">
    <w16cex:extLst>
      <w16:ext w16:uri="{CE6994B0-6A32-4C9F-8C6B-6E91EDA988CE}">
        <cr:reactions xmlns:cr="http://schemas.microsoft.com/office/comments/2020/reactions">
          <cr:reaction reactionType="1">
            <cr:reactionInfo dateUtc="2026-08-16T18:36:38Z">
              <cr:user userId="2fb1296a58c1b1e7" userProvider="Windows Live" userName="M W"/>
            </cr:reactionInfo>
          </cr:reaction>
        </cr:reactions>
      </w16:ext>
    </w16cex:extLst>
  </w16cex:commentExtensible>
  <w16cex:commentExtensible w16cex:durableId="4491CEFD" w16cex:dateUtc="2026-08-16T18:37:00Z"/>
  <w16cex:commentExtensible w16cex:durableId="4C8153D9">
    <w16cex:extLst>
      <w16:ext w16:uri="{CE6994B0-6A32-4C9F-8C6B-6E91EDA988CE}">
        <cr:reactions xmlns:cr="http://schemas.microsoft.com/office/comments/2020/reactions">
          <cr:reaction reactionType="1">
            <cr:reactionInfo dateUtc="2026-08-16T15:33:47Z">
              <cr:user userId="2fb1296a58c1b1e7" userProvider="Windows Live" userName="M W"/>
            </cr:reactionInfo>
          </cr:reaction>
        </cr:reactions>
      </w16:ext>
    </w16cex:extLst>
  </w16cex:commentExtensible>
  <w16cex:commentExtensible w16cex:durableId="09F873E7" w16cex:dateUtc="2026-08-24T16:33:00Z"/>
  <w16cex:commentExtensible w16cex:durableId="2B64F96A" w16cex:dateUtc="2026-08-24T16:37:00Z"/>
  <w16cex:commentExtensible w16cex:durableId="27CE8253">
    <w16cex:extLst>
      <w16:ext w16:uri="{CE6994B0-6A32-4C9F-8C6B-6E91EDA988CE}">
        <cr:reactions xmlns:cr="http://schemas.microsoft.com/office/comments/2020/reactions">
          <cr:reaction reactionType="1">
            <cr:reactionInfo dateUtc="2026-08-16T17:20:25Z">
              <cr:user userId="2fb1296a58c1b1e7" userProvider="Windows Live" userName="M W"/>
            </cr:reactionInfo>
          </cr:reaction>
        </cr:reactions>
      </w16:ext>
    </w16cex:extLst>
  </w16cex:commentExtensible>
  <w16cex:commentExtensible w16cex:durableId="2A685004" w16cex:dateUtc="2026-08-16T17:22:00Z"/>
  <w16cex:commentExtensible w16cex:durableId="3C0D512A" w16cex:dateUtc="2026-08-16T18:39:00Z"/>
  <w16cex:commentExtensible w16cex:durableId="296D3DF3" w16cex:dateUtc="2026-08-24T16:38:00Z"/>
  <w16cex:commentExtensible w16cex:durableId="375DAC8C">
    <w16cex:extLst>
      <w16:ext w16:uri="{CE6994B0-6A32-4C9F-8C6B-6E91EDA988CE}">
        <cr:reactions xmlns:cr="http://schemas.microsoft.com/office/comments/2020/reactions">
          <cr:reaction reactionType="1">
            <cr:reactionInfo dateUtc="2026-08-16T15:57:19Z">
              <cr:user userId="2fb1296a58c1b1e7" userProvider="Windows Live" userName="M W"/>
            </cr:reactionInfo>
          </cr:reaction>
        </cr:reactions>
      </w16:ext>
    </w16cex:extLst>
  </w16cex:commentExtensible>
  <w16cex:commentExtensible w16cex:durableId="72A1CFA4" w16cex:dateUtc="2026-08-16T18:10:00Z"/>
  <w16cex:commentExtensible w16cex:durableId="63CA1A9E" w16cex:dateUtc="2026-08-24T16:39:00Z"/>
  <w16cex:commentExtensible w16cex:durableId="2658D108" w16cex:dateUtc="2026-08-24T16:43:00Z"/>
  <w16cex:commentExtensible w16cex:durableId="2D8FF603" w16cex:dateUtc="2026-08-24T16:42:00Z"/>
  <w16cex:commentExtensible w16cex:durableId="28B0ECB8" w16cex:dateUtc="2026-08-25T02:49:00Z"/>
  <w16cex:commentExtensible w16cex:durableId="4433C56E" w16cex:dateUtc="2026-08-25T02:50:00Z"/>
  <w16cex:commentExtensible w16cex:durableId="2FD27B32" w16cex:dateUtc="2026-08-25T02:50:00Z"/>
  <w16cex:commentExtensible w16cex:durableId="5FF7F70A" w16cex:dateUtc="2026-08-16T20:58:00Z"/>
  <w16cex:commentExtensible w16cex:durableId="166E9BB9" w16cex:dateUtc="2026-08-24T16:44:00Z"/>
  <w16cex:commentExtensible w16cex:durableId="2FF9D67B" w16cex:dateUtc="2026-08-24T16:46:00Z">
    <w16cex:extLst>
      <w16:ext w16:uri="{CE6994B0-6A32-4C9F-8C6B-6E91EDA988CE}">
        <cr:reactions xmlns:cr="http://schemas.microsoft.com/office/comments/2020/reactions">
          <cr:reaction reactionType="1">
            <cr:reactionInfo dateUtc="2026-09-06T04:37:56Z">
              <cr:user userId="2fb1296a58c1b1e7" userProvider="Windows Live" userName="M W"/>
            </cr:reactionInfo>
          </cr:reaction>
        </cr:reactions>
      </w16:ext>
    </w16cex:extLst>
  </w16cex:commentExtensible>
  <w16cex:commentExtensible w16cex:durableId="40CB7220" w16cex:dateUtc="2026-09-06T01:23:00Z"/>
  <w16cex:commentExtensible w16cex:durableId="15C190A0" w16cex:dateUtc="2026-09-06T04:38:00Z"/>
  <w16cex:commentExtensible w16cex:durableId="25256DC5" w16cex:dateUtc="2026-08-24T16:46:00Z"/>
  <w16cex:commentExtensible w16cex:durableId="142DC138" w16cex:dateUtc="2026-08-24T16:47:00Z"/>
  <w16cex:commentExtensible w16cex:durableId="13F06A5A" w16cex:dateUtc="2026-08-24T16:47:00Z">
    <w16cex:extLst>
      <w16:ext w16:uri="{CE6994B0-6A32-4C9F-8C6B-6E91EDA988CE}">
        <cr:reactions xmlns:cr="http://schemas.microsoft.com/office/comments/2020/reactions">
          <cr:reaction reactionType="1">
            <cr:reactionInfo dateUtc="2026-09-05T19:11:46Z">
              <cr:user userId="2fb1296a58c1b1e7" userProvider="Windows Live" userName="M W"/>
            </cr:reactionInfo>
          </cr:reaction>
        </cr:reactions>
      </w16:ext>
    </w16cex:extLst>
  </w16cex:commentExtensible>
  <w16cex:commentExtensible w16cex:durableId="7A33B66F" w16cex:dateUtc="2026-09-05T19:11:00Z"/>
  <w16cex:commentExtensible w16cex:durableId="1065F867" w16cex:dateUtc="2026-08-24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F96227" w16cid:durableId="3F8DCE1E"/>
  <w16cid:commentId w16cid:paraId="4E700B4D" w16cid:durableId="256BD7DA"/>
  <w16cid:commentId w16cid:paraId="1DE5A190" w16cid:durableId="430F2628"/>
  <w16cid:commentId w16cid:paraId="3B6E7625" w16cid:durableId="570605D8"/>
  <w16cid:commentId w16cid:paraId="5DEE7F37" w16cid:durableId="615E500B"/>
  <w16cid:commentId w16cid:paraId="40E07DFA" w16cid:durableId="03B98072"/>
  <w16cid:commentId w16cid:paraId="0E0DB0DC" w16cid:durableId="6F2D0A26"/>
  <w16cid:commentId w16cid:paraId="21E7C82E" w16cid:durableId="4A31FBFA"/>
  <w16cid:commentId w16cid:paraId="72202B5A" w16cid:durableId="4491CEFD"/>
  <w16cid:commentId w16cid:paraId="0D83FF46" w16cid:durableId="4C8153D9"/>
  <w16cid:commentId w16cid:paraId="275A305A" w16cid:durableId="09F873E7"/>
  <w16cid:commentId w16cid:paraId="15BA223F" w16cid:durableId="2B64F96A"/>
  <w16cid:commentId w16cid:paraId="61305A72" w16cid:durableId="27CE8253"/>
  <w16cid:commentId w16cid:paraId="5D84FEBE" w16cid:durableId="2A685004"/>
  <w16cid:commentId w16cid:paraId="2EF8ADBB" w16cid:durableId="3C0D512A"/>
  <w16cid:commentId w16cid:paraId="7195C665" w16cid:durableId="296D3DF3"/>
  <w16cid:commentId w16cid:paraId="170AA35B" w16cid:durableId="375DAC8C"/>
  <w16cid:commentId w16cid:paraId="2BED59CC" w16cid:durableId="72A1CFA4"/>
  <w16cid:commentId w16cid:paraId="1FD7C632" w16cid:durableId="63CA1A9E"/>
  <w16cid:commentId w16cid:paraId="0E2988AB" w16cid:durableId="4A3DF833"/>
  <w16cid:commentId w16cid:paraId="4D6A2CA6" w16cid:durableId="2658D108"/>
  <w16cid:commentId w16cid:paraId="3C4652ED" w16cid:durableId="2D8FF603"/>
  <w16cid:commentId w16cid:paraId="15856D18" w16cid:durableId="28B0ECB8"/>
  <w16cid:commentId w16cid:paraId="1BAF040A" w16cid:durableId="4433C56E"/>
  <w16cid:commentId w16cid:paraId="489316E2" w16cid:durableId="2FD27B32"/>
  <w16cid:commentId w16cid:paraId="35624094" w16cid:durableId="5FF7F70A"/>
  <w16cid:commentId w16cid:paraId="2E55BF15" w16cid:durableId="166E9BB9"/>
  <w16cid:commentId w16cid:paraId="4A57C133" w16cid:durableId="2FF9D67B"/>
  <w16cid:commentId w16cid:paraId="2C29717C" w16cid:durableId="40CB7220"/>
  <w16cid:commentId w16cid:paraId="3EF8E4C9" w16cid:durableId="15C190A0"/>
  <w16cid:commentId w16cid:paraId="738951A0" w16cid:durableId="25256DC5"/>
  <w16cid:commentId w16cid:paraId="6A795FA6" w16cid:durableId="142DC138"/>
  <w16cid:commentId w16cid:paraId="18044054" w16cid:durableId="13F06A5A"/>
  <w16cid:commentId w16cid:paraId="1CD31172" w16cid:durableId="7A33B66F"/>
  <w16cid:commentId w16cid:paraId="6A6CBAD8" w16cid:durableId="2BE3F3EA"/>
  <w16cid:commentId w16cid:paraId="044CCCD0" w16cid:durableId="1065F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FF8E17" w14:textId="77777777" w:rsidR="00990491" w:rsidRDefault="00990491">
      <w:r>
        <w:separator/>
      </w:r>
    </w:p>
  </w:endnote>
  <w:endnote w:type="continuationSeparator" w:id="0">
    <w:p w14:paraId="5B946595" w14:textId="77777777" w:rsidR="00990491" w:rsidRDefault="00990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95EA3" w14:textId="77777777" w:rsidR="000C5620" w:rsidRDefault="000C5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A32F3"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8615C3">
      <w:rPr>
        <w:rStyle w:val="PageNumber"/>
        <w:noProof/>
      </w:rPr>
      <w:t>2</w:t>
    </w:r>
    <w:r w:rsidRPr="009E5038">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8A2B2" w14:textId="77777777" w:rsidR="0019353A" w:rsidRPr="009E5038" w:rsidRDefault="0019353A" w:rsidP="0019353A">
    <w:pPr>
      <w:pStyle w:val="Footer"/>
      <w:pBdr>
        <w:top w:val="single" w:sz="12" w:space="3" w:color="808080"/>
      </w:pBdr>
      <w:tabs>
        <w:tab w:val="clear" w:pos="4320"/>
        <w:tab w:val="clear" w:pos="8640"/>
        <w:tab w:val="right" w:pos="9360"/>
      </w:tabs>
      <w:jc w:val="right"/>
    </w:pPr>
    <w:r w:rsidRPr="009E5038">
      <w:rPr>
        <w:rStyle w:val="PageNumber"/>
      </w:rPr>
      <w:fldChar w:fldCharType="begin"/>
    </w:r>
    <w:r w:rsidRPr="009E5038">
      <w:rPr>
        <w:rStyle w:val="PageNumber"/>
      </w:rPr>
      <w:instrText xml:space="preserve"> PAGE </w:instrText>
    </w:r>
    <w:r w:rsidRPr="009E5038">
      <w:rPr>
        <w:rStyle w:val="PageNumber"/>
      </w:rPr>
      <w:fldChar w:fldCharType="separate"/>
    </w:r>
    <w:r w:rsidR="00927979">
      <w:rPr>
        <w:rStyle w:val="PageNumber"/>
        <w:noProof/>
      </w:rPr>
      <w:t>1</w:t>
    </w:r>
    <w:r w:rsidRPr="009E5038">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F57AB6" w14:textId="77777777" w:rsidR="00990491" w:rsidRDefault="00990491">
      <w:r>
        <w:separator/>
      </w:r>
    </w:p>
  </w:footnote>
  <w:footnote w:type="continuationSeparator" w:id="0">
    <w:p w14:paraId="1CA5A235" w14:textId="77777777" w:rsidR="00990491" w:rsidRDefault="00990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508FE" w14:textId="2834C027" w:rsidR="000C5620" w:rsidRDefault="000C5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965CC" w14:textId="0ABC68DF" w:rsidR="0019353A" w:rsidRDefault="00D737F0" w:rsidP="0019353A">
    <w:pPr>
      <w:pStyle w:val="Header"/>
      <w:pBdr>
        <w:bottom w:val="single" w:sz="12" w:space="3" w:color="808080"/>
      </w:pBdr>
      <w:tabs>
        <w:tab w:val="clear" w:pos="4320"/>
        <w:tab w:val="clear" w:pos="8640"/>
        <w:tab w:val="right" w:pos="9360"/>
      </w:tabs>
    </w:pPr>
    <w:r w:rsidRPr="00ED3889">
      <w:rPr>
        <w:b/>
        <w:noProof/>
      </w:rPr>
      <w:drawing>
        <wp:inline distT="0" distB="0" distL="0" distR="0" wp14:anchorId="08222436" wp14:editId="20D3D295">
          <wp:extent cx="1854200" cy="393700"/>
          <wp:effectExtent l="0" t="0" r="0" b="0"/>
          <wp:docPr id="1"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19353A">
      <w:tab/>
    </w:r>
    <w:r w:rsidR="00F02D49">
      <w:rPr>
        <w:rStyle w:val="Heading1Char"/>
      </w:rPr>
      <w:t>Project</w:t>
    </w:r>
    <w:r w:rsidR="00F02D49" w:rsidRPr="00F32887">
      <w:rPr>
        <w:rStyle w:val="Heading1Char"/>
      </w:rPr>
      <w:t xml:space="preserve"> </w:t>
    </w:r>
    <w:r w:rsidR="00F32887" w:rsidRPr="00F32887">
      <w:rPr>
        <w:rStyle w:val="Heading1Char"/>
      </w:rPr>
      <w:t>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D073D" w14:textId="79074D7D" w:rsidR="00B900D2" w:rsidRDefault="00D737F0" w:rsidP="00464746">
    <w:pPr>
      <w:pStyle w:val="Heading1"/>
    </w:pPr>
    <w:r w:rsidRPr="00ED3889">
      <w:rPr>
        <w:rFonts w:ascii="Times New Roman" w:hAnsi="Times New Roman"/>
        <w:b w:val="0"/>
        <w:noProof/>
      </w:rPr>
      <w:drawing>
        <wp:inline distT="0" distB="0" distL="0" distR="0" wp14:anchorId="794262FC" wp14:editId="02DC5AFB">
          <wp:extent cx="1854200" cy="393700"/>
          <wp:effectExtent l="0" t="0" r="0" b="0"/>
          <wp:docPr id="2" name="Picture 3" descr="A picture containing text, sign,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ign, dark&#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200" cy="393700"/>
                  </a:xfrm>
                  <a:prstGeom prst="rect">
                    <a:avLst/>
                  </a:prstGeom>
                  <a:noFill/>
                  <a:ln>
                    <a:noFill/>
                  </a:ln>
                </pic:spPr>
              </pic:pic>
            </a:graphicData>
          </a:graphic>
        </wp:inline>
      </w:drawing>
    </w:r>
    <w:r w:rsidR="00B900D2">
      <w:rPr>
        <w:noProof/>
      </w:rPr>
      <w:t xml:space="preserve">                                      </w:t>
    </w:r>
    <w:r w:rsidR="00F02D49">
      <w:rPr>
        <w:noProof/>
      </w:rPr>
      <w:t xml:space="preserve">     </w:t>
    </w:r>
    <w:r w:rsidR="00F02D49">
      <w:t>Project</w:t>
    </w:r>
    <w:r w:rsidR="00B900D2">
      <w:t xml:space="preserve"> Plan</w:t>
    </w:r>
  </w:p>
  <w:p w14:paraId="624B5718" w14:textId="77777777" w:rsidR="0019353A" w:rsidRDefault="0019353A" w:rsidP="0019353A">
    <w:pPr>
      <w:pStyle w:val="Header"/>
      <w:pBdr>
        <w:bottom w:val="single" w:sz="12" w:space="3" w:color="808080"/>
      </w:pBdr>
      <w:tabs>
        <w:tab w:val="clear" w:pos="4320"/>
        <w:tab w:val="clear" w:pos="8640"/>
        <w:tab w:val="right"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329FE"/>
    <w:multiLevelType w:val="multilevel"/>
    <w:tmpl w:val="5682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7E2C"/>
    <w:multiLevelType w:val="hybridMultilevel"/>
    <w:tmpl w:val="6CC42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06DC8"/>
    <w:multiLevelType w:val="multilevel"/>
    <w:tmpl w:val="C03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15C6"/>
    <w:multiLevelType w:val="hybridMultilevel"/>
    <w:tmpl w:val="FB44E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962A9"/>
    <w:multiLevelType w:val="hybridMultilevel"/>
    <w:tmpl w:val="511C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472177"/>
    <w:multiLevelType w:val="hybridMultilevel"/>
    <w:tmpl w:val="F59E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93F3A"/>
    <w:multiLevelType w:val="multilevel"/>
    <w:tmpl w:val="194E3E12"/>
    <w:lvl w:ilvl="0">
      <w:start w:val="1"/>
      <w:numFmt w:val="bullet"/>
      <w:pStyle w:val="stylebulleted"/>
      <w:lvlText w:val=""/>
      <w:lvlJc w:val="left"/>
      <w:pPr>
        <w:tabs>
          <w:tab w:val="num" w:pos="360"/>
        </w:tabs>
        <w:ind w:left="360" w:hanging="360"/>
      </w:pPr>
      <w:rPr>
        <w:rFonts w:ascii="Symbol" w:hAnsi="Symbol" w:hint="default"/>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3E84A9A"/>
    <w:multiLevelType w:val="hybridMultilevel"/>
    <w:tmpl w:val="7C123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F264A"/>
    <w:multiLevelType w:val="multilevel"/>
    <w:tmpl w:val="7B96BC6A"/>
    <w:lvl w:ilvl="0">
      <w:start w:val="1"/>
      <w:numFmt w:val="decimal"/>
      <w:pStyle w:val="stylenumbered"/>
      <w:lvlText w:val="%1."/>
      <w:lvlJc w:val="left"/>
      <w:pPr>
        <w:tabs>
          <w:tab w:val="num" w:pos="720"/>
        </w:tabs>
        <w:ind w:left="720" w:hanging="360"/>
      </w:pPr>
      <w:rPr>
        <w:rFonts w:ascii="Arial" w:hAnsi="Arial" w:hint="default"/>
        <w:b w:val="0"/>
        <w:i w:val="0"/>
        <w:color w:val="auto"/>
        <w:sz w:val="22"/>
        <w:szCs w:val="20"/>
        <w:u w:val="none"/>
      </w:rPr>
    </w:lvl>
    <w:lvl w:ilvl="1">
      <w:start w:val="1"/>
      <w:numFmt w:val="bullet"/>
      <w:lvlText w:val=""/>
      <w:lvlJc w:val="left"/>
      <w:pPr>
        <w:tabs>
          <w:tab w:val="num" w:pos="1440"/>
        </w:tabs>
        <w:ind w:left="1440" w:hanging="360"/>
      </w:pPr>
      <w:rPr>
        <w:rFonts w:ascii="Symbol" w:hAnsi="Symbol"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5C5FD7"/>
    <w:multiLevelType w:val="hybridMultilevel"/>
    <w:tmpl w:val="2D3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5930">
    <w:abstractNumId w:val="6"/>
  </w:num>
  <w:num w:numId="2" w16cid:durableId="2022781730">
    <w:abstractNumId w:val="8"/>
  </w:num>
  <w:num w:numId="3" w16cid:durableId="1337074381">
    <w:abstractNumId w:val="7"/>
  </w:num>
  <w:num w:numId="4" w16cid:durableId="1026835310">
    <w:abstractNumId w:val="4"/>
  </w:num>
  <w:num w:numId="5" w16cid:durableId="249194543">
    <w:abstractNumId w:val="1"/>
  </w:num>
  <w:num w:numId="6" w16cid:durableId="429282892">
    <w:abstractNumId w:val="3"/>
  </w:num>
  <w:num w:numId="7" w16cid:durableId="1963918542">
    <w:abstractNumId w:val="9"/>
  </w:num>
  <w:num w:numId="8" w16cid:durableId="232928999">
    <w:abstractNumId w:val="5"/>
  </w:num>
  <w:num w:numId="9" w16cid:durableId="1794668582">
    <w:abstractNumId w:val="0"/>
  </w:num>
  <w:num w:numId="10" w16cid:durableId="11841259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 muchnick">
    <w15:presenceInfo w15:providerId="Windows Live" w15:userId="68cdca564bc9674f"/>
  </w15:person>
  <w15:person w15:author="M W">
    <w15:presenceInfo w15:providerId="Windows Live" w15:userId="2fb1296a58c1b1e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2NTQyMjA2MzEzMTJX0lEKTi0uzszPAykwrAUAFqFPwiwAAAA="/>
  </w:docVars>
  <w:rsids>
    <w:rsidRoot w:val="005B7B81"/>
    <w:rsid w:val="000209A9"/>
    <w:rsid w:val="00060C75"/>
    <w:rsid w:val="00064448"/>
    <w:rsid w:val="00085A33"/>
    <w:rsid w:val="00085F93"/>
    <w:rsid w:val="000A2B25"/>
    <w:rsid w:val="000A2C67"/>
    <w:rsid w:val="000B1F9D"/>
    <w:rsid w:val="000C2D96"/>
    <w:rsid w:val="000C5620"/>
    <w:rsid w:val="000E7013"/>
    <w:rsid w:val="00106231"/>
    <w:rsid w:val="001111D1"/>
    <w:rsid w:val="001130DB"/>
    <w:rsid w:val="001175F6"/>
    <w:rsid w:val="0012191E"/>
    <w:rsid w:val="00123D5B"/>
    <w:rsid w:val="00144EF4"/>
    <w:rsid w:val="00145206"/>
    <w:rsid w:val="00152735"/>
    <w:rsid w:val="00166839"/>
    <w:rsid w:val="00170830"/>
    <w:rsid w:val="00175626"/>
    <w:rsid w:val="00181DB1"/>
    <w:rsid w:val="00191F09"/>
    <w:rsid w:val="0019353A"/>
    <w:rsid w:val="0019525A"/>
    <w:rsid w:val="001A31D2"/>
    <w:rsid w:val="001A4177"/>
    <w:rsid w:val="001B1529"/>
    <w:rsid w:val="001E5A84"/>
    <w:rsid w:val="00202E6F"/>
    <w:rsid w:val="00215499"/>
    <w:rsid w:val="0022491A"/>
    <w:rsid w:val="00227E79"/>
    <w:rsid w:val="00230539"/>
    <w:rsid w:val="00242852"/>
    <w:rsid w:val="00247AE5"/>
    <w:rsid w:val="002601E0"/>
    <w:rsid w:val="00270594"/>
    <w:rsid w:val="0028214A"/>
    <w:rsid w:val="002874EC"/>
    <w:rsid w:val="00295F7A"/>
    <w:rsid w:val="002B3EC0"/>
    <w:rsid w:val="002B3FBC"/>
    <w:rsid w:val="002B52AA"/>
    <w:rsid w:val="002B77EC"/>
    <w:rsid w:val="002E6F1C"/>
    <w:rsid w:val="002F5D66"/>
    <w:rsid w:val="003106F6"/>
    <w:rsid w:val="00320DC6"/>
    <w:rsid w:val="003231E4"/>
    <w:rsid w:val="00331E2D"/>
    <w:rsid w:val="00382E77"/>
    <w:rsid w:val="00392604"/>
    <w:rsid w:val="003957AE"/>
    <w:rsid w:val="003B1FA2"/>
    <w:rsid w:val="003B6396"/>
    <w:rsid w:val="003E4931"/>
    <w:rsid w:val="003F55BF"/>
    <w:rsid w:val="00402F5A"/>
    <w:rsid w:val="004054AE"/>
    <w:rsid w:val="0040634F"/>
    <w:rsid w:val="00410301"/>
    <w:rsid w:val="0043707D"/>
    <w:rsid w:val="00437946"/>
    <w:rsid w:val="00442481"/>
    <w:rsid w:val="00464746"/>
    <w:rsid w:val="004664CF"/>
    <w:rsid w:val="00480DEB"/>
    <w:rsid w:val="00482DF4"/>
    <w:rsid w:val="004A7103"/>
    <w:rsid w:val="004B2AB4"/>
    <w:rsid w:val="004B3856"/>
    <w:rsid w:val="004C1DED"/>
    <w:rsid w:val="004E5957"/>
    <w:rsid w:val="004F1821"/>
    <w:rsid w:val="004F4A7B"/>
    <w:rsid w:val="004F74AF"/>
    <w:rsid w:val="00524F64"/>
    <w:rsid w:val="005328E8"/>
    <w:rsid w:val="00536967"/>
    <w:rsid w:val="00537FD4"/>
    <w:rsid w:val="00567231"/>
    <w:rsid w:val="00570A44"/>
    <w:rsid w:val="00595C3E"/>
    <w:rsid w:val="005B40D6"/>
    <w:rsid w:val="005B46DA"/>
    <w:rsid w:val="005B7B81"/>
    <w:rsid w:val="005C07EF"/>
    <w:rsid w:val="005E0D91"/>
    <w:rsid w:val="005E7687"/>
    <w:rsid w:val="00607A61"/>
    <w:rsid w:val="006106AF"/>
    <w:rsid w:val="00640AA3"/>
    <w:rsid w:val="00666326"/>
    <w:rsid w:val="0067617E"/>
    <w:rsid w:val="00687642"/>
    <w:rsid w:val="00695D92"/>
    <w:rsid w:val="00697B29"/>
    <w:rsid w:val="006B06AF"/>
    <w:rsid w:val="006C0B44"/>
    <w:rsid w:val="006C70C5"/>
    <w:rsid w:val="006E0E3F"/>
    <w:rsid w:val="006E44C2"/>
    <w:rsid w:val="00705317"/>
    <w:rsid w:val="00720AE5"/>
    <w:rsid w:val="00720EFC"/>
    <w:rsid w:val="00734905"/>
    <w:rsid w:val="0073689A"/>
    <w:rsid w:val="0073745A"/>
    <w:rsid w:val="0078284A"/>
    <w:rsid w:val="007868DE"/>
    <w:rsid w:val="00791F76"/>
    <w:rsid w:val="007A693C"/>
    <w:rsid w:val="007B1460"/>
    <w:rsid w:val="007C0764"/>
    <w:rsid w:val="007C27F5"/>
    <w:rsid w:val="007C6C25"/>
    <w:rsid w:val="007D1DA6"/>
    <w:rsid w:val="00825B29"/>
    <w:rsid w:val="008529C6"/>
    <w:rsid w:val="00857AF4"/>
    <w:rsid w:val="00861114"/>
    <w:rsid w:val="008615C3"/>
    <w:rsid w:val="008808E5"/>
    <w:rsid w:val="0089165D"/>
    <w:rsid w:val="00891FB6"/>
    <w:rsid w:val="008965F6"/>
    <w:rsid w:val="008C1B5E"/>
    <w:rsid w:val="008E793E"/>
    <w:rsid w:val="00927979"/>
    <w:rsid w:val="0094178A"/>
    <w:rsid w:val="00954DD7"/>
    <w:rsid w:val="0097416C"/>
    <w:rsid w:val="0097450F"/>
    <w:rsid w:val="00974A23"/>
    <w:rsid w:val="00982976"/>
    <w:rsid w:val="00990491"/>
    <w:rsid w:val="00990CE5"/>
    <w:rsid w:val="00995D09"/>
    <w:rsid w:val="00996595"/>
    <w:rsid w:val="009A08F8"/>
    <w:rsid w:val="009E0769"/>
    <w:rsid w:val="009E40DF"/>
    <w:rsid w:val="009E65FA"/>
    <w:rsid w:val="009F77DC"/>
    <w:rsid w:val="00A16E1D"/>
    <w:rsid w:val="00A16ECD"/>
    <w:rsid w:val="00A41367"/>
    <w:rsid w:val="00A41DAF"/>
    <w:rsid w:val="00A7120A"/>
    <w:rsid w:val="00AA13BF"/>
    <w:rsid w:val="00AB4E8B"/>
    <w:rsid w:val="00AC0630"/>
    <w:rsid w:val="00AC37A0"/>
    <w:rsid w:val="00AC3820"/>
    <w:rsid w:val="00AD3765"/>
    <w:rsid w:val="00AE2749"/>
    <w:rsid w:val="00B051AD"/>
    <w:rsid w:val="00B12AEE"/>
    <w:rsid w:val="00B13089"/>
    <w:rsid w:val="00B33F2E"/>
    <w:rsid w:val="00B341F2"/>
    <w:rsid w:val="00B5783E"/>
    <w:rsid w:val="00B64032"/>
    <w:rsid w:val="00B824A1"/>
    <w:rsid w:val="00B874CC"/>
    <w:rsid w:val="00B900D2"/>
    <w:rsid w:val="00B93CA5"/>
    <w:rsid w:val="00B96AE3"/>
    <w:rsid w:val="00BA0818"/>
    <w:rsid w:val="00BB1B22"/>
    <w:rsid w:val="00BB3A81"/>
    <w:rsid w:val="00BE2C53"/>
    <w:rsid w:val="00BF5ECF"/>
    <w:rsid w:val="00BF6248"/>
    <w:rsid w:val="00C17561"/>
    <w:rsid w:val="00C56A74"/>
    <w:rsid w:val="00C601A3"/>
    <w:rsid w:val="00C626CC"/>
    <w:rsid w:val="00C63FDE"/>
    <w:rsid w:val="00C8439A"/>
    <w:rsid w:val="00C87E10"/>
    <w:rsid w:val="00C91A6C"/>
    <w:rsid w:val="00C9264C"/>
    <w:rsid w:val="00C92BAE"/>
    <w:rsid w:val="00CA40D3"/>
    <w:rsid w:val="00CC218E"/>
    <w:rsid w:val="00CD6674"/>
    <w:rsid w:val="00CF1C12"/>
    <w:rsid w:val="00CF5F34"/>
    <w:rsid w:val="00D00934"/>
    <w:rsid w:val="00D04E02"/>
    <w:rsid w:val="00D06C0D"/>
    <w:rsid w:val="00D13A65"/>
    <w:rsid w:val="00D141C0"/>
    <w:rsid w:val="00D16B15"/>
    <w:rsid w:val="00D26D7D"/>
    <w:rsid w:val="00D43857"/>
    <w:rsid w:val="00D505B2"/>
    <w:rsid w:val="00D6305A"/>
    <w:rsid w:val="00D737F0"/>
    <w:rsid w:val="00D73EE2"/>
    <w:rsid w:val="00D75DF9"/>
    <w:rsid w:val="00D92E80"/>
    <w:rsid w:val="00D944AC"/>
    <w:rsid w:val="00D9465E"/>
    <w:rsid w:val="00D954B2"/>
    <w:rsid w:val="00D95A66"/>
    <w:rsid w:val="00D9774E"/>
    <w:rsid w:val="00DA02DF"/>
    <w:rsid w:val="00DB7ECC"/>
    <w:rsid w:val="00DC3916"/>
    <w:rsid w:val="00DD2554"/>
    <w:rsid w:val="00DD7FBE"/>
    <w:rsid w:val="00DE29C6"/>
    <w:rsid w:val="00E26A16"/>
    <w:rsid w:val="00E320E4"/>
    <w:rsid w:val="00E330FA"/>
    <w:rsid w:val="00E35752"/>
    <w:rsid w:val="00E432C2"/>
    <w:rsid w:val="00E43461"/>
    <w:rsid w:val="00E5476D"/>
    <w:rsid w:val="00E56BF8"/>
    <w:rsid w:val="00E6017D"/>
    <w:rsid w:val="00E65F99"/>
    <w:rsid w:val="00E6662C"/>
    <w:rsid w:val="00E76FF5"/>
    <w:rsid w:val="00E8413B"/>
    <w:rsid w:val="00EA3DFD"/>
    <w:rsid w:val="00EA434C"/>
    <w:rsid w:val="00EB40C0"/>
    <w:rsid w:val="00EB4677"/>
    <w:rsid w:val="00EB61EE"/>
    <w:rsid w:val="00EC580B"/>
    <w:rsid w:val="00ED3889"/>
    <w:rsid w:val="00F0144F"/>
    <w:rsid w:val="00F02D49"/>
    <w:rsid w:val="00F07F52"/>
    <w:rsid w:val="00F262B1"/>
    <w:rsid w:val="00F32887"/>
    <w:rsid w:val="00F36A6F"/>
    <w:rsid w:val="00F4245E"/>
    <w:rsid w:val="00F75B74"/>
    <w:rsid w:val="00F770BC"/>
    <w:rsid w:val="00F83B07"/>
    <w:rsid w:val="00F96084"/>
    <w:rsid w:val="00F96425"/>
    <w:rsid w:val="00FA7944"/>
    <w:rsid w:val="00FB17F9"/>
    <w:rsid w:val="00FB5178"/>
    <w:rsid w:val="00FC3204"/>
    <w:rsid w:val="00FC4C49"/>
    <w:rsid w:val="00FE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39AAD"/>
  <w15:chartTrackingRefBased/>
  <w15:docId w15:val="{76C0A5F8-BAE8-BB4C-B0D0-BE046A09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178"/>
    <w:rPr>
      <w:rFonts w:ascii="Times New Roman" w:hAnsi="Times New Roman"/>
      <w:sz w:val="24"/>
      <w:szCs w:val="24"/>
    </w:rPr>
  </w:style>
  <w:style w:type="paragraph" w:styleId="Heading1">
    <w:name w:val="heading 1"/>
    <w:next w:val="Normal"/>
    <w:link w:val="Heading1Char"/>
    <w:qFormat/>
    <w:rsid w:val="00382E77"/>
    <w:pPr>
      <w:pageBreakBefore/>
      <w:spacing w:before="240" w:after="120"/>
      <w:outlineLvl w:val="0"/>
    </w:pPr>
    <w:rPr>
      <w:b/>
      <w:sz w:val="36"/>
      <w:szCs w:val="18"/>
    </w:rPr>
  </w:style>
  <w:style w:type="paragraph" w:styleId="Heading2">
    <w:name w:val="heading 2"/>
    <w:next w:val="Normal"/>
    <w:link w:val="Heading2Char"/>
    <w:qFormat/>
    <w:rsid w:val="00382E77"/>
    <w:pPr>
      <w:spacing w:before="360" w:after="60"/>
      <w:outlineLvl w:val="1"/>
    </w:pPr>
    <w:rPr>
      <w:rFonts w:cs="Arial"/>
      <w:b/>
      <w:bCs/>
      <w:color w:val="000000"/>
      <w:sz w:val="32"/>
      <w:szCs w:val="32"/>
    </w:rPr>
  </w:style>
  <w:style w:type="paragraph" w:styleId="Heading3">
    <w:name w:val="heading 3"/>
    <w:basedOn w:val="Normal"/>
    <w:next w:val="Normal"/>
    <w:link w:val="Heading3Char"/>
    <w:qFormat/>
    <w:rsid w:val="00382E77"/>
    <w:pPr>
      <w:keepNext/>
      <w:spacing w:before="240" w:after="60"/>
      <w:outlineLvl w:val="2"/>
    </w:pPr>
    <w:rPr>
      <w:rFonts w:cs="Arial"/>
      <w:b/>
      <w:bCs/>
      <w:sz w:val="28"/>
      <w:szCs w:val="26"/>
    </w:rPr>
  </w:style>
  <w:style w:type="paragraph" w:styleId="Heading4">
    <w:name w:val="heading 4"/>
    <w:basedOn w:val="Normal"/>
    <w:next w:val="Normal"/>
    <w:link w:val="Heading4Char"/>
    <w:qFormat/>
    <w:rsid w:val="00382E77"/>
    <w:pPr>
      <w:keepNext/>
      <w:spacing w:before="240" w:after="60"/>
      <w:outlineLvl w:val="3"/>
    </w:pPr>
    <w:rPr>
      <w:b/>
      <w:bCs/>
      <w:szCs w:val="28"/>
    </w:rPr>
  </w:style>
  <w:style w:type="paragraph" w:styleId="Heading5">
    <w:name w:val="heading 5"/>
    <w:basedOn w:val="Normal"/>
    <w:next w:val="Normal"/>
    <w:link w:val="Heading5Char"/>
    <w:qFormat/>
    <w:rsid w:val="00382E77"/>
    <w:pPr>
      <w:spacing w:before="240" w:after="60"/>
      <w:outlineLvl w:val="4"/>
    </w:pPr>
    <w:rPr>
      <w:b/>
      <w:bCs/>
      <w:iCs/>
      <w:szCs w:val="26"/>
    </w:rPr>
  </w:style>
  <w:style w:type="paragraph" w:styleId="Heading6">
    <w:name w:val="heading 6"/>
    <w:aliases w:val="apaindent"/>
    <w:basedOn w:val="Normal"/>
    <w:next w:val="Normal"/>
    <w:link w:val="Heading6Char"/>
    <w:qFormat/>
    <w:rsid w:val="00382E77"/>
    <w:pPr>
      <w:spacing w:before="120" w:after="60"/>
      <w:ind w:left="720" w:hanging="720"/>
      <w:outlineLvl w:val="5"/>
    </w:pPr>
    <w:rPr>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B341F2"/>
    <w:pPr>
      <w:spacing w:before="360"/>
      <w:ind w:left="720"/>
    </w:pPr>
    <w:rPr>
      <w:rFonts w:ascii="Arial" w:hAnsi="Arial" w:cs="Arial"/>
      <w:b/>
      <w:bCs/>
    </w:rPr>
  </w:style>
  <w:style w:type="paragraph" w:styleId="Header">
    <w:name w:val="header"/>
    <w:basedOn w:val="Normal"/>
    <w:rsid w:val="005B7B81"/>
    <w:pPr>
      <w:tabs>
        <w:tab w:val="center" w:pos="4320"/>
        <w:tab w:val="right" w:pos="8640"/>
      </w:tabs>
    </w:pPr>
  </w:style>
  <w:style w:type="paragraph" w:styleId="Footer">
    <w:name w:val="footer"/>
    <w:basedOn w:val="Normal"/>
    <w:rsid w:val="005B7B81"/>
    <w:pPr>
      <w:tabs>
        <w:tab w:val="center" w:pos="4320"/>
        <w:tab w:val="right" w:pos="8640"/>
      </w:tabs>
    </w:pPr>
  </w:style>
  <w:style w:type="paragraph" w:customStyle="1" w:styleId="HeaderTitle">
    <w:name w:val="HeaderTitle"/>
    <w:basedOn w:val="Normal"/>
    <w:rsid w:val="005B7B81"/>
    <w:pPr>
      <w:jc w:val="right"/>
    </w:pPr>
    <w:rPr>
      <w:rFonts w:cs="Arial"/>
      <w:b/>
      <w:color w:val="808080"/>
      <w:sz w:val="28"/>
    </w:rPr>
  </w:style>
  <w:style w:type="character" w:styleId="PageNumber">
    <w:name w:val="page number"/>
    <w:rsid w:val="005B7B81"/>
    <w:rPr>
      <w:rFonts w:ascii="Arial" w:hAnsi="Arial"/>
      <w:sz w:val="18"/>
    </w:rPr>
  </w:style>
  <w:style w:type="character" w:customStyle="1" w:styleId="Heading3Char">
    <w:name w:val="Heading 3 Char"/>
    <w:link w:val="Heading3"/>
    <w:rsid w:val="00382E77"/>
    <w:rPr>
      <w:rFonts w:ascii="Arial" w:hAnsi="Arial" w:cs="Arial"/>
      <w:b/>
      <w:bCs/>
      <w:sz w:val="28"/>
      <w:szCs w:val="26"/>
      <w:lang w:val="en-US" w:eastAsia="en-US" w:bidi="ar-SA"/>
    </w:rPr>
  </w:style>
  <w:style w:type="paragraph" w:customStyle="1" w:styleId="Body">
    <w:name w:val="Body"/>
    <w:basedOn w:val="Normal"/>
    <w:rsid w:val="00DD7FBE"/>
    <w:rPr>
      <w:rFonts w:cs="Courier New"/>
      <w:sz w:val="22"/>
      <w:szCs w:val="20"/>
    </w:rPr>
  </w:style>
  <w:style w:type="paragraph" w:styleId="BalloonText">
    <w:name w:val="Balloon Text"/>
    <w:basedOn w:val="Normal"/>
    <w:link w:val="BalloonTextChar"/>
    <w:uiPriority w:val="99"/>
    <w:semiHidden/>
    <w:unhideWhenUsed/>
    <w:rsid w:val="00382E77"/>
    <w:rPr>
      <w:rFonts w:ascii="Tahoma" w:hAnsi="Tahoma" w:cs="Tahoma"/>
      <w:sz w:val="16"/>
      <w:szCs w:val="16"/>
    </w:rPr>
  </w:style>
  <w:style w:type="character" w:customStyle="1" w:styleId="BalloonTextChar">
    <w:name w:val="Balloon Text Char"/>
    <w:link w:val="BalloonText"/>
    <w:uiPriority w:val="99"/>
    <w:semiHidden/>
    <w:rsid w:val="00382E77"/>
    <w:rPr>
      <w:rFonts w:ascii="Tahoma" w:hAnsi="Tahoma" w:cs="Tahoma"/>
      <w:sz w:val="16"/>
      <w:szCs w:val="16"/>
    </w:rPr>
  </w:style>
  <w:style w:type="character" w:customStyle="1" w:styleId="Heading1Char">
    <w:name w:val="Heading 1 Char"/>
    <w:link w:val="Heading1"/>
    <w:rsid w:val="00382E77"/>
    <w:rPr>
      <w:b/>
      <w:sz w:val="36"/>
      <w:szCs w:val="18"/>
      <w:lang w:val="en-US" w:eastAsia="en-US" w:bidi="ar-SA"/>
    </w:rPr>
  </w:style>
  <w:style w:type="character" w:customStyle="1" w:styleId="Heading2Char">
    <w:name w:val="Heading 2 Char"/>
    <w:link w:val="Heading2"/>
    <w:rsid w:val="00382E77"/>
    <w:rPr>
      <w:rFonts w:cs="Arial"/>
      <w:b/>
      <w:bCs/>
      <w:color w:val="000000"/>
      <w:sz w:val="32"/>
      <w:szCs w:val="32"/>
      <w:lang w:val="en-US" w:eastAsia="en-US" w:bidi="ar-SA"/>
    </w:rPr>
  </w:style>
  <w:style w:type="character" w:customStyle="1" w:styleId="Heading4Char">
    <w:name w:val="Heading 4 Char"/>
    <w:link w:val="Heading4"/>
    <w:rsid w:val="00382E77"/>
    <w:rPr>
      <w:b/>
      <w:bCs/>
      <w:sz w:val="24"/>
      <w:szCs w:val="28"/>
    </w:rPr>
  </w:style>
  <w:style w:type="character" w:customStyle="1" w:styleId="Heading5Char">
    <w:name w:val="Heading 5 Char"/>
    <w:link w:val="Heading5"/>
    <w:rsid w:val="00382E77"/>
    <w:rPr>
      <w:b/>
      <w:bCs/>
      <w:iCs/>
      <w:szCs w:val="26"/>
    </w:rPr>
  </w:style>
  <w:style w:type="character" w:customStyle="1" w:styleId="Heading6Char">
    <w:name w:val="Heading 6 Char"/>
    <w:aliases w:val="apaindent Char"/>
    <w:link w:val="Heading6"/>
    <w:rsid w:val="00382E77"/>
    <w:rPr>
      <w:bCs/>
    </w:rPr>
  </w:style>
  <w:style w:type="paragraph" w:customStyle="1" w:styleId="stylebulleted">
    <w:name w:val="style bulleted"/>
    <w:basedOn w:val="BodyText"/>
    <w:qFormat/>
    <w:rsid w:val="00242852"/>
    <w:pPr>
      <w:numPr>
        <w:numId w:val="1"/>
      </w:numPr>
      <w:ind w:left="720"/>
    </w:pPr>
  </w:style>
  <w:style w:type="paragraph" w:customStyle="1" w:styleId="BodyText">
    <w:name w:val="BodyText"/>
    <w:link w:val="BodyTextChar"/>
    <w:qFormat/>
    <w:rsid w:val="00C63FDE"/>
    <w:pPr>
      <w:spacing w:before="120" w:after="60"/>
    </w:pPr>
    <w:rPr>
      <w:sz w:val="22"/>
      <w:szCs w:val="24"/>
    </w:rPr>
  </w:style>
  <w:style w:type="character" w:customStyle="1" w:styleId="BodyTextChar">
    <w:name w:val="BodyText Char"/>
    <w:link w:val="BodyText"/>
    <w:rsid w:val="00C63FDE"/>
    <w:rPr>
      <w:sz w:val="22"/>
      <w:szCs w:val="24"/>
    </w:rPr>
  </w:style>
  <w:style w:type="paragraph" w:customStyle="1" w:styleId="stylenumbered">
    <w:name w:val="style numbered"/>
    <w:basedOn w:val="BodyText"/>
    <w:link w:val="stylenumberedChar"/>
    <w:qFormat/>
    <w:rsid w:val="00382E77"/>
    <w:pPr>
      <w:numPr>
        <w:numId w:val="2"/>
      </w:numPr>
    </w:pPr>
  </w:style>
  <w:style w:type="character" w:customStyle="1" w:styleId="stylenumberedChar">
    <w:name w:val="style numbered Char"/>
    <w:link w:val="stylenumbered"/>
    <w:rsid w:val="00996595"/>
    <w:rPr>
      <w:sz w:val="22"/>
      <w:szCs w:val="24"/>
    </w:rPr>
  </w:style>
  <w:style w:type="table" w:styleId="TableGrid">
    <w:name w:val="Table Grid"/>
    <w:basedOn w:val="TableNormal"/>
    <w:uiPriority w:val="59"/>
    <w:rsid w:val="00331E2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E2D"/>
    <w:pPr>
      <w:spacing w:after="200" w:line="276" w:lineRule="auto"/>
      <w:ind w:left="720"/>
      <w:contextualSpacing/>
    </w:pPr>
    <w:rPr>
      <w:rFonts w:ascii="Calibri" w:eastAsia="Calibri" w:hAnsi="Calibri"/>
      <w:szCs w:val="22"/>
    </w:rPr>
  </w:style>
  <w:style w:type="character" w:styleId="Emphasis">
    <w:name w:val="Emphasis"/>
    <w:uiPriority w:val="20"/>
    <w:qFormat/>
    <w:rsid w:val="00331E2D"/>
    <w:rPr>
      <w:i/>
      <w:iCs/>
    </w:rPr>
  </w:style>
  <w:style w:type="character" w:customStyle="1" w:styleId="plan">
    <w:name w:val="plan"/>
    <w:basedOn w:val="DefaultParagraphFont"/>
    <w:rsid w:val="004C1DED"/>
  </w:style>
  <w:style w:type="character" w:styleId="Strong">
    <w:name w:val="Strong"/>
    <w:uiPriority w:val="22"/>
    <w:qFormat/>
    <w:rsid w:val="008529C6"/>
    <w:rPr>
      <w:b/>
      <w:bCs/>
    </w:rPr>
  </w:style>
  <w:style w:type="character" w:customStyle="1" w:styleId="css-1f2ahkg-view">
    <w:name w:val="css-1f2ahkg-view"/>
    <w:basedOn w:val="DefaultParagraphFont"/>
    <w:rsid w:val="008529C6"/>
  </w:style>
  <w:style w:type="character" w:styleId="CommentReference">
    <w:name w:val="annotation reference"/>
    <w:uiPriority w:val="99"/>
    <w:semiHidden/>
    <w:unhideWhenUsed/>
    <w:rsid w:val="008529C6"/>
    <w:rPr>
      <w:sz w:val="16"/>
      <w:szCs w:val="16"/>
    </w:rPr>
  </w:style>
  <w:style w:type="character" w:styleId="Hyperlink">
    <w:name w:val="Hyperlink"/>
    <w:uiPriority w:val="99"/>
    <w:unhideWhenUsed/>
    <w:rsid w:val="006106AF"/>
    <w:rPr>
      <w:color w:val="0563C1"/>
      <w:u w:val="single"/>
    </w:rPr>
  </w:style>
  <w:style w:type="paragraph" w:styleId="NormalWeb">
    <w:name w:val="Normal (Web)"/>
    <w:basedOn w:val="Normal"/>
    <w:uiPriority w:val="99"/>
    <w:unhideWhenUsed/>
    <w:rsid w:val="006106AF"/>
    <w:pPr>
      <w:spacing w:before="100" w:beforeAutospacing="1" w:after="100" w:afterAutospacing="1"/>
    </w:pPr>
  </w:style>
  <w:style w:type="character" w:customStyle="1" w:styleId="author">
    <w:name w:val="author"/>
    <w:basedOn w:val="DefaultParagraphFont"/>
    <w:rsid w:val="006106AF"/>
  </w:style>
  <w:style w:type="character" w:customStyle="1" w:styleId="pubyear">
    <w:name w:val="pubyear"/>
    <w:basedOn w:val="DefaultParagraphFont"/>
    <w:rsid w:val="006106AF"/>
  </w:style>
  <w:style w:type="character" w:customStyle="1" w:styleId="articletitle">
    <w:name w:val="articletitle"/>
    <w:basedOn w:val="DefaultParagraphFont"/>
    <w:rsid w:val="006106AF"/>
  </w:style>
  <w:style w:type="character" w:customStyle="1" w:styleId="vol">
    <w:name w:val="vol"/>
    <w:basedOn w:val="DefaultParagraphFont"/>
    <w:rsid w:val="006106AF"/>
  </w:style>
  <w:style w:type="character" w:styleId="FollowedHyperlink">
    <w:name w:val="FollowedHyperlink"/>
    <w:uiPriority w:val="99"/>
    <w:semiHidden/>
    <w:unhideWhenUsed/>
    <w:rsid w:val="00C87E10"/>
    <w:rPr>
      <w:color w:val="96607D"/>
      <w:u w:val="single"/>
    </w:rPr>
  </w:style>
  <w:style w:type="paragraph" w:styleId="CommentText">
    <w:name w:val="annotation text"/>
    <w:basedOn w:val="Normal"/>
    <w:link w:val="CommentTextChar"/>
    <w:uiPriority w:val="99"/>
    <w:semiHidden/>
    <w:unhideWhenUsed/>
    <w:rsid w:val="00595C3E"/>
    <w:rPr>
      <w:sz w:val="20"/>
      <w:szCs w:val="20"/>
    </w:rPr>
  </w:style>
  <w:style w:type="character" w:customStyle="1" w:styleId="CommentTextChar">
    <w:name w:val="Comment Text Char"/>
    <w:basedOn w:val="DefaultParagraphFont"/>
    <w:link w:val="CommentText"/>
    <w:uiPriority w:val="99"/>
    <w:semiHidden/>
    <w:rsid w:val="00595C3E"/>
  </w:style>
  <w:style w:type="paragraph" w:styleId="CommentSubject">
    <w:name w:val="annotation subject"/>
    <w:basedOn w:val="CommentText"/>
    <w:next w:val="CommentText"/>
    <w:link w:val="CommentSubjectChar"/>
    <w:uiPriority w:val="99"/>
    <w:semiHidden/>
    <w:unhideWhenUsed/>
    <w:rsid w:val="00595C3E"/>
    <w:rPr>
      <w:b/>
      <w:bCs/>
    </w:rPr>
  </w:style>
  <w:style w:type="character" w:customStyle="1" w:styleId="CommentSubjectChar">
    <w:name w:val="Comment Subject Char"/>
    <w:link w:val="CommentSubject"/>
    <w:uiPriority w:val="99"/>
    <w:semiHidden/>
    <w:rsid w:val="00595C3E"/>
    <w:rPr>
      <w:b/>
      <w:bCs/>
    </w:rPr>
  </w:style>
  <w:style w:type="character" w:styleId="UnresolvedMention">
    <w:name w:val="Unresolved Mention"/>
    <w:basedOn w:val="DefaultParagraphFont"/>
    <w:uiPriority w:val="99"/>
    <w:semiHidden/>
    <w:unhideWhenUsed/>
    <w:rsid w:val="00BB1B22"/>
    <w:rPr>
      <w:color w:val="605E5C"/>
      <w:shd w:val="clear" w:color="auto" w:fill="E1DFDD"/>
    </w:rPr>
  </w:style>
  <w:style w:type="character" w:customStyle="1" w:styleId="ng-star-inserted">
    <w:name w:val="ng-star-inserted"/>
    <w:basedOn w:val="DefaultParagraphFont"/>
    <w:rsid w:val="0073745A"/>
  </w:style>
  <w:style w:type="paragraph" w:customStyle="1" w:styleId="ui-markdownparagraph">
    <w:name w:val="ui-markdown__paragraph"/>
    <w:basedOn w:val="Normal"/>
    <w:rsid w:val="00B5783E"/>
    <w:pPr>
      <w:spacing w:before="100" w:beforeAutospacing="1" w:after="100" w:afterAutospacing="1"/>
    </w:pPr>
  </w:style>
  <w:style w:type="paragraph" w:customStyle="1" w:styleId="pdq2pgselectionanchorcontainer">
    <w:name w:val="pdq2pg_selectionanchorcontainer"/>
    <w:basedOn w:val="Normal"/>
    <w:rsid w:val="00C91A6C"/>
    <w:pPr>
      <w:spacing w:before="100" w:beforeAutospacing="1" w:after="100" w:afterAutospacing="1"/>
    </w:pPr>
  </w:style>
  <w:style w:type="paragraph" w:customStyle="1" w:styleId="p1">
    <w:name w:val="p1"/>
    <w:basedOn w:val="Normal"/>
    <w:rsid w:val="00567231"/>
    <w:rPr>
      <w:color w:val="000000"/>
      <w:sz w:val="18"/>
      <w:szCs w:val="18"/>
    </w:rPr>
  </w:style>
  <w:style w:type="character" w:styleId="HTMLCode">
    <w:name w:val="HTML Code"/>
    <w:basedOn w:val="DefaultParagraphFont"/>
    <w:uiPriority w:val="99"/>
    <w:semiHidden/>
    <w:unhideWhenUsed/>
    <w:rsid w:val="00DE29C6"/>
    <w:rPr>
      <w:rFonts w:ascii="Courier New" w:eastAsia="Times New Roman" w:hAnsi="Courier New" w:cs="Courier New"/>
      <w:sz w:val="20"/>
      <w:szCs w:val="20"/>
    </w:rPr>
  </w:style>
  <w:style w:type="paragraph" w:customStyle="1" w:styleId="ng-binding">
    <w:name w:val="ng-binding"/>
    <w:basedOn w:val="Normal"/>
    <w:rsid w:val="00FB517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9544802">
      <w:bodyDiv w:val="1"/>
      <w:marLeft w:val="0"/>
      <w:marRight w:val="0"/>
      <w:marTop w:val="0"/>
      <w:marBottom w:val="0"/>
      <w:divBdr>
        <w:top w:val="none" w:sz="0" w:space="0" w:color="auto"/>
        <w:left w:val="none" w:sz="0" w:space="0" w:color="auto"/>
        <w:bottom w:val="none" w:sz="0" w:space="0" w:color="auto"/>
        <w:right w:val="none" w:sz="0" w:space="0" w:color="auto"/>
      </w:divBdr>
    </w:div>
    <w:div w:id="103095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doi.org/10.3846/jbem.2025.23519"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10.1007/s10551-007-9517-y" TargetMode="External"/><Relationship Id="rId21" Type="http://schemas.openxmlformats.org/officeDocument/2006/relationships/hyperlink" Target="https://doi.org/10.1007/s10551-015-2805-z" TargetMode="External"/><Relationship Id="rId42" Type="http://schemas.openxmlformats.org/officeDocument/2006/relationships/hyperlink" Target="https://doi.org/10.2307/259247" TargetMode="External"/><Relationship Id="rId47" Type="http://schemas.openxmlformats.org/officeDocument/2006/relationships/hyperlink" Target="https://doi.org/10.1029/2020GH000251" TargetMode="External"/><Relationship Id="rId63" Type="http://schemas.openxmlformats.org/officeDocument/2006/relationships/footer" Target="footer1.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5840/beq200818214" TargetMode="External"/><Relationship Id="rId29" Type="http://schemas.openxmlformats.org/officeDocument/2006/relationships/hyperlink" Target="https://capella.alma.exlibrisgroup.com/openurl/01CAPELLA_INST/01CAPELLA_INST:Services?genre=article&amp;atitle=Values+And+The+Foundations+Of+Strategic+Management%253A+JBE&amp;author=Freeman%252C+R+Edward%253BGilbert%252C+Daniel+R%252C+Jr%253BHartman%252C+Edwin&amp;volume=7&amp;issue=11&amp;spage=821&amp;date=1988-11-01&amp;rft.btitle=&amp;rft.jtitle=Journal+of+Business+Ethics&amp;issn=0167-4544&amp;isbn=&amp;sid=ProQ%253Aabiglobal_00438427" TargetMode="External"/><Relationship Id="rId11" Type="http://schemas.openxmlformats.org/officeDocument/2006/relationships/comments" Target="comments.xml"/><Relationship Id="rId24" Type="http://schemas.openxmlformats.org/officeDocument/2006/relationships/hyperlink" Target="https://www.proquest.com/legacydocview/EBC/3420430?accountid=27965" TargetMode="External"/><Relationship Id="rId32" Type="http://schemas.openxmlformats.org/officeDocument/2006/relationships/hyperlink" Target="https://doi.org/10.5590/JOSC.2018.10.1.02" TargetMode="External"/><Relationship Id="rId37" Type="http://schemas.openxmlformats.org/officeDocument/2006/relationships/hyperlink" Target="https://doi-org.library.capella.edu/10.1111/ssqu.12328" TargetMode="External"/><Relationship Id="rId40" Type="http://schemas.openxmlformats.org/officeDocument/2006/relationships/hyperlink" Target="https://doi.org/10.1287/mnsc.2023.04147" TargetMode="External"/><Relationship Id="rId45" Type="http://schemas.openxmlformats.org/officeDocument/2006/relationships/hyperlink" Target="https://doi.org/10.1080/13814788.2023.2274467" TargetMode="External"/><Relationship Id="rId53" Type="http://schemas.openxmlformats.org/officeDocument/2006/relationships/hyperlink" Target="https://doi.org/10.1177/07417136251356470" TargetMode="External"/><Relationship Id="rId58" Type="http://schemas.openxmlformats.org/officeDocument/2006/relationships/hyperlink" Target="https://www.researchgate.net/publication/236973378_IT_Governance_How_Top_Performers_Manage_IT_Decision_Rights_for_Superior_Results"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doi.org/10.1136/emj.2007.050641" TargetMode="External"/><Relationship Id="rId14" Type="http://schemas.microsoft.com/office/2018/08/relationships/commentsExtensible" Target="commentsExtensible.xml"/><Relationship Id="rId22" Type="http://schemas.openxmlformats.org/officeDocument/2006/relationships/hyperlink" Target="https://www.ic3.gov/AnnualReport/Reports/2024_IC3Report.pdfUntitled" TargetMode="External"/><Relationship Id="rId27" Type="http://schemas.openxmlformats.org/officeDocument/2006/relationships/hyperlink" Target="https://doi.org/10.5840/pom20098310" TargetMode="External"/><Relationship Id="rId30" Type="http://schemas.openxmlformats.org/officeDocument/2006/relationships/hyperlink" Target="https://10.1007/s10551-007-9517-y" TargetMode="External"/><Relationship Id="rId35" Type="http://schemas.openxmlformats.org/officeDocument/2006/relationships/hyperlink" Target="https://doi.org/10.1177/16094069241286848" TargetMode="External"/><Relationship Id="rId43" Type="http://schemas.openxmlformats.org/officeDocument/2006/relationships/hyperlink" Target="https://doi.org/10.1097/MS9.0000000000001959" TargetMode="External"/><Relationship Id="rId48" Type="http://schemas.openxmlformats.org/officeDocument/2006/relationships/hyperlink" Target="https://doi.org/10.1177/1609406917733847.;10.1177/1609406917733847;" TargetMode="External"/><Relationship Id="rId56" Type="http://schemas.openxmlformats.org/officeDocument/2006/relationships/hyperlink" Target="https://cnrs.hal.science/hal-04962366v1"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25300/MISQ/2022/17265"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080/2159676X.2019.1628806" TargetMode="External"/><Relationship Id="rId25" Type="http://schemas.openxmlformats.org/officeDocument/2006/relationships/hyperlink" Target="https://10.1287/orsc.1040.0066" TargetMode="External"/><Relationship Id="rId33" Type="http://schemas.openxmlformats.org/officeDocument/2006/relationships/hyperlink" Target="https://doi-org.library.capella.edu/10.1002/sd.2840" TargetMode="External"/><Relationship Id="rId38" Type="http://schemas.openxmlformats.org/officeDocument/2006/relationships/hyperlink" Target="https://doi-org.library.capella.edu/10.1177/1050651908320362" TargetMode="External"/><Relationship Id="rId46" Type="http://schemas.openxmlformats.org/officeDocument/2006/relationships/hyperlink" Target="https://www.nist.gov/publications/nist-cybersecurity-framework-csf-20?utm_source=openai" TargetMode="External"/><Relationship Id="rId59" Type="http://schemas.openxmlformats.org/officeDocument/2006/relationships/hyperlink" Target="https://doi.org/10.5465/amr.1989.4308376" TargetMode="External"/><Relationship Id="rId67" Type="http://schemas.openxmlformats.org/officeDocument/2006/relationships/fontTable" Target="fontTable.xml"/><Relationship Id="rId20" Type="http://schemas.openxmlformats.org/officeDocument/2006/relationships/hyperlink" Target="Https://doi.org/10.1177/08903344231176453" TargetMode="External"/><Relationship Id="rId41" Type="http://schemas.openxmlformats.org/officeDocument/2006/relationships/hyperlink" Target="https://doi-org.library.capella.edu/10.1177/1403494815621181" TargetMode="External"/><Relationship Id="rId54" Type="http://schemas.openxmlformats.org/officeDocument/2006/relationships/hyperlink" Target="https://doi-org.library.capella.edu/10.1002/9781118901731.iecrm0016"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searchgate.net/publication/378330555_Improving_Threat_Mitigation_Through_a_Cybersecurity_Risk_Management_Framework_A_Computational_Design_Science_Approach" TargetMode="External"/><Relationship Id="rId23" Type="http://schemas.openxmlformats.org/officeDocument/2006/relationships/hyperlink" Target="https://doi.org/10.1007/s10551-018-4012-1" TargetMode="External"/><Relationship Id="rId28" Type="http://schemas.openxmlformats.org/officeDocument/2006/relationships/hyperlink" Target="https://www.proquest.com/scholarly-journals/values-foundations-strategic-management/docview/198089072/se-2?accountid=27965" TargetMode="External"/><Relationship Id="rId36" Type="http://schemas.openxmlformats.org/officeDocument/2006/relationships/hyperlink" Target="https://doi.org/10.1177/160940691401300119" TargetMode="External"/><Relationship Id="rId49" Type="http://schemas.openxmlformats.org/officeDocument/2006/relationships/hyperlink" Target="https://doi-org.library.capella.edu/10.1093/jopart/muy052" TargetMode="External"/><Relationship Id="rId57" Type="http://schemas.openxmlformats.org/officeDocument/2006/relationships/hyperlink" Target="https://research-ebsco-com.library.capella.edu/linkprocessor/plink?id=64ea6eaa-cac0-3a22-8336-55c3f6626a14" TargetMode="External"/><Relationship Id="rId10" Type="http://schemas.openxmlformats.org/officeDocument/2006/relationships/endnotes" Target="endnotes.xml"/><Relationship Id="rId31" Type="http://schemas.openxmlformats.org/officeDocument/2006/relationships/hyperlink" Target="https://10.1287/orsc.1040.0066" TargetMode="External"/><Relationship Id="rId44" Type="http://schemas.openxmlformats.org/officeDocument/2006/relationships/hyperlink" Target="https://doi.org/10.3390/businesses5010002" TargetMode="External"/><Relationship Id="rId52" Type="http://schemas.openxmlformats.org/officeDocument/2006/relationships/hyperlink" Target="https://doi.org/10.1007/s10551-008-9928-4" TargetMode="External"/><Relationship Id="rId60" Type="http://schemas.openxmlformats.org/officeDocument/2006/relationships/hyperlink" Target="https://doi-org.library.capella.edu/10.5465/annals.2015.0134"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doi.org/10.1177/160940690300200201" TargetMode="External"/><Relationship Id="rId39" Type="http://schemas.openxmlformats.org/officeDocument/2006/relationships/hyperlink" Target="https://doi.org/10.1108/IJCMA-09-2019-0172" TargetMode="External"/><Relationship Id="rId34" Type="http://schemas.openxmlformats.org/officeDocument/2006/relationships/hyperlink" Target="https://doi-org.library.capella.edu/10.1177/1525822X05279903" TargetMode="External"/><Relationship Id="rId50" Type="http://schemas.openxmlformats.org/officeDocument/2006/relationships/hyperlink" Target="https://10.1108/09696470710726989" TargetMode="External"/><Relationship Id="rId55" Type="http://schemas.openxmlformats.org/officeDocument/2006/relationships/hyperlink" Target="https://doi.org/10.1177/0018726722110498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2B78626A37144CAC7F94D59A0419AC" ma:contentTypeVersion="77" ma:contentTypeDescription="Upload a new document." ma:contentTypeScope="" ma:versionID="cca50783a6c14b040ca0fdbef5d2acbb">
  <xsd:schema xmlns:xsd="http://www.w3.org/2001/XMLSchema" xmlns:xs="http://www.w3.org/2001/XMLSchema" xmlns:p="http://schemas.microsoft.com/office/2006/metadata/properties" xmlns:ns1="http://schemas.microsoft.com/sharepoint/v3" xmlns:ns2="46D0C8FD-6622-4DA9-9CBF-9ACEA4AD9EE9" xmlns:ns3="46d0c8fd-6622-4da9-9cbf-9acea4ad9ee9" targetNamespace="http://schemas.microsoft.com/office/2006/metadata/properties" ma:root="true" ma:fieldsID="42c18218afb46ccb9a67cb31c3a8360c" ns1:_="" ns2:_="" ns3:_="">
    <xsd:import namespace="http://schemas.microsoft.com/sharepoint/v3"/>
    <xsd:import namespace="46D0C8FD-6622-4DA9-9CBF-9ACEA4AD9EE9"/>
    <xsd:import namespace="46d0c8fd-6622-4da9-9cbf-9acea4ad9ee9"/>
    <xsd:element name="properties">
      <xsd:complexType>
        <xsd:sequence>
          <xsd:element name="documentManagement">
            <xsd:complexType>
              <xsd:all>
                <xsd:element ref="ns2:Title_x0020__x0028_with_x0020_link_x0020_to_x0020_document_x0029_" minOccurs="0"/>
                <xsd:element ref="ns2:Current_x0020_Doc_x0020_Owner" minOccurs="0"/>
                <xsd:element ref="ns2:Doc_x0020_Team" minOccurs="0"/>
                <xsd:element ref="ns2:Doc_x0020_Status" minOccurs="0"/>
                <xsd:element ref="ns2:Maintenance_x0020_Notes" minOccurs="0"/>
                <xsd:element ref="ns3:LinkID" minOccurs="0"/>
                <xsd:element ref="ns2:Description0" minOccurs="0"/>
                <xsd:element ref="ns2:School_x002d_Specific_x0020_Resources" minOccurs="0"/>
                <xsd:element ref="ns2:Keyword" minOccurs="0"/>
                <xsd:element ref="ns3:Add_x0020_to_x0020_Home_x0020_Page_x003f_"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3" nillable="true" ma:displayName="Scheduling Start Date" ma:description="" ma:hidden="true" ma:internalName="PublishingStartDate">
      <xsd:simpleType>
        <xsd:restriction base="dms:Unknown"/>
      </xsd:simpleType>
    </xsd:element>
    <xsd:element name="PublishingExpirationDate" ma:index="14"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Title_x0020__x0028_with_x0020_link_x0020_to_x0020_document_x0029_" ma:index="1" nillable="true" ma:displayName="Doc Title (with link)" ma:description="Instructions:&#10;• Important: In the Name row at the top, delete any information that was auto-filled by SharePoint. Then, type the filename up to the file extension.&#10;• Next, copy the following URL into the *Type the Web address* box: https://share.capella.edu/functional/opux/CCD/DE/Documents/&#10;• Add your document's filename and extension to the end of this URL. &#10;• Type the doc title into the *Type the description* box." ma:format="Hyperlink" ma:internalName="Title_x0020__x0028_with_x0020_link_x0020_to_x0020_document_x0029_">
      <xsd:complexType>
        <xsd:complexContent>
          <xsd:extension base="dms:URL">
            <xsd:sequence>
              <xsd:element name="Url" type="dms:ValidUrl" minOccurs="0" nillable="true"/>
              <xsd:element name="Description" type="xsd:string" nillable="true"/>
            </xsd:sequence>
          </xsd:extension>
        </xsd:complexContent>
      </xsd:complexType>
    </xsd:element>
    <xsd:element name="Current_x0020_Doc_x0020_Owner" ma:index="2" nillable="true" ma:displayName="Owner" ma:default="_Select your name" ma:description="The doc owner is the person who created the doc or most recently updated it." ma:format="Dropdown" ma:internalName="Current_x0020_Doc_x0020_Owner">
      <xsd:simpleType>
        <xsd:restriction base="dms:Choice">
          <xsd:enumeration value="_Select your name"/>
          <xsd:enumeration value="Andrew"/>
          <xsd:enumeration value="Ann K."/>
          <xsd:enumeration value="Anne L."/>
          <xsd:enumeration value="Brent"/>
          <xsd:enumeration value="Jeff"/>
          <xsd:enumeration value="Keri"/>
          <xsd:enumeration value="Rachel"/>
          <xsd:enumeration value="Tanya"/>
          <xsd:enumeration value="Wendy"/>
          <xsd:enumeration value="Samantha"/>
          <xsd:enumeration value="All Team"/>
        </xsd:restriction>
      </xsd:simpleType>
    </xsd:element>
    <xsd:element name="Doc_x0020_Team" ma:index="3" nillable="true" ma:displayName="Team" ma:description="Doc Team" ma:format="Dropdown" ma:internalName="Doc_x0020_Team" ma:readOnly="false">
      <xsd:simpleType>
        <xsd:restriction base="dms:Choice">
          <xsd:enumeration value="Team 1"/>
          <xsd:enumeration value="Team 2"/>
          <xsd:enumeration value="Team 3"/>
          <xsd:enumeration value="Supervisor"/>
        </xsd:restriction>
      </xsd:simpleType>
    </xsd:element>
    <xsd:element name="Doc_x0020_Status" ma:index="4" nillable="true" ma:displayName="Doc Status" ma:default="_" ma:format="RadioButtons" ma:internalName="Doc_x0020_Status" ma:readOnly="false">
      <xsd:simpleType>
        <xsd:restriction base="dms:Choice">
          <xsd:enumeration value="_"/>
          <xsd:enumeration value="Up to date."/>
          <xsd:enumeration value="Continuous maintenance."/>
          <xsd:enumeration value="Under construction."/>
          <xsd:enumeration value="To be archived."/>
          <xsd:enumeration value="Update is needed."/>
          <xsd:enumeration value="Update is pending."/>
        </xsd:restriction>
      </xsd:simpleType>
    </xsd:element>
    <xsd:element name="Maintenance_x0020_Notes" ma:index="5" nillable="true" ma:displayName="Maintenance Notes" ma:internalName="Maintenance_x0020_Notes" ma:readOnly="false">
      <xsd:simpleType>
        <xsd:restriction base="dms:Note">
          <xsd:maxLength value="255"/>
        </xsd:restriction>
      </xsd:simpleType>
    </xsd:element>
    <xsd:element name="Description0" ma:index="7" nillable="true" ma:displayName="Doc Description" ma:internalName="Description0" ma:readOnly="false">
      <xsd:simpleType>
        <xsd:restriction base="dms:Note">
          <xsd:maxLength value="255"/>
        </xsd:restriction>
      </xsd:simpleType>
    </xsd:element>
    <xsd:element name="School_x002d_Specific_x0020_Resources" ma:index="8" nillable="true" ma:displayName="Category" ma:description="Select the folder in which you want this link to appear." ma:internalName="School_x002d_Specific_x0020_Resources">
      <xsd:complexType>
        <xsd:complexContent>
          <xsd:extension base="dms:MultiChoice">
            <xsd:sequence>
              <xsd:element name="Value" maxOccurs="unbounded" minOccurs="0" nillable="true">
                <xsd:simpleType>
                  <xsd:restriction base="dms:Choice">
                    <xsd:enumeration value="Processes and Practices"/>
                    <xsd:enumeration value="Standards, Styles, and Templates"/>
                    <xsd:enumeration value="Special Course Elements"/>
                    <xsd:enumeration value="Course Materials and Media"/>
                    <xsd:enumeration value="Celeste"/>
                  </xsd:restriction>
                </xsd:simpleType>
              </xsd:element>
            </xsd:sequence>
          </xsd:extension>
        </xsd:complexContent>
      </xsd:complexType>
    </xsd:element>
    <xsd:element name="Keyword" ma:index="9" nillable="true" ma:displayName="Subcategory" ma:description="Identify the subcategory this resource should appear under." ma:internalName="Keyword" ma:readOnly="false">
      <xsd:complexType>
        <xsd:complexContent>
          <xsd:extension base="dms:MultiChoice">
            <xsd:sequence>
              <xsd:element name="Value" maxOccurs="unbounded" minOccurs="0" nillable="true">
                <xsd:simpleType>
                  <xsd:restriction base="dms:Choice">
                    <xsd:enumeration value="ADA"/>
                    <xsd:enumeration value="APA"/>
                    <xsd:enumeration value="Business Practices"/>
                    <xsd:enumeration value="Course Files"/>
                    <xsd:enumeration value="Course Materials"/>
                    <xsd:enumeration value="Forms"/>
                    <xsd:enumeration value="Inauthentic Content/Copyright"/>
                    <xsd:enumeration value="Knowledge Maintenance"/>
                    <xsd:enumeration value="Matrices and Checklists"/>
                    <xsd:enumeration value="Media"/>
                    <xsd:enumeration value="Minors"/>
                    <xsd:enumeration value="Processes, Workflow, and Tracking"/>
                    <xsd:enumeration value="QA"/>
                    <xsd:enumeration value="Quizzes"/>
                    <xsd:enumeration value="School-and Curriculum-based Elements"/>
                    <xsd:enumeration value="Standards"/>
                    <xsd:enumeration value="Styles"/>
                    <xsd:enumeration value="Technology-based Elements"/>
                    <xsd:enumeration value="Template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d0c8fd-6622-4da9-9cbf-9acea4ad9ee9" elementFormDefault="qualified">
    <xsd:import namespace="http://schemas.microsoft.com/office/2006/documentManagement/types"/>
    <xsd:import namespace="http://schemas.microsoft.com/office/infopath/2007/PartnerControls"/>
    <xsd:element name="LinkID" ma:index="6" nillable="true" ma:displayName="LinkID" ma:default="0" ma:description="" ma:internalName="LinkID">
      <xsd:simpleType>
        <xsd:restriction base="dms:Number"/>
      </xsd:simpleType>
    </xsd:element>
    <xsd:element name="Add_x0020_to_x0020_Home_x0020_Page_x003f_" ma:index="10" nillable="true" ma:displayName="Add to Home Page?" ma:default="0" ma:description="Click to have this document included as one of our most frequently used." ma:internalName="Add_x0020_to_x0020_Home_x0020_Page_x003f_"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displayName="Leave This Space Empty"/>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C7528-D252-41FE-A787-42CA4C1918AF}">
  <ds:schemaRefs>
    <ds:schemaRef ds:uri="http://schemas.microsoft.com/office/2006/metadata/longProperties"/>
  </ds:schemaRefs>
</ds:datastoreItem>
</file>

<file path=customXml/itemProps2.xml><?xml version="1.0" encoding="utf-8"?>
<ds:datastoreItem xmlns:ds="http://schemas.openxmlformats.org/officeDocument/2006/customXml" ds:itemID="{14EF6F46-23D2-4A1A-A566-F90C9DEF8288}">
  <ds:schemaRefs>
    <ds:schemaRef ds:uri="http://schemas.microsoft.com/sharepoint/v3/contenttype/forms"/>
  </ds:schemaRefs>
</ds:datastoreItem>
</file>

<file path=customXml/itemProps3.xml><?xml version="1.0" encoding="utf-8"?>
<ds:datastoreItem xmlns:ds="http://schemas.openxmlformats.org/officeDocument/2006/customXml" ds:itemID="{8404849A-4D74-492E-95A7-DC26ADC9F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D0C8FD-6622-4DA9-9CBF-9ACEA4AD9EE9"/>
    <ds:schemaRef ds:uri="46d0c8fd-6622-4da9-9cbf-9acea4ad9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2AFEF4-0BDD-41CA-8A0F-0F5A25EE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10042</Words>
  <Characters>65275</Characters>
  <Application>Microsoft Office Word</Application>
  <DocSecurity>0</DocSecurity>
  <Lines>1279</Lines>
  <Paragraphs>523</Paragraphs>
  <ScaleCrop>false</ScaleCrop>
  <HeadingPairs>
    <vt:vector size="2" baseType="variant">
      <vt:variant>
        <vt:lpstr>Title</vt:lpstr>
      </vt:variant>
      <vt:variant>
        <vt:i4>1</vt:i4>
      </vt:variant>
    </vt:vector>
  </HeadingPairs>
  <TitlesOfParts>
    <vt:vector size="1" baseType="lpstr">
      <vt:lpstr/>
    </vt:vector>
  </TitlesOfParts>
  <Company>Capella Education Company</Company>
  <LinksUpToDate>false</LinksUpToDate>
  <CharactersWithSpaces>74794</CharactersWithSpaces>
  <SharedDoc>false</SharedDoc>
  <HLinks>
    <vt:vector size="240" baseType="variant">
      <vt:variant>
        <vt:i4>5439571</vt:i4>
      </vt:variant>
      <vt:variant>
        <vt:i4>114</vt:i4>
      </vt:variant>
      <vt:variant>
        <vt:i4>0</vt:i4>
      </vt:variant>
      <vt:variant>
        <vt:i4>5</vt:i4>
      </vt:variant>
      <vt:variant>
        <vt:lpwstr>https://doi.org/10.5465/amr.1989.4308376</vt:lpwstr>
      </vt:variant>
      <vt:variant>
        <vt:lpwstr/>
      </vt:variant>
      <vt:variant>
        <vt:i4>6619232</vt:i4>
      </vt:variant>
      <vt:variant>
        <vt:i4>111</vt:i4>
      </vt:variant>
      <vt:variant>
        <vt:i4>0</vt:i4>
      </vt:variant>
      <vt:variant>
        <vt:i4>5</vt:i4>
      </vt:variant>
      <vt:variant>
        <vt:lpwstr>https://research-ebsco-com.library.capella.edu/linkprocessor/plink?id=64ea6eaa-cac0-3a22-8336-55c3f6626a14</vt:lpwstr>
      </vt:variant>
      <vt:variant>
        <vt:lpwstr/>
      </vt:variant>
      <vt:variant>
        <vt:i4>6684721</vt:i4>
      </vt:variant>
      <vt:variant>
        <vt:i4>108</vt:i4>
      </vt:variant>
      <vt:variant>
        <vt:i4>0</vt:i4>
      </vt:variant>
      <vt:variant>
        <vt:i4>5</vt:i4>
      </vt:variant>
      <vt:variant>
        <vt:lpwstr>https://cnrs.hal.science/hal-04962366v1</vt:lpwstr>
      </vt:variant>
      <vt:variant>
        <vt:lpwstr/>
      </vt:variant>
      <vt:variant>
        <vt:i4>1441878</vt:i4>
      </vt:variant>
      <vt:variant>
        <vt:i4>105</vt:i4>
      </vt:variant>
      <vt:variant>
        <vt:i4>0</vt:i4>
      </vt:variant>
      <vt:variant>
        <vt:i4>5</vt:i4>
      </vt:variant>
      <vt:variant>
        <vt:lpwstr>https://doi.org/10.1177/00187267221104985</vt:lpwstr>
      </vt:variant>
      <vt:variant>
        <vt:lpwstr/>
      </vt:variant>
      <vt:variant>
        <vt:i4>7274537</vt:i4>
      </vt:variant>
      <vt:variant>
        <vt:i4>102</vt:i4>
      </vt:variant>
      <vt:variant>
        <vt:i4>0</vt:i4>
      </vt:variant>
      <vt:variant>
        <vt:i4>5</vt:i4>
      </vt:variant>
      <vt:variant>
        <vt:lpwstr>https://doi-org.library.capella.edu/10.1002/9781118901731.iecrm0016</vt:lpwstr>
      </vt:variant>
      <vt:variant>
        <vt:lpwstr/>
      </vt:variant>
      <vt:variant>
        <vt:i4>1179742</vt:i4>
      </vt:variant>
      <vt:variant>
        <vt:i4>99</vt:i4>
      </vt:variant>
      <vt:variant>
        <vt:i4>0</vt:i4>
      </vt:variant>
      <vt:variant>
        <vt:i4>5</vt:i4>
      </vt:variant>
      <vt:variant>
        <vt:lpwstr>https://doi.org/10.1177/07417136251356470</vt:lpwstr>
      </vt:variant>
      <vt:variant>
        <vt:lpwstr/>
      </vt:variant>
      <vt:variant>
        <vt:i4>524314</vt:i4>
      </vt:variant>
      <vt:variant>
        <vt:i4>96</vt:i4>
      </vt:variant>
      <vt:variant>
        <vt:i4>0</vt:i4>
      </vt:variant>
      <vt:variant>
        <vt:i4>5</vt:i4>
      </vt:variant>
      <vt:variant>
        <vt:lpwstr>https://doi.org/10.1007/s10551-008-9928-4</vt:lpwstr>
      </vt:variant>
      <vt:variant>
        <vt:lpwstr/>
      </vt:variant>
      <vt:variant>
        <vt:i4>589894</vt:i4>
      </vt:variant>
      <vt:variant>
        <vt:i4>93</vt:i4>
      </vt:variant>
      <vt:variant>
        <vt:i4>0</vt:i4>
      </vt:variant>
      <vt:variant>
        <vt:i4>5</vt:i4>
      </vt:variant>
      <vt:variant>
        <vt:lpwstr>https://doi.org/10.25300/MISQ/2022/17265</vt:lpwstr>
      </vt:variant>
      <vt:variant>
        <vt:lpwstr/>
      </vt:variant>
      <vt:variant>
        <vt:i4>196701</vt:i4>
      </vt:variant>
      <vt:variant>
        <vt:i4>90</vt:i4>
      </vt:variant>
      <vt:variant>
        <vt:i4>0</vt:i4>
      </vt:variant>
      <vt:variant>
        <vt:i4>5</vt:i4>
      </vt:variant>
      <vt:variant>
        <vt:lpwstr>https://10.1108/09696470710726989</vt:lpwstr>
      </vt:variant>
      <vt:variant>
        <vt:lpwstr/>
      </vt:variant>
      <vt:variant>
        <vt:i4>589891</vt:i4>
      </vt:variant>
      <vt:variant>
        <vt:i4>87</vt:i4>
      </vt:variant>
      <vt:variant>
        <vt:i4>0</vt:i4>
      </vt:variant>
      <vt:variant>
        <vt:i4>5</vt:i4>
      </vt:variant>
      <vt:variant>
        <vt:lpwstr>https://doi-org.library.capella.edu/10.1093/jopart/muy052</vt:lpwstr>
      </vt:variant>
      <vt:variant>
        <vt:lpwstr/>
      </vt:variant>
      <vt:variant>
        <vt:i4>4849665</vt:i4>
      </vt:variant>
      <vt:variant>
        <vt:i4>84</vt:i4>
      </vt:variant>
      <vt:variant>
        <vt:i4>0</vt:i4>
      </vt:variant>
      <vt:variant>
        <vt:i4>5</vt:i4>
      </vt:variant>
      <vt:variant>
        <vt:lpwstr>https://doi.org/10.1029/2020GH000251</vt:lpwstr>
      </vt:variant>
      <vt:variant>
        <vt:lpwstr/>
      </vt:variant>
      <vt:variant>
        <vt:i4>5111857</vt:i4>
      </vt:variant>
      <vt:variant>
        <vt:i4>81</vt:i4>
      </vt:variant>
      <vt:variant>
        <vt:i4>0</vt:i4>
      </vt:variant>
      <vt:variant>
        <vt:i4>5</vt:i4>
      </vt:variant>
      <vt:variant>
        <vt:lpwstr>https://www.nist.gov/publications/nist-cybersecurity-framework-csf-20?utm_source=openai</vt:lpwstr>
      </vt:variant>
      <vt:variant>
        <vt:lpwstr/>
      </vt:variant>
      <vt:variant>
        <vt:i4>5308420</vt:i4>
      </vt:variant>
      <vt:variant>
        <vt:i4>78</vt:i4>
      </vt:variant>
      <vt:variant>
        <vt:i4>0</vt:i4>
      </vt:variant>
      <vt:variant>
        <vt:i4>5</vt:i4>
      </vt:variant>
      <vt:variant>
        <vt:lpwstr>https://doi.org/10.3390/businesses5010002</vt:lpwstr>
      </vt:variant>
      <vt:variant>
        <vt:lpwstr/>
      </vt:variant>
      <vt:variant>
        <vt:i4>2097249</vt:i4>
      </vt:variant>
      <vt:variant>
        <vt:i4>75</vt:i4>
      </vt:variant>
      <vt:variant>
        <vt:i4>0</vt:i4>
      </vt:variant>
      <vt:variant>
        <vt:i4>5</vt:i4>
      </vt:variant>
      <vt:variant>
        <vt:lpwstr>https://doi.org/10.2307/259247</vt:lpwstr>
      </vt:variant>
      <vt:variant>
        <vt:lpwstr/>
      </vt:variant>
      <vt:variant>
        <vt:i4>6094923</vt:i4>
      </vt:variant>
      <vt:variant>
        <vt:i4>72</vt:i4>
      </vt:variant>
      <vt:variant>
        <vt:i4>0</vt:i4>
      </vt:variant>
      <vt:variant>
        <vt:i4>5</vt:i4>
      </vt:variant>
      <vt:variant>
        <vt:lpwstr>https://doi-org.library.capella.edu/10.1177/1403494815621181</vt:lpwstr>
      </vt:variant>
      <vt:variant>
        <vt:lpwstr/>
      </vt:variant>
      <vt:variant>
        <vt:i4>3670125</vt:i4>
      </vt:variant>
      <vt:variant>
        <vt:i4>69</vt:i4>
      </vt:variant>
      <vt:variant>
        <vt:i4>0</vt:i4>
      </vt:variant>
      <vt:variant>
        <vt:i4>5</vt:i4>
      </vt:variant>
      <vt:variant>
        <vt:lpwstr>https://doi.org/10.1287/mnsc.2023.04147</vt:lpwstr>
      </vt:variant>
      <vt:variant>
        <vt:lpwstr/>
      </vt:variant>
      <vt:variant>
        <vt:i4>2949163</vt:i4>
      </vt:variant>
      <vt:variant>
        <vt:i4>66</vt:i4>
      </vt:variant>
      <vt:variant>
        <vt:i4>0</vt:i4>
      </vt:variant>
      <vt:variant>
        <vt:i4>5</vt:i4>
      </vt:variant>
      <vt:variant>
        <vt:lpwstr>https://doi.org/10.1108/IJCMA-09-2019-0172</vt:lpwstr>
      </vt:variant>
      <vt:variant>
        <vt:lpwstr/>
      </vt:variant>
      <vt:variant>
        <vt:i4>3211364</vt:i4>
      </vt:variant>
      <vt:variant>
        <vt:i4>63</vt:i4>
      </vt:variant>
      <vt:variant>
        <vt:i4>0</vt:i4>
      </vt:variant>
      <vt:variant>
        <vt:i4>5</vt:i4>
      </vt:variant>
      <vt:variant>
        <vt:lpwstr>https://doi-org.library.capella.edu/10.1002/nha3.20251</vt:lpwstr>
      </vt:variant>
      <vt:variant>
        <vt:lpwstr/>
      </vt:variant>
      <vt:variant>
        <vt:i4>5963842</vt:i4>
      </vt:variant>
      <vt:variant>
        <vt:i4>60</vt:i4>
      </vt:variant>
      <vt:variant>
        <vt:i4>0</vt:i4>
      </vt:variant>
      <vt:variant>
        <vt:i4>5</vt:i4>
      </vt:variant>
      <vt:variant>
        <vt:lpwstr>https://doi-org.library.capella.edu/10.1177/1050651908320362</vt:lpwstr>
      </vt:variant>
      <vt:variant>
        <vt:lpwstr/>
      </vt:variant>
      <vt:variant>
        <vt:i4>6684782</vt:i4>
      </vt:variant>
      <vt:variant>
        <vt:i4>57</vt:i4>
      </vt:variant>
      <vt:variant>
        <vt:i4>0</vt:i4>
      </vt:variant>
      <vt:variant>
        <vt:i4>5</vt:i4>
      </vt:variant>
      <vt:variant>
        <vt:lpwstr>https://doi-org.library.capella.edu/10.1111/ssqu.12328</vt:lpwstr>
      </vt:variant>
      <vt:variant>
        <vt:lpwstr/>
      </vt:variant>
      <vt:variant>
        <vt:i4>3080300</vt:i4>
      </vt:variant>
      <vt:variant>
        <vt:i4>54</vt:i4>
      </vt:variant>
      <vt:variant>
        <vt:i4>0</vt:i4>
      </vt:variant>
      <vt:variant>
        <vt:i4>5</vt:i4>
      </vt:variant>
      <vt:variant>
        <vt:lpwstr>https://doi.org/10.1177/160940691401300119</vt:lpwstr>
      </vt:variant>
      <vt:variant>
        <vt:lpwstr/>
      </vt:variant>
      <vt:variant>
        <vt:i4>1966150</vt:i4>
      </vt:variant>
      <vt:variant>
        <vt:i4>51</vt:i4>
      </vt:variant>
      <vt:variant>
        <vt:i4>0</vt:i4>
      </vt:variant>
      <vt:variant>
        <vt:i4>5</vt:i4>
      </vt:variant>
      <vt:variant>
        <vt:lpwstr>https://doi-org.library.capella.edu/10.1177/1525822X05279903</vt:lpwstr>
      </vt:variant>
      <vt:variant>
        <vt:lpwstr/>
      </vt:variant>
      <vt:variant>
        <vt:i4>3735589</vt:i4>
      </vt:variant>
      <vt:variant>
        <vt:i4>48</vt:i4>
      </vt:variant>
      <vt:variant>
        <vt:i4>0</vt:i4>
      </vt:variant>
      <vt:variant>
        <vt:i4>5</vt:i4>
      </vt:variant>
      <vt:variant>
        <vt:lpwstr>https://doi-org.library.capella.edu/10.1002/sd.2840</vt:lpwstr>
      </vt:variant>
      <vt:variant>
        <vt:lpwstr/>
      </vt:variant>
      <vt:variant>
        <vt:i4>917585</vt:i4>
      </vt:variant>
      <vt:variant>
        <vt:i4>45</vt:i4>
      </vt:variant>
      <vt:variant>
        <vt:i4>0</vt:i4>
      </vt:variant>
      <vt:variant>
        <vt:i4>5</vt:i4>
      </vt:variant>
      <vt:variant>
        <vt:lpwstr>https://doi.org/10.5590/JOSC.2018.10.1.02</vt:lpwstr>
      </vt:variant>
      <vt:variant>
        <vt:lpwstr/>
      </vt:variant>
      <vt:variant>
        <vt:i4>3866734</vt:i4>
      </vt:variant>
      <vt:variant>
        <vt:i4>42</vt:i4>
      </vt:variant>
      <vt:variant>
        <vt:i4>0</vt:i4>
      </vt:variant>
      <vt:variant>
        <vt:i4>5</vt:i4>
      </vt:variant>
      <vt:variant>
        <vt:lpwstr>https://10.1287/orsc.1040.0066</vt:lpwstr>
      </vt:variant>
      <vt:variant>
        <vt:lpwstr/>
      </vt:variant>
      <vt:variant>
        <vt:i4>1572892</vt:i4>
      </vt:variant>
      <vt:variant>
        <vt:i4>39</vt:i4>
      </vt:variant>
      <vt:variant>
        <vt:i4>0</vt:i4>
      </vt:variant>
      <vt:variant>
        <vt:i4>5</vt:i4>
      </vt:variant>
      <vt:variant>
        <vt:lpwstr>https://10.1007/s10551-007-9517-y</vt:lpwstr>
      </vt:variant>
      <vt:variant>
        <vt:lpwstr/>
      </vt:variant>
      <vt:variant>
        <vt:i4>786456</vt:i4>
      </vt:variant>
      <vt:variant>
        <vt:i4>36</vt:i4>
      </vt:variant>
      <vt:variant>
        <vt:i4>0</vt:i4>
      </vt:variant>
      <vt:variant>
        <vt:i4>5</vt:i4>
      </vt:variant>
      <vt:variant>
        <vt:lpwstr>https://capella.alma.exlibrisgroup.com/openurl/01CAPELLA_INST/01CAPELLA_INST:Services?genre=article&amp;atitle=Values+And+The+Foundations+Of+Strategic+Management%253A+JBE&amp;author=Freeman%252C+R+Edward%253BGilbert%252C+Daniel+R%252C+Jr%253BHartman%252C+Edwin&amp;volume=7&amp;issue=11&amp;spage=821&amp;date=1988-11-01&amp;rft.btitle=&amp;rft.jtitle=Journal+of+Business+Ethics&amp;issn=0167-4544&amp;isbn=&amp;sid=ProQ%253Aabiglobal_00438427</vt:lpwstr>
      </vt:variant>
      <vt:variant>
        <vt:lpwstr/>
      </vt:variant>
      <vt:variant>
        <vt:i4>3014704</vt:i4>
      </vt:variant>
      <vt:variant>
        <vt:i4>33</vt:i4>
      </vt:variant>
      <vt:variant>
        <vt:i4>0</vt:i4>
      </vt:variant>
      <vt:variant>
        <vt:i4>5</vt:i4>
      </vt:variant>
      <vt:variant>
        <vt:lpwstr>https://www.proquest.com/scholarly-journals/values-foundations-strategic-management/docview/198089072/se-2?accountid=27965</vt:lpwstr>
      </vt:variant>
      <vt:variant>
        <vt:lpwstr/>
      </vt:variant>
      <vt:variant>
        <vt:i4>7798901</vt:i4>
      </vt:variant>
      <vt:variant>
        <vt:i4>30</vt:i4>
      </vt:variant>
      <vt:variant>
        <vt:i4>0</vt:i4>
      </vt:variant>
      <vt:variant>
        <vt:i4>5</vt:i4>
      </vt:variant>
      <vt:variant>
        <vt:lpwstr>https://doi.org/10.5840/pom20098310</vt:lpwstr>
      </vt:variant>
      <vt:variant>
        <vt:lpwstr/>
      </vt:variant>
      <vt:variant>
        <vt:i4>1572892</vt:i4>
      </vt:variant>
      <vt:variant>
        <vt:i4>27</vt:i4>
      </vt:variant>
      <vt:variant>
        <vt:i4>0</vt:i4>
      </vt:variant>
      <vt:variant>
        <vt:i4>5</vt:i4>
      </vt:variant>
      <vt:variant>
        <vt:lpwstr>https://10.1007/s10551-007-9517-y</vt:lpwstr>
      </vt:variant>
      <vt:variant>
        <vt:lpwstr/>
      </vt:variant>
      <vt:variant>
        <vt:i4>3866734</vt:i4>
      </vt:variant>
      <vt:variant>
        <vt:i4>24</vt:i4>
      </vt:variant>
      <vt:variant>
        <vt:i4>0</vt:i4>
      </vt:variant>
      <vt:variant>
        <vt:i4>5</vt:i4>
      </vt:variant>
      <vt:variant>
        <vt:lpwstr>https://10.1287/orsc.1040.0066</vt:lpwstr>
      </vt:variant>
      <vt:variant>
        <vt:lpwstr/>
      </vt:variant>
      <vt:variant>
        <vt:i4>8323179</vt:i4>
      </vt:variant>
      <vt:variant>
        <vt:i4>21</vt:i4>
      </vt:variant>
      <vt:variant>
        <vt:i4>0</vt:i4>
      </vt:variant>
      <vt:variant>
        <vt:i4>5</vt:i4>
      </vt:variant>
      <vt:variant>
        <vt:lpwstr>https://www.proquest.com/legacydocview/EBC/3420430?accountid=27965</vt:lpwstr>
      </vt:variant>
      <vt:variant>
        <vt:lpwstr/>
      </vt:variant>
      <vt:variant>
        <vt:i4>393240</vt:i4>
      </vt:variant>
      <vt:variant>
        <vt:i4>18</vt:i4>
      </vt:variant>
      <vt:variant>
        <vt:i4>0</vt:i4>
      </vt:variant>
      <vt:variant>
        <vt:i4>5</vt:i4>
      </vt:variant>
      <vt:variant>
        <vt:lpwstr>https://doi.org/10.1007/s10551-018-4012-1</vt:lpwstr>
      </vt:variant>
      <vt:variant>
        <vt:lpwstr/>
      </vt:variant>
      <vt:variant>
        <vt:i4>786455</vt:i4>
      </vt:variant>
      <vt:variant>
        <vt:i4>15</vt:i4>
      </vt:variant>
      <vt:variant>
        <vt:i4>0</vt:i4>
      </vt:variant>
      <vt:variant>
        <vt:i4>5</vt:i4>
      </vt:variant>
      <vt:variant>
        <vt:lpwstr>https://doi.org/10.1007/s10551-015-2805-z</vt:lpwstr>
      </vt:variant>
      <vt:variant>
        <vt:lpwstr/>
      </vt:variant>
      <vt:variant>
        <vt:i4>1704018</vt:i4>
      </vt:variant>
      <vt:variant>
        <vt:i4>12</vt:i4>
      </vt:variant>
      <vt:variant>
        <vt:i4>0</vt:i4>
      </vt:variant>
      <vt:variant>
        <vt:i4>5</vt:i4>
      </vt:variant>
      <vt:variant>
        <vt:lpwstr>https://doi.org/10.1177/08903344231176453</vt:lpwstr>
      </vt:variant>
      <vt:variant>
        <vt:lpwstr/>
      </vt:variant>
      <vt:variant>
        <vt:i4>6291581</vt:i4>
      </vt:variant>
      <vt:variant>
        <vt:i4>9</vt:i4>
      </vt:variant>
      <vt:variant>
        <vt:i4>0</vt:i4>
      </vt:variant>
      <vt:variant>
        <vt:i4>5</vt:i4>
      </vt:variant>
      <vt:variant>
        <vt:lpwstr>https://doi.org/10.1136/emj.2007.050641</vt:lpwstr>
      </vt:variant>
      <vt:variant>
        <vt:lpwstr/>
      </vt:variant>
      <vt:variant>
        <vt:i4>2228333</vt:i4>
      </vt:variant>
      <vt:variant>
        <vt:i4>6</vt:i4>
      </vt:variant>
      <vt:variant>
        <vt:i4>0</vt:i4>
      </vt:variant>
      <vt:variant>
        <vt:i4>5</vt:i4>
      </vt:variant>
      <vt:variant>
        <vt:lpwstr>https://doi.org/10.1177/160940690300200201</vt:lpwstr>
      </vt:variant>
      <vt:variant>
        <vt:lpwstr/>
      </vt:variant>
      <vt:variant>
        <vt:i4>4390976</vt:i4>
      </vt:variant>
      <vt:variant>
        <vt:i4>3</vt:i4>
      </vt:variant>
      <vt:variant>
        <vt:i4>0</vt:i4>
      </vt:variant>
      <vt:variant>
        <vt:i4>5</vt:i4>
      </vt:variant>
      <vt:variant>
        <vt:lpwstr>https://doi.org/10.5840/beq200818214</vt:lpwstr>
      </vt:variant>
      <vt:variant>
        <vt:lpwstr/>
      </vt:variant>
      <vt:variant>
        <vt:i4>262154</vt:i4>
      </vt:variant>
      <vt:variant>
        <vt:i4>0</vt:i4>
      </vt:variant>
      <vt:variant>
        <vt:i4>0</vt:i4>
      </vt:variant>
      <vt:variant>
        <vt:i4>5</vt:i4>
      </vt:variant>
      <vt:variant>
        <vt:lpwstr>https://www.researchgate.net/publication/378330555_Improving_Threat_Mitigation_Through_a_Cybersecurity_Risk_Management_Framework_A_Computational_Design_Science_Approach</vt:lpwstr>
      </vt:variant>
      <vt:variant>
        <vt:lpwstr/>
      </vt:variant>
      <vt:variant>
        <vt:i4>3539063</vt:i4>
      </vt:variant>
      <vt:variant>
        <vt:i4>0</vt:i4>
      </vt:variant>
      <vt:variant>
        <vt:i4>0</vt:i4>
      </vt:variant>
      <vt:variant>
        <vt:i4>5</vt:i4>
      </vt:variant>
      <vt:variant>
        <vt:lpwstr>https://doi.org/10.3846/jbem.2025.23519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tleffler</dc:creator>
  <cp:keywords/>
  <cp:lastModifiedBy>M W</cp:lastModifiedBy>
  <cp:revision>2</cp:revision>
  <cp:lastPrinted>2004-11-23T16:45:00Z</cp:lastPrinted>
  <dcterms:created xsi:type="dcterms:W3CDTF">2026-09-06T14:20:00Z</dcterms:created>
  <dcterms:modified xsi:type="dcterms:W3CDTF">2026-09-06T14:20:00Z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Leffler, Tanya</vt:lpwstr>
  </property>
  <property fmtid="{D5CDD505-2E9C-101B-9397-08002B2CF9AE}" pid="3" name="Celeste">
    <vt:lpwstr>0</vt:lpwstr>
  </property>
  <property fmtid="{D5CDD505-2E9C-101B-9397-08002B2CF9AE}" pid="4" name="Department Info">
    <vt:lpwstr>0</vt:lpwstr>
  </property>
  <property fmtid="{D5CDD505-2E9C-101B-9397-08002B2CF9AE}" pid="5" name="The Editor Role">
    <vt:lpwstr>0</vt:lpwstr>
  </property>
  <property fmtid="{D5CDD505-2E9C-101B-9397-08002B2CF9AE}" pid="6" name="Editricks">
    <vt:lpwstr>0</vt:lpwstr>
  </property>
  <property fmtid="{D5CDD505-2E9C-101B-9397-08002B2CF9AE}" pid="7" name="Forms">
    <vt:lpwstr>1</vt:lpwstr>
  </property>
  <property fmtid="{D5CDD505-2E9C-101B-9397-08002B2CF9AE}" pid="8" name="Guidance">
    <vt:lpwstr>0</vt:lpwstr>
  </property>
  <property fmtid="{D5CDD505-2E9C-101B-9397-08002B2CF9AE}" pid="9" name="Standardized Language">
    <vt:lpwstr>0</vt:lpwstr>
  </property>
  <property fmtid="{D5CDD505-2E9C-101B-9397-08002B2CF9AE}" pid="10" name="Tool Instructions">
    <vt:lpwstr>0</vt:lpwstr>
  </property>
  <property fmtid="{D5CDD505-2E9C-101B-9397-08002B2CF9AE}" pid="11" name="Sub-page">
    <vt:lpwstr>;#Styles, Formatting, and Templates;#</vt:lpwstr>
  </property>
  <property fmtid="{D5CDD505-2E9C-101B-9397-08002B2CF9AE}" pid="12" name="ePortfolio">
    <vt:lpwstr>0</vt:lpwstr>
  </property>
  <property fmtid="{D5CDD505-2E9C-101B-9397-08002B2CF9AE}" pid="13" name="Media">
    <vt:lpwstr>0</vt:lpwstr>
  </property>
  <property fmtid="{D5CDD505-2E9C-101B-9397-08002B2CF9AE}" pid="14" name="Minors">
    <vt:lpwstr>0</vt:lpwstr>
  </property>
  <property fmtid="{D5CDD505-2E9C-101B-9397-08002B2CF9AE}" pid="15" name="Meetings Docs">
    <vt:lpwstr>0</vt:lpwstr>
  </property>
  <property fmtid="{D5CDD505-2E9C-101B-9397-08002B2CF9AE}" pid="16" name="New/Revised">
    <vt:lpwstr>0</vt:lpwstr>
  </property>
  <property fmtid="{D5CDD505-2E9C-101B-9397-08002B2CF9AE}" pid="17" name="Parts of the Course Test">
    <vt:lpwstr/>
  </property>
  <property fmtid="{D5CDD505-2E9C-101B-9397-08002B2CF9AE}" pid="18" name="Date Uploaded to Toolbox">
    <vt:lpwstr>2010-07-29T00:00:00Z</vt:lpwstr>
  </property>
  <property fmtid="{D5CDD505-2E9C-101B-9397-08002B2CF9AE}" pid="19" name="Creating Links">
    <vt:lpwstr>0</vt:lpwstr>
  </property>
  <property fmtid="{D5CDD505-2E9C-101B-9397-08002B2CF9AE}" pid="20" name="Dreamweaver">
    <vt:lpwstr>0</vt:lpwstr>
  </property>
  <property fmtid="{D5CDD505-2E9C-101B-9397-08002B2CF9AE}" pid="21" name="Checklist">
    <vt:lpwstr>0</vt:lpwstr>
  </property>
  <property fmtid="{D5CDD505-2E9C-101B-9397-08002B2CF9AE}" pid="22" name="Technologies">
    <vt:lpwstr>0</vt:lpwstr>
  </property>
  <property fmtid="{D5CDD505-2E9C-101B-9397-08002B2CF9AE}" pid="23" name="VitalSource">
    <vt:lpwstr>0</vt:lpwstr>
  </property>
  <property fmtid="{D5CDD505-2E9C-101B-9397-08002B2CF9AE}" pid="24" name="The DERG">
    <vt:lpwstr>0</vt:lpwstr>
  </property>
  <property fmtid="{D5CDD505-2E9C-101B-9397-08002B2CF9AE}" pid="25" name="Styles and Standards Column">
    <vt:lpwstr/>
  </property>
  <property fmtid="{D5CDD505-2E9C-101B-9397-08002B2CF9AE}" pid="26" name="Web Pages">
    <vt:lpwstr>0</vt:lpwstr>
  </property>
  <property fmtid="{D5CDD505-2E9C-101B-9397-08002B2CF9AE}" pid="27" name="SafeAssign">
    <vt:lpwstr>0</vt:lpwstr>
  </property>
  <property fmtid="{D5CDD505-2E9C-101B-9397-08002B2CF9AE}" pid="28" name="Styles and Formatting">
    <vt:lpwstr>1</vt:lpwstr>
  </property>
  <property fmtid="{D5CDD505-2E9C-101B-9397-08002B2CF9AE}" pid="29" name="VSS">
    <vt:lpwstr>0</vt:lpwstr>
  </property>
  <property fmtid="{D5CDD505-2E9C-101B-9397-08002B2CF9AE}" pid="30" name="EmailTo">
    <vt:lpwstr/>
  </property>
  <property fmtid="{D5CDD505-2E9C-101B-9397-08002B2CF9AE}" pid="31" name="EmailSender">
    <vt:lpwstr/>
  </property>
  <property fmtid="{D5CDD505-2E9C-101B-9397-08002B2CF9AE}" pid="32" name="EmailFrom">
    <vt:lpwstr/>
  </property>
  <property fmtid="{D5CDD505-2E9C-101B-9397-08002B2CF9AE}" pid="33" name="Filename_test">
    <vt:lpwstr/>
  </property>
  <property fmtid="{D5CDD505-2E9C-101B-9397-08002B2CF9AE}" pid="34" name="EmailSubject">
    <vt:lpwstr/>
  </property>
  <property fmtid="{D5CDD505-2E9C-101B-9397-08002B2CF9AE}" pid="35" name="EmailCc">
    <vt:lpwstr/>
  </property>
  <property fmtid="{D5CDD505-2E9C-101B-9397-08002B2CF9AE}" pid="36" name="Filename">
    <vt:lpwstr/>
  </property>
  <property fmtid="{D5CDD505-2E9C-101B-9397-08002B2CF9AE}" pid="37" name="Order">
    <vt:lpwstr>17400.0000000000</vt:lpwstr>
  </property>
  <property fmtid="{D5CDD505-2E9C-101B-9397-08002B2CF9AE}" pid="38" name="Doc Title with Link WIP">
    <vt:lpwstr>https://collaborate.capella.edu/nextgen/ngl1/editor_toolbox/All%20Documents/course_file_template_portrait.doc</vt:lpwstr>
  </property>
  <property fmtid="{D5CDD505-2E9C-101B-9397-08002B2CF9AE}" pid="39" name="ContentType">
    <vt:lpwstr>Document</vt:lpwstr>
  </property>
  <property fmtid="{D5CDD505-2E9C-101B-9397-08002B2CF9AE}" pid="40" name="Doc Status">
    <vt:lpwstr>Up to date.</vt:lpwstr>
  </property>
  <property fmtid="{D5CDD505-2E9C-101B-9397-08002B2CF9AE}" pid="41" name="Current Doc Owner">
    <vt:lpwstr>Tanya</vt:lpwstr>
  </property>
  <property fmtid="{D5CDD505-2E9C-101B-9397-08002B2CF9AE}" pid="42" name="Doc Team">
    <vt:lpwstr>Team 1</vt:lpwstr>
  </property>
  <property fmtid="{D5CDD505-2E9C-101B-9397-08002B2CF9AE}" pid="43" name="Choose Category (Left Nav)">
    <vt:lpwstr>;#Styles and Standards;#Celeste New and Revised;#Non-Celeste New and Revised;#</vt:lpwstr>
  </property>
  <property fmtid="{D5CDD505-2E9C-101B-9397-08002B2CF9AE}" pid="44" name="Archive This Doc">
    <vt:lpwstr>0</vt:lpwstr>
  </property>
  <property fmtid="{D5CDD505-2E9C-101B-9397-08002B2CF9AE}" pid="45" name="Title (with link to document)">
    <vt:lpwstr>https://share.capella.edu/functional/opux/CCD/DE/Documents/course_files_template_portrait.doc, Course Files Template (Portrait)</vt:lpwstr>
  </property>
  <property fmtid="{D5CDD505-2E9C-101B-9397-08002B2CF9AE}" pid="46" name="Description0">
    <vt:lpwstr>With placeholder text only.</vt:lpwstr>
  </property>
  <property fmtid="{D5CDD505-2E9C-101B-9397-08002B2CF9AE}" pid="47" name="Maintenance Notes">
    <vt:lpwstr>ATLAS--N/A</vt:lpwstr>
  </property>
  <property fmtid="{D5CDD505-2E9C-101B-9397-08002B2CF9AE}" pid="48" name="School-Specific Resources">
    <vt:lpwstr>;#Standards, Styles, and Templates;#</vt:lpwstr>
  </property>
  <property fmtid="{D5CDD505-2E9C-101B-9397-08002B2CF9AE}" pid="49" name="Add to Home Page?">
    <vt:lpwstr>0</vt:lpwstr>
  </property>
  <property fmtid="{D5CDD505-2E9C-101B-9397-08002B2CF9AE}" pid="50" name="Keyword">
    <vt:lpwstr>;#Templates;#</vt:lpwstr>
  </property>
  <property fmtid="{D5CDD505-2E9C-101B-9397-08002B2CF9AE}" pid="51" name="WorkflowChangePath">
    <vt:lpwstr>a908e54d-bb11-4491-974d-87c7c5b26495,24;</vt:lpwstr>
  </property>
  <property fmtid="{D5CDD505-2E9C-101B-9397-08002B2CF9AE}" pid="52" name="LinkID">
    <vt:lpwstr>103.000000000000</vt:lpwstr>
  </property>
  <property fmtid="{D5CDD505-2E9C-101B-9397-08002B2CF9AE}" pid="53" name="source_item_id">
    <vt:lpwstr>18</vt:lpwstr>
  </property>
  <property fmtid="{D5CDD505-2E9C-101B-9397-08002B2CF9AE}" pid="54" name="PublishingExpirationDate">
    <vt:lpwstr/>
  </property>
  <property fmtid="{D5CDD505-2E9C-101B-9397-08002B2CF9AE}" pid="55" name="PublishingStartDate">
    <vt:lpwstr/>
  </property>
</Properties>
</file>