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480" w:lineRule="auto"/>
        <w:jc w:val="center"/>
      </w:pPr>
      <w:r>
        <w:rPr>
          <w:rFonts w:ascii="Times New Roman" w:hAnsi="Times New Roman" w:eastAsia="Times New Roman"/>
          <w:b/>
          <w:i w:val="0"/>
          <w:sz w:val="24"/>
        </w:rPr>
        <w:t>Max D. Walker</w:t>
      </w:r>
    </w:p>
    <w:p>
      <w:pPr>
        <w:spacing w:after="0" w:before="0" w:line="480" w:lineRule="auto"/>
        <w:jc w:val="center"/>
      </w:pPr>
      <w:r>
        <w:rPr>
          <w:rFonts w:ascii="Times New Roman" w:hAnsi="Times New Roman" w:eastAsia="Times New Roman"/>
          <w:b w:val="0"/>
          <w:i w:val="0"/>
          <w:sz w:val="24"/>
        </w:rPr>
        <w:t>Capella University</w:t>
      </w:r>
    </w:p>
    <w:p>
      <w:pPr>
        <w:spacing w:after="0" w:before="0" w:line="480" w:lineRule="auto"/>
        <w:jc w:val="center"/>
      </w:pPr>
      <w:r>
        <w:rPr>
          <w:rFonts w:ascii="Times New Roman" w:hAnsi="Times New Roman" w:eastAsia="Times New Roman"/>
          <w:b w:val="0"/>
          <w:i w:val="0"/>
          <w:sz w:val="24"/>
        </w:rPr>
        <w:t>RSCH-V8927 Doctoral Project Development — Framework Development</w:t>
      </w:r>
    </w:p>
    <w:p>
      <w:pPr>
        <w:spacing w:after="0" w:before="0" w:line="480" w:lineRule="auto"/>
        <w:jc w:val="center"/>
      </w:pPr>
      <w:r>
        <w:rPr>
          <w:rFonts w:ascii="Times New Roman" w:hAnsi="Times New Roman" w:eastAsia="Times New Roman"/>
          <w:b w:val="0"/>
          <w:i/>
          <w:sz w:val="24"/>
        </w:rPr>
        <w:t>Information Technology Management specialization</w:t>
      </w:r>
    </w:p>
    <w:p>
      <w:pPr>
        <w:spacing w:after="360" w:before="0" w:line="480" w:lineRule="auto"/>
        <w:jc w:val="center"/>
      </w:pPr>
      <w:r>
        <w:rPr>
          <w:rFonts w:ascii="Times New Roman" w:hAnsi="Times New Roman" w:eastAsia="Times New Roman"/>
          <w:b/>
          <w:i w:val="0"/>
          <w:color w:val="1F3A5F"/>
          <w:sz w:val="32"/>
        </w:rPr>
        <w:t>Dissertation Document Tracking Pack</w:t>
      </w:r>
    </w:p>
    <w:p>
      <w:pPr>
        <w:spacing w:after="240" w:before="0" w:line="480" w:lineRule="auto"/>
        <w:jc w:val="center"/>
      </w:pPr>
      <w:r>
        <w:rPr>
          <w:rFonts w:ascii="Times New Roman" w:hAnsi="Times New Roman" w:eastAsia="Times New Roman"/>
          <w:b w:val="0"/>
          <w:i/>
          <w:sz w:val="24"/>
        </w:rPr>
        <w:t>One companion Excel file. Bold marks what changed and why.</w:t>
      </w:r>
    </w:p>
    <w:p>
      <w:pPr>
        <w:spacing w:after="120" w:before="0" w:line="480" w:lineRule="auto"/>
      </w:pPr>
      <w:r>
        <w:rPr>
          <w:rFonts w:ascii="Times New Roman" w:hAnsi="Times New Roman" w:eastAsia="Times New Roman"/>
          <w:b w:val="0"/>
          <w:i/>
          <w:sz w:val="24"/>
        </w:rPr>
        <w:t>Companion workbook: downloads/Dissertation_Document_Tracking_Master.xlsx (Origins13 ROS template + live GQI CSV nest). Notion amalgamation database (write pending authentication): https://app.notion.com/p/8927_Amalgamation_db-3d52df1d624080149230cc6252b942c5?source=copy_link</w:t>
      </w:r>
    </w:p>
    <w:p>
      <w:pPr>
        <w:spacing w:after="160" w:before="240" w:line="480" w:lineRule="auto"/>
      </w:pPr>
      <w:r>
        <w:rPr>
          <w:rFonts w:ascii="Times New Roman" w:hAnsi="Times New Roman" w:eastAsia="Times New Roman"/>
          <w:b/>
          <w:i w:val="0"/>
          <w:color w:val="1F3A5F"/>
          <w:sz w:val="32"/>
        </w:rPr>
        <w:t>1. Purpose and locked study facts</w:t>
      </w:r>
    </w:p>
    <w:p>
      <w:pPr>
        <w:spacing w:after="120" w:before="0" w:line="480" w:lineRule="auto"/>
      </w:pPr>
      <w:r>
        <w:rPr>
          <w:rFonts w:ascii="Times New Roman" w:hAnsi="Times New Roman" w:eastAsia="Times New Roman"/>
          <w:b w:val="0"/>
          <w:i w:val="0"/>
          <w:sz w:val="24"/>
        </w:rPr>
        <w:t>This pack is a document-control system that tracks the dissertation from the current constructs and folders through Chapter V and deposit. It is not a new method, not a new codebook, and not a new spoken protocol.</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after="40" w:line="240" w:lineRule="auto"/>
            </w:pPr>
            <w:r/>
            <w:r>
              <w:rPr>
                <w:rFonts w:ascii="Times New Roman" w:hAnsi="Times New Roman" w:eastAsia="Times New Roman"/>
                <w:b/>
                <w:i w:val="0"/>
                <w:sz w:val="20"/>
              </w:rPr>
              <w:t>Item</w:t>
            </w:r>
          </w:p>
        </w:tc>
        <w:tc>
          <w:tcPr>
            <w:tcW w:type="dxa" w:w="4680"/>
          </w:tcPr>
          <w:p>
            <w:pPr>
              <w:spacing w:after="40" w:line="240" w:lineRule="auto"/>
            </w:pPr>
            <w:r/>
            <w:r>
              <w:rPr>
                <w:rFonts w:ascii="Times New Roman" w:hAnsi="Times New Roman" w:eastAsia="Times New Roman"/>
                <w:b/>
                <w:i w:val="0"/>
                <w:sz w:val="20"/>
              </w:rPr>
              <w:t>Locked value</w:t>
            </w:r>
          </w:p>
        </w:tc>
      </w:tr>
      <w:tr>
        <w:tc>
          <w:tcPr>
            <w:tcW w:type="dxa" w:w="4680"/>
          </w:tcPr>
          <w:p>
            <w:pPr>
              <w:spacing w:after="40" w:line="240" w:lineRule="auto"/>
            </w:pPr>
            <w:r/>
            <w:r>
              <w:rPr>
                <w:rFonts w:ascii="Times New Roman" w:hAnsi="Times New Roman" w:eastAsia="Times New Roman"/>
                <w:b w:val="0"/>
                <w:i w:val="0"/>
                <w:sz w:val="20"/>
              </w:rPr>
              <w:t>Program / specialization</w:t>
            </w:r>
          </w:p>
        </w:tc>
        <w:tc>
          <w:tcPr>
            <w:tcW w:type="dxa" w:w="4680"/>
          </w:tcPr>
          <w:p>
            <w:pPr>
              <w:spacing w:after="40" w:line="240" w:lineRule="auto"/>
            </w:pPr>
            <w:r/>
            <w:r>
              <w:rPr>
                <w:rFonts w:ascii="Times New Roman" w:hAnsi="Times New Roman" w:eastAsia="Times New Roman"/>
                <w:b w:val="0"/>
                <w:i w:val="0"/>
                <w:sz w:val="20"/>
              </w:rPr>
              <w:t>PhD in Business Management, Information Technology Management</w:t>
            </w:r>
          </w:p>
        </w:tc>
      </w:tr>
      <w:tr>
        <w:tc>
          <w:tcPr>
            <w:tcW w:type="dxa" w:w="4680"/>
          </w:tcPr>
          <w:p>
            <w:pPr>
              <w:spacing w:after="40" w:line="240" w:lineRule="auto"/>
            </w:pPr>
            <w:r/>
            <w:r>
              <w:rPr>
                <w:rFonts w:ascii="Times New Roman" w:hAnsi="Times New Roman" w:eastAsia="Times New Roman"/>
                <w:b w:val="0"/>
                <w:i w:val="0"/>
                <w:sz w:val="20"/>
              </w:rPr>
              <w:t>Method</w:t>
            </w:r>
          </w:p>
        </w:tc>
        <w:tc>
          <w:tcPr>
            <w:tcW w:type="dxa" w:w="4680"/>
          </w:tcPr>
          <w:p>
            <w:pPr>
              <w:spacing w:after="40" w:line="240" w:lineRule="auto"/>
            </w:pPr>
            <w:r/>
            <w:r>
              <w:rPr>
                <w:rFonts w:ascii="Times New Roman" w:hAnsi="Times New Roman" w:eastAsia="Times New Roman"/>
                <w:b w:val="0"/>
                <w:i w:val="0"/>
                <w:sz w:val="20"/>
              </w:rPr>
              <w:t>GQI; critical-incident interviews</w:t>
            </w:r>
          </w:p>
        </w:tc>
      </w:tr>
      <w:tr>
        <w:tc>
          <w:tcPr>
            <w:tcW w:type="dxa" w:w="4680"/>
          </w:tcPr>
          <w:p>
            <w:pPr>
              <w:spacing w:after="40" w:line="240" w:lineRule="auto"/>
            </w:pPr>
            <w:r/>
            <w:r>
              <w:rPr>
                <w:rFonts w:ascii="Times New Roman" w:hAnsi="Times New Roman" w:eastAsia="Times New Roman"/>
                <w:b w:val="0"/>
                <w:i w:val="0"/>
                <w:sz w:val="20"/>
              </w:rPr>
              <w:t>n</w:t>
            </w:r>
          </w:p>
        </w:tc>
        <w:tc>
          <w:tcPr>
            <w:tcW w:type="dxa" w:w="4680"/>
          </w:tcPr>
          <w:p>
            <w:pPr>
              <w:spacing w:after="40" w:line="240" w:lineRule="auto"/>
            </w:pPr>
            <w:r/>
            <w:r>
              <w:rPr>
                <w:rFonts w:ascii="Times New Roman" w:hAnsi="Times New Roman" w:eastAsia="Times New Roman"/>
                <w:b w:val="0"/>
                <w:i w:val="0"/>
                <w:sz w:val="20"/>
              </w:rPr>
              <w:t>12 (not a range)</w:t>
            </w:r>
          </w:p>
        </w:tc>
      </w:tr>
      <w:tr>
        <w:tc>
          <w:tcPr>
            <w:tcW w:type="dxa" w:w="4680"/>
          </w:tcPr>
          <w:p>
            <w:pPr>
              <w:spacing w:after="40" w:line="240" w:lineRule="auto"/>
            </w:pPr>
            <w:r/>
            <w:r>
              <w:rPr>
                <w:rFonts w:ascii="Times New Roman" w:hAnsi="Times New Roman" w:eastAsia="Times New Roman"/>
                <w:b w:val="0"/>
                <w:i w:val="0"/>
                <w:sz w:val="20"/>
              </w:rPr>
              <w:t>Unit</w:t>
            </w:r>
          </w:p>
        </w:tc>
        <w:tc>
          <w:tcPr>
            <w:tcW w:type="dxa" w:w="4680"/>
          </w:tcPr>
          <w:p>
            <w:pPr>
              <w:spacing w:after="40" w:line="240" w:lineRule="auto"/>
            </w:pPr>
            <w:r/>
            <w:r>
              <w:rPr>
                <w:rFonts w:ascii="Times New Roman" w:hAnsi="Times New Roman" w:eastAsia="Times New Roman"/>
                <w:b w:val="0"/>
                <w:i w:val="0"/>
                <w:sz w:val="20"/>
              </w:rPr>
              <w:t>One U.S. SME IT/network/systems/infrastructure/operations manager; one named 36-month external-recovery incident; firm 10–200</w:t>
            </w:r>
          </w:p>
        </w:tc>
      </w:tr>
      <w:tr>
        <w:tc>
          <w:tcPr>
            <w:tcW w:type="dxa" w:w="4680"/>
          </w:tcPr>
          <w:p>
            <w:pPr>
              <w:spacing w:after="40" w:line="240" w:lineRule="auto"/>
            </w:pPr>
            <w:r/>
            <w:r>
              <w:rPr>
                <w:rFonts w:ascii="Times New Roman" w:hAnsi="Times New Roman" w:eastAsia="Times New Roman"/>
                <w:b w:val="0"/>
                <w:i w:val="0"/>
                <w:sz w:val="20"/>
              </w:rPr>
              <w:t>Collection</w:t>
            </w:r>
          </w:p>
        </w:tc>
        <w:tc>
          <w:tcPr>
            <w:tcW w:type="dxa" w:w="4680"/>
          </w:tcPr>
          <w:p>
            <w:pPr>
              <w:spacing w:after="40" w:line="240" w:lineRule="auto"/>
            </w:pPr>
            <w:r/>
            <w:r>
              <w:rPr>
                <w:rFonts w:ascii="Times New Roman" w:hAnsi="Times New Roman" w:eastAsia="Times New Roman"/>
                <w:b w:val="0"/>
                <w:i w:val="0"/>
                <w:sz w:val="20"/>
              </w:rPr>
              <w:t>Interviews only. No NIST/ISO/BCM scoring</w:t>
            </w:r>
          </w:p>
        </w:tc>
      </w:tr>
      <w:tr>
        <w:tc>
          <w:tcPr>
            <w:tcW w:type="dxa" w:w="4680"/>
          </w:tcPr>
          <w:p>
            <w:pPr>
              <w:spacing w:after="40" w:line="240" w:lineRule="auto"/>
            </w:pPr>
            <w:r/>
            <w:r>
              <w:rPr>
                <w:rFonts w:ascii="Times New Roman" w:hAnsi="Times New Roman" w:eastAsia="Times New Roman"/>
                <w:b w:val="0"/>
                <w:i w:val="0"/>
                <w:sz w:val="20"/>
              </w:rPr>
              <w:t>Foundation theory</w:t>
            </w:r>
          </w:p>
        </w:tc>
        <w:tc>
          <w:tcPr>
            <w:tcW w:type="dxa" w:w="4680"/>
          </w:tcPr>
          <w:p>
            <w:pPr>
              <w:spacing w:after="40" w:line="240" w:lineRule="auto"/>
            </w:pPr>
            <w:r/>
            <w:r>
              <w:rPr>
                <w:rFonts w:ascii="Times New Roman" w:hAnsi="Times New Roman" w:eastAsia="Times New Roman"/>
                <w:b w:val="0"/>
                <w:i w:val="0"/>
                <w:sz w:val="20"/>
              </w:rPr>
              <w:t>Donaldson &amp; Preston (1995); Freeman et al. (2004)</w:t>
            </w:r>
          </w:p>
        </w:tc>
      </w:tr>
      <w:tr>
        <w:tc>
          <w:tcPr>
            <w:tcW w:type="dxa" w:w="4680"/>
          </w:tcPr>
          <w:p>
            <w:pPr>
              <w:spacing w:after="40" w:line="240" w:lineRule="auto"/>
            </w:pPr>
            <w:r/>
            <w:r>
              <w:rPr>
                <w:rFonts w:ascii="Times New Roman" w:hAnsi="Times New Roman" w:eastAsia="Times New Roman"/>
                <w:b w:val="0"/>
                <w:i w:val="0"/>
                <w:sz w:val="20"/>
              </w:rPr>
              <w:t>Needed construct</w:t>
            </w:r>
          </w:p>
        </w:tc>
        <w:tc>
          <w:tcPr>
            <w:tcW w:type="dxa" w:w="4680"/>
          </w:tcPr>
          <w:p>
            <w:pPr>
              <w:spacing w:after="40" w:line="240" w:lineRule="auto"/>
            </w:pPr>
            <w:r/>
            <w:r>
              <w:rPr>
                <w:rFonts w:ascii="Times New Roman" w:hAnsi="Times New Roman" w:eastAsia="Times New Roman"/>
                <w:b w:val="0"/>
                <w:i w:val="0"/>
                <w:sz w:val="20"/>
              </w:rPr>
              <w:t>VCST — Freeman, Phillips, &amp; Sisodia (2020) — Need / What We Know only</w:t>
            </w:r>
          </w:p>
        </w:tc>
      </w:tr>
      <w:tr>
        <w:tc>
          <w:tcPr>
            <w:tcW w:type="dxa" w:w="4680"/>
          </w:tcPr>
          <w:p>
            <w:pPr>
              <w:spacing w:after="40" w:line="240" w:lineRule="auto"/>
            </w:pPr>
            <w:r/>
            <w:r>
              <w:rPr>
                <w:rFonts w:ascii="Times New Roman" w:hAnsi="Times New Roman" w:eastAsia="Times New Roman"/>
                <w:b w:val="0"/>
                <w:i w:val="0"/>
                <w:sz w:val="20"/>
              </w:rPr>
              <w:t>Operational lens</w:t>
            </w:r>
          </w:p>
        </w:tc>
        <w:tc>
          <w:tcPr>
            <w:tcW w:type="dxa" w:w="4680"/>
          </w:tcPr>
          <w:p>
            <w:pPr>
              <w:spacing w:after="40" w:line="240" w:lineRule="auto"/>
            </w:pPr>
            <w:r/>
            <w:r>
              <w:rPr>
                <w:rFonts w:ascii="Times New Roman" w:hAnsi="Times New Roman" w:eastAsia="Times New Roman"/>
                <w:b w:val="0"/>
                <w:i w:val="0"/>
                <w:sz w:val="20"/>
              </w:rPr>
              <w:t>Mitchell et al. (1997) P, L, U; Lev is enacted combination</w:t>
            </w:r>
          </w:p>
        </w:tc>
      </w:tr>
      <w:tr>
        <w:tc>
          <w:tcPr>
            <w:tcW w:type="dxa" w:w="4680"/>
          </w:tcPr>
          <w:p>
            <w:pPr>
              <w:spacing w:after="40" w:line="240" w:lineRule="auto"/>
            </w:pPr>
            <w:r/>
            <w:r>
              <w:rPr>
                <w:rFonts w:ascii="Times New Roman" w:hAnsi="Times New Roman" w:eastAsia="Times New Roman"/>
                <w:b w:val="0"/>
                <w:i w:val="0"/>
                <w:sz w:val="20"/>
              </w:rPr>
              <w:t>Analytic method</w:t>
            </w:r>
          </w:p>
        </w:tc>
        <w:tc>
          <w:tcPr>
            <w:tcW w:type="dxa" w:w="4680"/>
          </w:tcPr>
          <w:p>
            <w:pPr>
              <w:spacing w:after="40" w:line="240" w:lineRule="auto"/>
            </w:pPr>
            <w:r/>
            <w:r>
              <w:rPr>
                <w:rFonts w:ascii="Times New Roman" w:hAnsi="Times New Roman" w:eastAsia="Times New Roman"/>
                <w:b w:val="0"/>
                <w:i w:val="0"/>
                <w:sz w:val="20"/>
              </w:rPr>
              <w:t>Hybrid codebook thematic analysis (Fereday &amp; Muir-Cochrane, 2006)</w:t>
            </w:r>
          </w:p>
        </w:tc>
      </w:tr>
      <w:tr>
        <w:tc>
          <w:tcPr>
            <w:tcW w:type="dxa" w:w="4680"/>
          </w:tcPr>
          <w:p>
            <w:pPr>
              <w:spacing w:after="40" w:line="240" w:lineRule="auto"/>
            </w:pPr>
            <w:r/>
            <w:r>
              <w:rPr>
                <w:rFonts w:ascii="Times New Roman" w:hAnsi="Times New Roman" w:eastAsia="Times New Roman"/>
                <w:b w:val="0"/>
                <w:i w:val="0"/>
                <w:sz w:val="20"/>
              </w:rPr>
              <w:t>CAQDAS</w:t>
            </w:r>
          </w:p>
        </w:tc>
        <w:tc>
          <w:tcPr>
            <w:tcW w:type="dxa" w:w="4680"/>
          </w:tcPr>
          <w:p>
            <w:pPr>
              <w:spacing w:after="40" w:line="240" w:lineRule="auto"/>
            </w:pPr>
            <w:r/>
            <w:r>
              <w:rPr>
                <w:rFonts w:ascii="Times New Roman" w:hAnsi="Times New Roman" w:eastAsia="Times New Roman"/>
                <w:b w:val="0"/>
                <w:i w:val="0"/>
                <w:sz w:val="20"/>
              </w:rPr>
              <w:t>Delve stores; Delve does not analyze</w:t>
            </w:r>
          </w:p>
        </w:tc>
      </w:tr>
      <w:tr>
        <w:tc>
          <w:tcPr>
            <w:tcW w:type="dxa" w:w="4680"/>
          </w:tcPr>
          <w:p>
            <w:pPr>
              <w:spacing w:after="40" w:line="240" w:lineRule="auto"/>
            </w:pPr>
            <w:r/>
            <w:r>
              <w:rPr>
                <w:rFonts w:ascii="Times New Roman" w:hAnsi="Times New Roman" w:eastAsia="Times New Roman"/>
                <w:b w:val="0"/>
                <w:i w:val="0"/>
                <w:sz w:val="20"/>
              </w:rPr>
              <w:t>Instrument</w:t>
            </w:r>
          </w:p>
        </w:tc>
        <w:tc>
          <w:tcPr>
            <w:tcW w:type="dxa" w:w="4680"/>
          </w:tcPr>
          <w:p>
            <w:pPr>
              <w:spacing w:after="40" w:line="240" w:lineRule="auto"/>
            </w:pPr>
            <w:r/>
            <w:r>
              <w:rPr>
                <w:rFonts w:ascii="Times New Roman" w:hAnsi="Times New Roman" w:eastAsia="Times New Roman"/>
                <w:b w:val="0"/>
                <w:i w:val="0"/>
                <w:sz w:val="20"/>
              </w:rPr>
              <w:t>ITDR-GQI-INT-v0.1.1 (spoken text unchanged)</w:t>
            </w:r>
          </w:p>
        </w:tc>
      </w:tr>
    </w:tbl>
    <w:p/>
    <w:p>
      <w:pPr>
        <w:spacing w:after="160" w:before="240" w:line="480" w:lineRule="auto"/>
      </w:pPr>
      <w:r>
        <w:rPr>
          <w:rFonts w:ascii="Times New Roman" w:hAnsi="Times New Roman" w:eastAsia="Times New Roman"/>
          <w:b/>
          <w:i w:val="0"/>
          <w:color w:val="9A3412"/>
          <w:sz w:val="32"/>
        </w:rPr>
        <w:t>2. What changed and why</w:t>
      </w:r>
    </w:p>
    <w:p>
      <w:pPr>
        <w:spacing w:after="120" w:before="0" w:line="480" w:lineRule="auto"/>
      </w:pPr>
      <w:r>
        <w:rPr>
          <w:rFonts w:ascii="Times New Roman" w:hAnsi="Times New Roman" w:eastAsia="Times New Roman"/>
          <w:b w:val="0"/>
          <w:i/>
          <w:sz w:val="24"/>
        </w:rPr>
        <w:t>Read this section before using any new source. Bold labels are NEW (added to the nest), REPLACE (a prior operating spec is superseded in this pack only), PARK (registered so it cannot leak into method), or KEEP.</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after="40" w:line="240" w:lineRule="auto"/>
            </w:pPr>
            <w:r/>
            <w:r>
              <w:rPr>
                <w:rFonts w:ascii="Times New Roman" w:hAnsi="Times New Roman" w:eastAsia="Times New Roman"/>
                <w:b/>
                <w:i w:val="0"/>
                <w:sz w:val="20"/>
              </w:rPr>
              <w:t>ID</w:t>
            </w:r>
          </w:p>
        </w:tc>
        <w:tc>
          <w:tcPr>
            <w:tcW w:type="dxa" w:w="2340"/>
          </w:tcPr>
          <w:p>
            <w:pPr>
              <w:spacing w:after="40" w:line="240" w:lineRule="auto"/>
            </w:pPr>
            <w:r/>
            <w:r>
              <w:rPr>
                <w:rFonts w:ascii="Times New Roman" w:hAnsi="Times New Roman" w:eastAsia="Times New Roman"/>
                <w:b/>
                <w:i w:val="0"/>
                <w:sz w:val="20"/>
              </w:rPr>
              <w:t>Delta</w:t>
            </w:r>
          </w:p>
        </w:tc>
        <w:tc>
          <w:tcPr>
            <w:tcW w:type="dxa" w:w="2340"/>
          </w:tcPr>
          <w:p>
            <w:pPr>
              <w:spacing w:after="40" w:line="240" w:lineRule="auto"/>
            </w:pPr>
            <w:r/>
            <w:r>
              <w:rPr>
                <w:rFonts w:ascii="Times New Roman" w:hAnsi="Times New Roman" w:eastAsia="Times New Roman"/>
                <w:b/>
                <w:i w:val="0"/>
                <w:sz w:val="20"/>
              </w:rPr>
              <w:t>What changed</w:t>
            </w:r>
          </w:p>
        </w:tc>
        <w:tc>
          <w:tcPr>
            <w:tcW w:type="dxa" w:w="2340"/>
          </w:tcPr>
          <w:p>
            <w:pPr>
              <w:spacing w:after="40" w:line="240" w:lineRule="auto"/>
            </w:pPr>
            <w:r/>
            <w:r>
              <w:rPr>
                <w:rFonts w:ascii="Times New Roman" w:hAnsi="Times New Roman" w:eastAsia="Times New Roman"/>
                <w:b/>
                <w:i w:val="0"/>
                <w:sz w:val="20"/>
              </w:rPr>
              <w:t>Why</w:t>
            </w:r>
          </w:p>
        </w:tc>
      </w:tr>
      <w:tr>
        <w:tc>
          <w:tcPr>
            <w:tcW w:type="dxa" w:w="2340"/>
          </w:tcPr>
          <w:p>
            <w:pPr>
              <w:spacing w:after="40" w:line="240" w:lineRule="auto"/>
            </w:pPr>
            <w:r/>
            <w:r>
              <w:rPr>
                <w:rFonts w:ascii="Times New Roman" w:hAnsi="Times New Roman" w:eastAsia="Times New Roman"/>
                <w:b w:val="0"/>
                <w:i w:val="0"/>
                <w:sz w:val="20"/>
              </w:rPr>
              <w:t>CL-0001</w:t>
            </w:r>
          </w:p>
        </w:tc>
        <w:tc>
          <w:tcPr>
            <w:tcW w:type="dxa" w:w="2340"/>
          </w:tcPr>
          <w:p>
            <w:pPr>
              <w:spacing w:after="40" w:line="240" w:lineRule="auto"/>
            </w:pPr>
            <w:r/>
            <w:r>
              <w:rPr>
                <w:rFonts w:ascii="Times New Roman" w:hAnsi="Times New Roman" w:eastAsia="Times New Roman"/>
                <w:b w:val="0"/>
                <w:i w:val="0"/>
                <w:sz w:val="20"/>
              </w:rPr>
              <w:t>KEEP</w:t>
            </w:r>
          </w:p>
        </w:tc>
        <w:tc>
          <w:tcPr>
            <w:tcW w:type="dxa" w:w="2340"/>
          </w:tcPr>
          <w:p>
            <w:pPr>
              <w:spacing w:after="40" w:line="240" w:lineRule="auto"/>
            </w:pPr>
            <w:r/>
            <w:r>
              <w:rPr>
                <w:rFonts w:ascii="Times New Roman" w:hAnsi="Times New Roman" w:eastAsia="Times New Roman"/>
                <w:b w:val="0"/>
                <w:i w:val="0"/>
                <w:sz w:val="20"/>
              </w:rPr>
              <w:t>Locked study facts remain: GQI + CIT; n = 12; VCST on Need only; PLU operational; hybrid Fereday &amp; Muir-Cochrane; Delve = CAQDAS only; spoken protocol ITDR-GQI-INT-v0.1.1 unchanged.</w:t>
            </w:r>
          </w:p>
        </w:tc>
        <w:tc>
          <w:tcPr>
            <w:tcW w:type="dxa" w:w="2340"/>
          </w:tcPr>
          <w:p>
            <w:pPr>
              <w:spacing w:after="40" w:line="240" w:lineRule="auto"/>
            </w:pPr>
            <w:r/>
            <w:r>
              <w:rPr>
                <w:rFonts w:ascii="Times New Roman" w:hAnsi="Times New Roman" w:eastAsia="Times New Roman"/>
                <w:b w:val="0"/>
                <w:i w:val="0"/>
                <w:sz w:val="20"/>
              </w:rPr>
              <w:t>Change-tracking file already locked these. A tracking pack must not drift the dissertation.</w:t>
            </w:r>
          </w:p>
        </w:tc>
      </w:tr>
      <w:tr>
        <w:tc>
          <w:tcPr>
            <w:tcW w:type="dxa" w:w="2340"/>
          </w:tcPr>
          <w:p>
            <w:pPr>
              <w:spacing w:after="40" w:line="240" w:lineRule="auto"/>
            </w:pPr>
            <w:r/>
            <w:r>
              <w:rPr>
                <w:rFonts w:ascii="Times New Roman" w:hAnsi="Times New Roman" w:eastAsia="Times New Roman"/>
                <w:b w:val="0"/>
                <w:i w:val="0"/>
                <w:sz w:val="20"/>
              </w:rPr>
              <w:t>CL-0002</w:t>
            </w:r>
          </w:p>
        </w:tc>
        <w:tc>
          <w:tcPr>
            <w:tcW w:type="dxa" w:w="2340"/>
          </w:tcPr>
          <w:p>
            <w:pPr>
              <w:spacing w:after="40" w:line="240" w:lineRule="auto"/>
            </w:pPr>
            <w:r/>
            <w:r>
              <w:rPr>
                <w:rFonts w:ascii="Times New Roman" w:hAnsi="Times New Roman" w:eastAsia="Times New Roman"/>
                <w:b/>
                <w:i w:val="0"/>
                <w:sz w:val="20"/>
              </w:rPr>
              <w:t>NEW</w:t>
            </w:r>
          </w:p>
        </w:tc>
        <w:tc>
          <w:tcPr>
            <w:tcW w:type="dxa" w:w="2340"/>
          </w:tcPr>
          <w:p>
            <w:pPr>
              <w:spacing w:after="40" w:line="240" w:lineRule="auto"/>
            </w:pPr>
            <w:r/>
            <w:r>
              <w:rPr>
                <w:rFonts w:ascii="Times New Roman" w:hAnsi="Times New Roman" w:eastAsia="Times New Roman"/>
                <w:b w:val="0"/>
                <w:i w:val="0"/>
                <w:sz w:val="20"/>
              </w:rPr>
              <w:t>One master workbook replaces ad-hoc use of Origins13 ROS plus scattered CSVs as the live tracker. Origins13 remains the template, not a second live codebook.</w:t>
            </w:r>
          </w:p>
        </w:tc>
        <w:tc>
          <w:tcPr>
            <w:tcW w:type="dxa" w:w="2340"/>
          </w:tcPr>
          <w:p>
            <w:pPr>
              <w:spacing w:after="40" w:line="240" w:lineRule="auto"/>
            </w:pPr>
            <w:r/>
            <w:r>
              <w:rPr>
                <w:rFonts w:ascii="Times New Roman" w:hAnsi="Times New Roman" w:eastAsia="Times New Roman"/>
                <w:b w:val="0"/>
                <w:i w:val="0"/>
                <w:sz w:val="20"/>
              </w:rPr>
              <w:t>User asked for one xlsx. Origins philosophy is input-once / ID tracking. Duplicate live codebooks create drift.</w:t>
            </w:r>
          </w:p>
        </w:tc>
      </w:tr>
      <w:tr>
        <w:tc>
          <w:tcPr>
            <w:tcW w:type="dxa" w:w="2340"/>
          </w:tcPr>
          <w:p>
            <w:pPr>
              <w:spacing w:after="40" w:line="240" w:lineRule="auto"/>
            </w:pPr>
            <w:r/>
            <w:r>
              <w:rPr>
                <w:rFonts w:ascii="Times New Roman" w:hAnsi="Times New Roman" w:eastAsia="Times New Roman"/>
                <w:b w:val="0"/>
                <w:i w:val="0"/>
                <w:sz w:val="20"/>
              </w:rPr>
              <w:t>CL-0003</w:t>
            </w:r>
          </w:p>
        </w:tc>
        <w:tc>
          <w:tcPr>
            <w:tcW w:type="dxa" w:w="2340"/>
          </w:tcPr>
          <w:p>
            <w:pPr>
              <w:spacing w:after="40" w:line="240" w:lineRule="auto"/>
            </w:pPr>
            <w:r/>
            <w:r>
              <w:rPr>
                <w:rFonts w:ascii="Times New Roman" w:hAnsi="Times New Roman" w:eastAsia="Times New Roman"/>
                <w:b/>
                <w:i w:val="0"/>
                <w:sz w:val="20"/>
              </w:rPr>
              <w:t>REPLACE</w:t>
            </w:r>
          </w:p>
        </w:tc>
        <w:tc>
          <w:tcPr>
            <w:tcW w:type="dxa" w:w="2340"/>
          </w:tcPr>
          <w:p>
            <w:pPr>
              <w:spacing w:after="40" w:line="240" w:lineRule="auto"/>
            </w:pPr>
            <w:r/>
            <w:r>
              <w:rPr>
                <w:rFonts w:ascii="Times New Roman" w:hAnsi="Times New Roman" w:eastAsia="Times New Roman"/>
                <w:b w:val="0"/>
                <w:i w:val="0"/>
                <w:sz w:val="20"/>
              </w:rPr>
              <w:t>Origins CH3_CONTROL sample 10–15 is replaced in this pack by locked n = 12. Origins GQI_INTERVIEW_QS IQ-01… stems are not the spoken protocol.</w:t>
            </w:r>
          </w:p>
        </w:tc>
        <w:tc>
          <w:tcPr>
            <w:tcW w:type="dxa" w:w="2340"/>
          </w:tcPr>
          <w:p>
            <w:pPr>
              <w:spacing w:after="40" w:line="240" w:lineRule="auto"/>
            </w:pPr>
            <w:r/>
            <w:r>
              <w:rPr>
                <w:rFonts w:ascii="Times New Roman" w:hAnsi="Times New Roman" w:eastAsia="Times New Roman"/>
                <w:b w:val="0"/>
                <w:i w:val="0"/>
                <w:sz w:val="20"/>
              </w:rPr>
              <w:t>Week 8 lock set sample at 12. Spoken wording lives in interview-items.csv (Q0, L1–L3, A–F, Q-close). Copying Origins IQ numbers would silently rewrite the instrument.</w:t>
            </w:r>
          </w:p>
        </w:tc>
      </w:tr>
      <w:tr>
        <w:tc>
          <w:tcPr>
            <w:tcW w:type="dxa" w:w="2340"/>
          </w:tcPr>
          <w:p>
            <w:pPr>
              <w:spacing w:after="40" w:line="240" w:lineRule="auto"/>
            </w:pPr>
            <w:r/>
            <w:r>
              <w:rPr>
                <w:rFonts w:ascii="Times New Roman" w:hAnsi="Times New Roman" w:eastAsia="Times New Roman"/>
                <w:b w:val="0"/>
                <w:i w:val="0"/>
                <w:sz w:val="20"/>
              </w:rPr>
              <w:t>CL-0004</w:t>
            </w:r>
          </w:p>
        </w:tc>
        <w:tc>
          <w:tcPr>
            <w:tcW w:type="dxa" w:w="2340"/>
          </w:tcPr>
          <w:p>
            <w:pPr>
              <w:spacing w:after="40" w:line="240" w:lineRule="auto"/>
            </w:pPr>
            <w:r/>
            <w:r>
              <w:rPr>
                <w:rFonts w:ascii="Times New Roman" w:hAnsi="Times New Roman" w:eastAsia="Times New Roman"/>
                <w:b/>
                <w:i w:val="0"/>
                <w:sz w:val="20"/>
              </w:rPr>
              <w:t>NEW</w:t>
            </w:r>
          </w:p>
        </w:tc>
        <w:tc>
          <w:tcPr>
            <w:tcW w:type="dxa" w:w="2340"/>
          </w:tcPr>
          <w:p>
            <w:pPr>
              <w:spacing w:after="40" w:line="240" w:lineRule="auto"/>
            </w:pPr>
            <w:r/>
            <w:r>
              <w:rPr>
                <w:rFonts w:ascii="Times New Roman" w:hAnsi="Times New Roman" w:eastAsia="Times New Roman"/>
                <w:b w:val="0"/>
                <w:i w:val="0"/>
                <w:sz w:val="20"/>
              </w:rPr>
              <w:t>Full Need overview (ITM specialization alignment + VCST placement + PQ1/PQ2) is now a first-class tracker sheet and Word section, with a weekly/daily work schedule tied to artifacts.</w:t>
            </w:r>
          </w:p>
        </w:tc>
        <w:tc>
          <w:tcPr>
            <w:tcW w:type="dxa" w:w="2340"/>
          </w:tcPr>
          <w:p>
            <w:pPr>
              <w:spacing w:after="40" w:line="240" w:lineRule="auto"/>
            </w:pPr>
            <w:r/>
            <w:r>
              <w:rPr>
                <w:rFonts w:ascii="Times New Roman" w:hAnsi="Times New Roman" w:eastAsia="Times New Roman"/>
                <w:b w:val="0"/>
                <w:i w:val="0"/>
                <w:sz w:val="20"/>
              </w:rPr>
              <w:t>Reviewer asked for specialization/Need. User asked for OV of full Need with understood work schedules.</w:t>
            </w:r>
          </w:p>
        </w:tc>
      </w:tr>
      <w:tr>
        <w:tc>
          <w:tcPr>
            <w:tcW w:type="dxa" w:w="2340"/>
          </w:tcPr>
          <w:p>
            <w:pPr>
              <w:spacing w:after="40" w:line="240" w:lineRule="auto"/>
            </w:pPr>
            <w:r/>
            <w:r>
              <w:rPr>
                <w:rFonts w:ascii="Times New Roman" w:hAnsi="Times New Roman" w:eastAsia="Times New Roman"/>
                <w:b w:val="0"/>
                <w:i w:val="0"/>
                <w:sz w:val="20"/>
              </w:rPr>
              <w:t>CL-0005</w:t>
            </w:r>
          </w:p>
        </w:tc>
        <w:tc>
          <w:tcPr>
            <w:tcW w:type="dxa" w:w="2340"/>
          </w:tcPr>
          <w:p>
            <w:pPr>
              <w:spacing w:after="40" w:line="240" w:lineRule="auto"/>
            </w:pPr>
            <w:r/>
            <w:r>
              <w:rPr>
                <w:rFonts w:ascii="Times New Roman" w:hAnsi="Times New Roman" w:eastAsia="Times New Roman"/>
                <w:b/>
                <w:i w:val="0"/>
                <w:sz w:val="20"/>
              </w:rPr>
              <w:t>NEW</w:t>
            </w:r>
          </w:p>
        </w:tc>
        <w:tc>
          <w:tcPr>
            <w:tcW w:type="dxa" w:w="2340"/>
          </w:tcPr>
          <w:p>
            <w:pPr>
              <w:spacing w:after="40" w:line="240" w:lineRule="auto"/>
            </w:pPr>
            <w:r/>
            <w:r>
              <w:rPr>
                <w:rFonts w:ascii="Times New Roman" w:hAnsi="Times New Roman" w:eastAsia="Times New Roman"/>
                <w:b w:val="0"/>
                <w:i w:val="0"/>
                <w:sz w:val="20"/>
              </w:rPr>
              <w:t>Uploaded PDFs registered with allowed-use. Neville (2011) was already in the nest. Joos (2019), Khurram &amp; Charreire Petit (2015), EMR 2023 analysis roadmap, Daniel &amp; Daniel (2019), Christensen (2023/2024) are added.</w:t>
            </w:r>
          </w:p>
        </w:tc>
        <w:tc>
          <w:tcPr>
            <w:tcW w:type="dxa" w:w="2340"/>
          </w:tcPr>
          <w:p>
            <w:pPr>
              <w:spacing w:after="40" w:line="240" w:lineRule="auto"/>
            </w:pPr>
            <w:r/>
            <w:r>
              <w:rPr>
                <w:rFonts w:ascii="Times New Roman" w:hAnsi="Times New Roman" w:eastAsia="Times New Roman"/>
                <w:b w:val="0"/>
                <w:i w:val="0"/>
                <w:sz w:val="20"/>
              </w:rPr>
              <w:t>User asked for updated reference materials and to see why each source changed. Course PDFs must not silently become theory spine or method.</w:t>
            </w:r>
          </w:p>
        </w:tc>
      </w:tr>
      <w:tr>
        <w:tc>
          <w:tcPr>
            <w:tcW w:type="dxa" w:w="2340"/>
          </w:tcPr>
          <w:p>
            <w:pPr>
              <w:spacing w:after="40" w:line="240" w:lineRule="auto"/>
            </w:pPr>
            <w:r/>
            <w:r>
              <w:rPr>
                <w:rFonts w:ascii="Times New Roman" w:hAnsi="Times New Roman" w:eastAsia="Times New Roman"/>
                <w:b w:val="0"/>
                <w:i w:val="0"/>
                <w:sz w:val="20"/>
              </w:rPr>
              <w:t>CL-0006</w:t>
            </w:r>
          </w:p>
        </w:tc>
        <w:tc>
          <w:tcPr>
            <w:tcW w:type="dxa" w:w="2340"/>
          </w:tcPr>
          <w:p>
            <w:pPr>
              <w:spacing w:after="40" w:line="240" w:lineRule="auto"/>
            </w:pPr>
            <w:r/>
            <w:r>
              <w:rPr>
                <w:rFonts w:ascii="Times New Roman" w:hAnsi="Times New Roman" w:eastAsia="Times New Roman"/>
                <w:b w:val="0"/>
                <w:i w:val="0"/>
                <w:sz w:val="20"/>
              </w:rPr>
              <w:t>KEEP</w:t>
            </w:r>
          </w:p>
        </w:tc>
        <w:tc>
          <w:tcPr>
            <w:tcW w:type="dxa" w:w="2340"/>
          </w:tcPr>
          <w:p>
            <w:pPr>
              <w:spacing w:after="40" w:line="240" w:lineRule="auto"/>
            </w:pPr>
            <w:r/>
            <w:r>
              <w:rPr>
                <w:rFonts w:ascii="Times New Roman" w:hAnsi="Times New Roman" w:eastAsia="Times New Roman"/>
                <w:b w:val="0"/>
                <w:i w:val="0"/>
                <w:sz w:val="20"/>
              </w:rPr>
              <w:t>Agle et al. (1999) remains build-on empirical test of PLU. It is not replaced by Joos (2019) or Wood et al. (2021) as the definitional source.</w:t>
            </w:r>
          </w:p>
        </w:tc>
        <w:tc>
          <w:tcPr>
            <w:tcW w:type="dxa" w:w="2340"/>
          </w:tcPr>
          <w:p>
            <w:pPr>
              <w:spacing w:after="40" w:line="240" w:lineRule="auto"/>
            </w:pPr>
            <w:r/>
            <w:r>
              <w:rPr>
                <w:rFonts w:ascii="Times New Roman" w:hAnsi="Times New Roman" w:eastAsia="Times New Roman"/>
                <w:b w:val="0"/>
                <w:i w:val="0"/>
                <w:sz w:val="20"/>
              </w:rPr>
              <w:t>Updated-references.md proposed Wood et al. (2021) as a currency swap for Agle 1999 in the Project Plan list. Codebook still needs the original empirical test as build-on, not a rep</w:t>
            </w:r>
          </w:p>
        </w:tc>
      </w:tr>
      <w:tr>
        <w:tc>
          <w:tcPr>
            <w:tcW w:type="dxa" w:w="2340"/>
          </w:tcPr>
          <w:p>
            <w:pPr>
              <w:spacing w:after="40" w:line="240" w:lineRule="auto"/>
            </w:pPr>
            <w:r/>
            <w:r>
              <w:rPr>
                <w:rFonts w:ascii="Times New Roman" w:hAnsi="Times New Roman" w:eastAsia="Times New Roman"/>
                <w:b w:val="0"/>
                <w:i w:val="0"/>
                <w:sz w:val="20"/>
              </w:rPr>
              <w:t>CL-0007</w:t>
            </w:r>
          </w:p>
        </w:tc>
        <w:tc>
          <w:tcPr>
            <w:tcW w:type="dxa" w:w="2340"/>
          </w:tcPr>
          <w:p>
            <w:pPr>
              <w:spacing w:after="40" w:line="240" w:lineRule="auto"/>
            </w:pPr>
            <w:r/>
            <w:r>
              <w:rPr>
                <w:rFonts w:ascii="Times New Roman" w:hAnsi="Times New Roman" w:eastAsia="Times New Roman"/>
                <w:b/>
                <w:i w:val="0"/>
                <w:sz w:val="20"/>
              </w:rPr>
              <w:t>NEW</w:t>
            </w:r>
          </w:p>
        </w:tc>
        <w:tc>
          <w:tcPr>
            <w:tcW w:type="dxa" w:w="2340"/>
          </w:tcPr>
          <w:p>
            <w:pPr>
              <w:spacing w:after="40" w:line="240" w:lineRule="auto"/>
            </w:pPr>
            <w:r/>
            <w:r>
              <w:rPr>
                <w:rFonts w:ascii="Times New Roman" w:hAnsi="Times New Roman" w:eastAsia="Times New Roman"/>
                <w:b w:val="0"/>
                <w:i w:val="0"/>
                <w:sz w:val="20"/>
              </w:rPr>
              <w:t>Wood et al. (2021) added as current salience review (build_on). Does not replace Mitchell et al. (1997).</w:t>
            </w:r>
          </w:p>
        </w:tc>
        <w:tc>
          <w:tcPr>
            <w:tcW w:type="dxa" w:w="2340"/>
          </w:tcPr>
          <w:p>
            <w:pPr>
              <w:spacing w:after="40" w:line="240" w:lineRule="auto"/>
            </w:pPr>
            <w:r/>
            <w:r>
              <w:rPr>
                <w:rFonts w:ascii="Times New Roman" w:hAnsi="Times New Roman" w:eastAsia="Times New Roman"/>
                <w:b w:val="0"/>
                <w:i w:val="0"/>
                <w:sz w:val="20"/>
              </w:rPr>
              <w:t>Currency pass for Chapter II What We Know. Operational defs stay Mitchell.</w:t>
            </w:r>
          </w:p>
        </w:tc>
      </w:tr>
      <w:tr>
        <w:tc>
          <w:tcPr>
            <w:tcW w:type="dxa" w:w="2340"/>
          </w:tcPr>
          <w:p>
            <w:pPr>
              <w:spacing w:after="40" w:line="240" w:lineRule="auto"/>
            </w:pPr>
            <w:r/>
            <w:r>
              <w:rPr>
                <w:rFonts w:ascii="Times New Roman" w:hAnsi="Times New Roman" w:eastAsia="Times New Roman"/>
                <w:b w:val="0"/>
                <w:i w:val="0"/>
                <w:sz w:val="20"/>
              </w:rPr>
              <w:t>CL-0008</w:t>
            </w:r>
          </w:p>
        </w:tc>
        <w:tc>
          <w:tcPr>
            <w:tcW w:type="dxa" w:w="2340"/>
          </w:tcPr>
          <w:p>
            <w:pPr>
              <w:spacing w:after="40" w:line="240" w:lineRule="auto"/>
            </w:pPr>
            <w:r/>
            <w:r>
              <w:rPr>
                <w:rFonts w:ascii="Times New Roman" w:hAnsi="Times New Roman" w:eastAsia="Times New Roman"/>
                <w:b/>
                <w:i w:val="0"/>
                <w:sz w:val="20"/>
              </w:rPr>
              <w:t>PARK</w:t>
            </w:r>
          </w:p>
        </w:tc>
        <w:tc>
          <w:tcPr>
            <w:tcW w:type="dxa" w:w="2340"/>
          </w:tcPr>
          <w:p>
            <w:pPr>
              <w:spacing w:after="40" w:line="240" w:lineRule="auto"/>
            </w:pPr>
            <w:r/>
            <w:r>
              <w:rPr>
                <w:rFonts w:ascii="Times New Roman" w:hAnsi="Times New Roman" w:eastAsia="Times New Roman"/>
                <w:b w:val="0"/>
                <w:i w:val="0"/>
                <w:sz w:val="20"/>
              </w:rPr>
              <w:t>Christensen (2023/2024) three concepts of power (Foucault, Bourdieu, Habermas) parked. Optional memo language for P only.</w:t>
            </w:r>
          </w:p>
        </w:tc>
        <w:tc>
          <w:tcPr>
            <w:tcW w:type="dxa" w:w="2340"/>
          </w:tcPr>
          <w:p>
            <w:pPr>
              <w:spacing w:after="40" w:line="240" w:lineRule="auto"/>
            </w:pPr>
            <w:r/>
            <w:r>
              <w:rPr>
                <w:rFonts w:ascii="Times New Roman" w:hAnsi="Times New Roman" w:eastAsia="Times New Roman"/>
                <w:b w:val="0"/>
                <w:i w:val="0"/>
                <w:sz w:val="20"/>
              </w:rPr>
              <w:t>Educational-theory power concepts are not Mitchell’s utilitarian/coercive/normative means. Using them as codebook parents would pre-write themes and leave GQI.</w:t>
            </w:r>
          </w:p>
        </w:tc>
      </w:tr>
      <w:tr>
        <w:tc>
          <w:tcPr>
            <w:tcW w:type="dxa" w:w="2340"/>
          </w:tcPr>
          <w:p>
            <w:pPr>
              <w:spacing w:after="40" w:line="240" w:lineRule="auto"/>
            </w:pPr>
            <w:r/>
            <w:r>
              <w:rPr>
                <w:rFonts w:ascii="Times New Roman" w:hAnsi="Times New Roman" w:eastAsia="Times New Roman"/>
                <w:b w:val="0"/>
                <w:i w:val="0"/>
                <w:sz w:val="20"/>
              </w:rPr>
              <w:t>CL-0009</w:t>
            </w:r>
          </w:p>
        </w:tc>
        <w:tc>
          <w:tcPr>
            <w:tcW w:type="dxa" w:w="2340"/>
          </w:tcPr>
          <w:p>
            <w:pPr>
              <w:spacing w:after="40" w:line="240" w:lineRule="auto"/>
            </w:pPr>
            <w:r/>
            <w:r>
              <w:rPr>
                <w:rFonts w:ascii="Times New Roman" w:hAnsi="Times New Roman" w:eastAsia="Times New Roman"/>
                <w:b/>
                <w:i w:val="0"/>
                <w:sz w:val="20"/>
              </w:rPr>
              <w:t>PARK</w:t>
            </w:r>
          </w:p>
        </w:tc>
        <w:tc>
          <w:tcPr>
            <w:tcW w:type="dxa" w:w="2340"/>
          </w:tcPr>
          <w:p>
            <w:pPr>
              <w:spacing w:after="40" w:line="240" w:lineRule="auto"/>
            </w:pPr>
            <w:r/>
            <w:r>
              <w:rPr>
                <w:rFonts w:ascii="Times New Roman" w:hAnsi="Times New Roman" w:eastAsia="Times New Roman"/>
                <w:b w:val="0"/>
                <w:i w:val="0"/>
                <w:sz w:val="20"/>
              </w:rPr>
              <w:t>Daniel &amp; Daniel (2019) Hinkley Point C CAS parked. Not the study design.</w:t>
            </w:r>
          </w:p>
        </w:tc>
        <w:tc>
          <w:tcPr>
            <w:tcW w:type="dxa" w:w="2340"/>
          </w:tcPr>
          <w:p>
            <w:pPr>
              <w:spacing w:after="40" w:line="240" w:lineRule="auto"/>
            </w:pPr>
            <w:r/>
            <w:r>
              <w:rPr>
                <w:rFonts w:ascii="Times New Roman" w:hAnsi="Times New Roman" w:eastAsia="Times New Roman"/>
                <w:b w:val="0"/>
                <w:i w:val="0"/>
                <w:sz w:val="20"/>
              </w:rPr>
              <w:t>This dissertation is GQI + CIT of SME ITDRPaaS incidents, not a megaproject process/CAS model. Comparative only.</w:t>
            </w:r>
          </w:p>
        </w:tc>
      </w:tr>
      <w:tr>
        <w:tc>
          <w:tcPr>
            <w:tcW w:type="dxa" w:w="2340"/>
          </w:tcPr>
          <w:p>
            <w:pPr>
              <w:spacing w:after="40" w:line="240" w:lineRule="auto"/>
            </w:pPr>
            <w:r/>
            <w:r>
              <w:rPr>
                <w:rFonts w:ascii="Times New Roman" w:hAnsi="Times New Roman" w:eastAsia="Times New Roman"/>
                <w:b w:val="0"/>
                <w:i w:val="0"/>
                <w:sz w:val="20"/>
              </w:rPr>
              <w:t>CL-0010</w:t>
            </w:r>
          </w:p>
        </w:tc>
        <w:tc>
          <w:tcPr>
            <w:tcW w:type="dxa" w:w="2340"/>
          </w:tcPr>
          <w:p>
            <w:pPr>
              <w:spacing w:after="40" w:line="240" w:lineRule="auto"/>
            </w:pPr>
            <w:r/>
            <w:r>
              <w:rPr>
                <w:rFonts w:ascii="Times New Roman" w:hAnsi="Times New Roman" w:eastAsia="Times New Roman"/>
                <w:b/>
                <w:i w:val="0"/>
                <w:sz w:val="20"/>
              </w:rPr>
              <w:t>NEW</w:t>
            </w:r>
          </w:p>
        </w:tc>
        <w:tc>
          <w:tcPr>
            <w:tcW w:type="dxa" w:w="2340"/>
          </w:tcPr>
          <w:p>
            <w:pPr>
              <w:spacing w:after="40" w:line="240" w:lineRule="auto"/>
            </w:pPr>
            <w:r/>
            <w:r>
              <w:rPr>
                <w:rFonts w:ascii="Times New Roman" w:hAnsi="Times New Roman" w:eastAsia="Times New Roman"/>
                <w:b w:val="0"/>
                <w:i w:val="0"/>
                <w:sz w:val="20"/>
              </w:rPr>
              <w:t>Qual analysis SOP mapped from MD procedural package + presentation plan + Chapter III hybrid steps. Eisenhardt/Gioia/Langley templates from the EMR editorial are recorded as not-this.</w:t>
            </w:r>
          </w:p>
        </w:tc>
        <w:tc>
          <w:tcPr>
            <w:tcW w:type="dxa" w:w="2340"/>
          </w:tcPr>
          <w:p>
            <w:pPr>
              <w:spacing w:after="40" w:line="240" w:lineRule="auto"/>
            </w:pPr>
            <w:r/>
            <w:r>
              <w:rPr>
                <w:rFonts w:ascii="Times New Roman" w:hAnsi="Times New Roman" w:eastAsia="Times New Roman"/>
                <w:b w:val="0"/>
                <w:i w:val="0"/>
                <w:sz w:val="20"/>
              </w:rPr>
              <w:t>Wk8 editorial is useful for knowing adjacent templates. This study already locked Fereday &amp; Muir-Cochrane. Naming Gioia as the method would contradict Chapter III.</w:t>
            </w:r>
          </w:p>
        </w:tc>
      </w:tr>
      <w:tr>
        <w:tc>
          <w:tcPr>
            <w:tcW w:type="dxa" w:w="2340"/>
          </w:tcPr>
          <w:p>
            <w:pPr>
              <w:spacing w:after="40" w:line="240" w:lineRule="auto"/>
            </w:pPr>
            <w:r/>
            <w:r>
              <w:rPr>
                <w:rFonts w:ascii="Times New Roman" w:hAnsi="Times New Roman" w:eastAsia="Times New Roman"/>
                <w:b w:val="0"/>
                <w:i w:val="0"/>
                <w:sz w:val="20"/>
              </w:rPr>
              <w:t>CL-0011</w:t>
            </w:r>
          </w:p>
        </w:tc>
        <w:tc>
          <w:tcPr>
            <w:tcW w:type="dxa" w:w="2340"/>
          </w:tcPr>
          <w:p>
            <w:pPr>
              <w:spacing w:after="40" w:line="240" w:lineRule="auto"/>
            </w:pPr>
            <w:r/>
            <w:r>
              <w:rPr>
                <w:rFonts w:ascii="Times New Roman" w:hAnsi="Times New Roman" w:eastAsia="Times New Roman"/>
                <w:b/>
                <w:i w:val="0"/>
                <w:sz w:val="20"/>
              </w:rPr>
              <w:t>NEW</w:t>
            </w:r>
          </w:p>
        </w:tc>
        <w:tc>
          <w:tcPr>
            <w:tcW w:type="dxa" w:w="2340"/>
          </w:tcPr>
          <w:p>
            <w:pPr>
              <w:spacing w:after="40" w:line="240" w:lineRule="auto"/>
            </w:pPr>
            <w:r/>
            <w:r>
              <w:rPr>
                <w:rFonts w:ascii="Times New Roman" w:hAnsi="Times New Roman" w:eastAsia="Times New Roman"/>
                <w:b w:val="0"/>
                <w:i w:val="0"/>
                <w:sz w:val="20"/>
              </w:rPr>
              <w:t>Folder map from proposal through deposit; Notion amalgamation DB URL recorded. MCP not authenticated this session so live Notion write is pending.</w:t>
            </w:r>
          </w:p>
        </w:tc>
        <w:tc>
          <w:tcPr>
            <w:tcW w:type="dxa" w:w="2340"/>
          </w:tcPr>
          <w:p>
            <w:pPr>
              <w:spacing w:after="40" w:line="240" w:lineRule="auto"/>
            </w:pPr>
            <w:r/>
            <w:r>
              <w:rPr>
                <w:rFonts w:ascii="Times New Roman" w:hAnsi="Times New Roman" w:eastAsia="Times New Roman"/>
                <w:b w:val="0"/>
                <w:i w:val="0"/>
                <w:sz w:val="20"/>
              </w:rPr>
              <w:t>User supplied https://app.notion.com/p/8927_Amalgamation_db-… as the nest. Repo CSV headers stay the round-trip contract.</w:t>
            </w:r>
          </w:p>
        </w:tc>
      </w:tr>
      <w:tr>
        <w:tc>
          <w:tcPr>
            <w:tcW w:type="dxa" w:w="2340"/>
          </w:tcPr>
          <w:p>
            <w:pPr>
              <w:spacing w:after="40" w:line="240" w:lineRule="auto"/>
            </w:pPr>
            <w:r/>
            <w:r>
              <w:rPr>
                <w:rFonts w:ascii="Times New Roman" w:hAnsi="Times New Roman" w:eastAsia="Times New Roman"/>
                <w:b w:val="0"/>
                <w:i w:val="0"/>
                <w:sz w:val="20"/>
              </w:rPr>
              <w:t>CL-0012</w:t>
            </w:r>
          </w:p>
        </w:tc>
        <w:tc>
          <w:tcPr>
            <w:tcW w:type="dxa" w:w="2340"/>
          </w:tcPr>
          <w:p>
            <w:pPr>
              <w:spacing w:after="40" w:line="240" w:lineRule="auto"/>
            </w:pPr>
            <w:r/>
            <w:r>
              <w:rPr>
                <w:rFonts w:ascii="Times New Roman" w:hAnsi="Times New Roman" w:eastAsia="Times New Roman"/>
                <w:b w:val="0"/>
                <w:i w:val="0"/>
                <w:sz w:val="20"/>
              </w:rPr>
              <w:t>KEEP</w:t>
            </w:r>
          </w:p>
        </w:tc>
        <w:tc>
          <w:tcPr>
            <w:tcW w:type="dxa" w:w="2340"/>
          </w:tcPr>
          <w:p>
            <w:pPr>
              <w:spacing w:after="40" w:line="240" w:lineRule="auto"/>
            </w:pPr>
            <w:r/>
            <w:r>
              <w:rPr>
                <w:rFonts w:ascii="Times New Roman" w:hAnsi="Times New Roman" w:eastAsia="Times New Roman"/>
                <w:b w:val="0"/>
                <w:i w:val="0"/>
                <w:sz w:val="20"/>
              </w:rPr>
              <w:t>Instructor original Word and spoken interview wording are not edited.</w:t>
            </w:r>
          </w:p>
        </w:tc>
        <w:tc>
          <w:tcPr>
            <w:tcW w:type="dxa" w:w="2340"/>
          </w:tcPr>
          <w:p>
            <w:pPr>
              <w:spacing w:after="40" w:line="240" w:lineRule="auto"/>
            </w:pPr>
            <w:r/>
            <w:r>
              <w:rPr>
                <w:rFonts w:ascii="Times New Roman" w:hAnsi="Times New Roman" w:eastAsia="Times New Roman"/>
                <w:b w:val="0"/>
                <w:i w:val="0"/>
                <w:sz w:val="20"/>
              </w:rPr>
              <w:t>source/originals/ is the instructor trail. Protocol IDs are never reused when retired.</w:t>
            </w:r>
          </w:p>
        </w:tc>
      </w:tr>
      <w:tr>
        <w:tc>
          <w:tcPr>
            <w:tcW w:type="dxa" w:w="2340"/>
          </w:tcPr>
          <w:p>
            <w:pPr>
              <w:spacing w:after="40" w:line="240" w:lineRule="auto"/>
            </w:pPr>
            <w:r/>
            <w:r>
              <w:rPr>
                <w:rFonts w:ascii="Times New Roman" w:hAnsi="Times New Roman" w:eastAsia="Times New Roman"/>
                <w:b w:val="0"/>
                <w:i w:val="0"/>
                <w:sz w:val="20"/>
              </w:rPr>
              <w:t>CL-0013</w:t>
            </w:r>
          </w:p>
        </w:tc>
        <w:tc>
          <w:tcPr>
            <w:tcW w:type="dxa" w:w="2340"/>
          </w:tcPr>
          <w:p>
            <w:pPr>
              <w:spacing w:after="40" w:line="240" w:lineRule="auto"/>
            </w:pPr>
            <w:r/>
            <w:r>
              <w:rPr>
                <w:rFonts w:ascii="Times New Roman" w:hAnsi="Times New Roman" w:eastAsia="Times New Roman"/>
                <w:b/>
                <w:i w:val="0"/>
                <w:sz w:val="20"/>
              </w:rPr>
              <w:t>NEW</w:t>
            </w:r>
          </w:p>
        </w:tc>
        <w:tc>
          <w:tcPr>
            <w:tcW w:type="dxa" w:w="2340"/>
          </w:tcPr>
          <w:p>
            <w:pPr>
              <w:spacing w:after="40" w:line="240" w:lineRule="auto"/>
            </w:pPr>
            <w:r/>
            <w:r>
              <w:rPr>
                <w:rFonts w:ascii="Times New Roman" w:hAnsi="Times New Roman" w:eastAsia="Times New Roman"/>
                <w:b w:val="0"/>
                <w:i w:val="0"/>
                <w:sz w:val="20"/>
              </w:rPr>
              <w:t>Weekly SOP run 2026-09-08 executed (six todos). CH3 locks confirmed. Need OV matches chapter-i markdown. Coding not started: type=no_change backup dropped. QUAL Example4-1 headings mapped to lifecycle status.</w:t>
            </w:r>
          </w:p>
        </w:tc>
        <w:tc>
          <w:tcPr>
            <w:tcW w:type="dxa" w:w="2340"/>
          </w:tcPr>
          <w:p>
            <w:pPr>
              <w:spacing w:after="40" w:line="240" w:lineRule="auto"/>
            </w:pPr>
            <w:r/>
            <w:r>
              <w:rPr>
                <w:rFonts w:ascii="Times New Roman" w:hAnsi="Times New Roman" w:eastAsia="Times New Roman"/>
                <w:b w:val="0"/>
                <w:i w:val="0"/>
                <w:sz w:val="20"/>
              </w:rPr>
              <w:t>Offering SOP §3.3 requires a weekly close: change log → lifecycle → locks → Need match → nest or no_change → one shareable artifact → QUAL heading status.</w:t>
            </w:r>
          </w:p>
        </w:tc>
      </w:tr>
      <w:tr>
        <w:tc>
          <w:tcPr>
            <w:tcW w:type="dxa" w:w="2340"/>
          </w:tcPr>
          <w:p>
            <w:pPr>
              <w:spacing w:after="40" w:line="240" w:lineRule="auto"/>
            </w:pPr>
            <w:r/>
            <w:r>
              <w:rPr>
                <w:rFonts w:ascii="Times New Roman" w:hAnsi="Times New Roman" w:eastAsia="Times New Roman"/>
                <w:b w:val="0"/>
                <w:i w:val="0"/>
                <w:sz w:val="20"/>
              </w:rPr>
              <w:t>CL-0014</w:t>
            </w:r>
          </w:p>
        </w:tc>
        <w:tc>
          <w:tcPr>
            <w:tcW w:type="dxa" w:w="2340"/>
          </w:tcPr>
          <w:p>
            <w:pPr>
              <w:spacing w:after="40" w:line="240" w:lineRule="auto"/>
            </w:pPr>
            <w:r/>
            <w:r>
              <w:rPr>
                <w:rFonts w:ascii="Times New Roman" w:hAnsi="Times New Roman" w:eastAsia="Times New Roman"/>
                <w:b w:val="0"/>
                <w:i w:val="0"/>
                <w:sz w:val="20"/>
              </w:rPr>
              <w:t>KEEP</w:t>
            </w:r>
          </w:p>
        </w:tc>
        <w:tc>
          <w:tcPr>
            <w:tcW w:type="dxa" w:w="2340"/>
          </w:tcPr>
          <w:p>
            <w:pPr>
              <w:spacing w:after="40" w:line="240" w:lineRule="auto"/>
            </w:pPr>
            <w:r/>
            <w:r>
              <w:rPr>
                <w:rFonts w:ascii="Times New Roman" w:hAnsi="Times New Roman" w:eastAsia="Times New Roman"/>
                <w:b w:val="0"/>
                <w:i w:val="0"/>
                <w:sz w:val="20"/>
              </w:rPr>
              <w:t>Parked items remain parked after weekly review. Codebook parents are still STRUCTURAL / FRAMEWORK_DEDUCTIVE / BOUNDARY / EMERGENT (empty). No Foucault, Gioia, or IQ-01 promotion.</w:t>
            </w:r>
          </w:p>
        </w:tc>
        <w:tc>
          <w:tcPr>
            <w:tcW w:type="dxa" w:w="2340"/>
          </w:tcPr>
          <w:p>
            <w:pPr>
              <w:spacing w:after="40" w:line="240" w:lineRule="auto"/>
            </w:pPr>
            <w:r/>
            <w:r>
              <w:rPr>
                <w:rFonts w:ascii="Times New Roman" w:hAnsi="Times New Roman" w:eastAsia="Times New Roman"/>
                <w:b w:val="0"/>
                <w:i w:val="0"/>
                <w:sz w:val="20"/>
              </w:rPr>
              <w:t>Success outcome 4: gates honored.</w:t>
            </w:r>
          </w:p>
        </w:tc>
      </w:tr>
    </w:tbl>
    <w:p/>
    <w:p>
      <w:pPr>
        <w:spacing w:after="120" w:before="0" w:line="480" w:lineRule="auto"/>
      </w:pPr>
      <w:r>
        <w:rPr>
          <w:rFonts w:ascii="Times New Roman" w:hAnsi="Times New Roman" w:eastAsia="Times New Roman"/>
          <w:b/>
          <w:i w:val="0"/>
          <w:color w:val="9A3412"/>
          <w:sz w:val="24"/>
        </w:rPr>
        <w:t xml:space="preserve">REPLACE vs Origins: </w:t>
      </w:r>
      <w:r>
        <w:rPr>
          <w:rFonts w:ascii="Times New Roman" w:hAnsi="Times New Roman" w:eastAsia="Times New Roman"/>
          <w:b w:val="0"/>
          <w:i w:val="0"/>
          <w:sz w:val="24"/>
        </w:rPr>
        <w:t xml:space="preserve">the live sample is 12, not Origins’ 10–15. The live questions are Q0/L/A–F/Q-close, not Origins IQ-01 stems. </w:t>
      </w:r>
      <w:r>
        <w:rPr>
          <w:rFonts w:ascii="Times New Roman" w:hAnsi="Times New Roman" w:eastAsia="Times New Roman"/>
          <w:b/>
          <w:i w:val="0"/>
          <w:color w:val="9A3412"/>
          <w:sz w:val="24"/>
        </w:rPr>
        <w:t xml:space="preserve">NEW: </w:t>
      </w:r>
      <w:r>
        <w:rPr>
          <w:rFonts w:ascii="Times New Roman" w:hAnsi="Times New Roman" w:eastAsia="Times New Roman"/>
          <w:b w:val="0"/>
          <w:i w:val="0"/>
          <w:sz w:val="24"/>
        </w:rPr>
        <w:t xml:space="preserve">Need overview + work schedule sheets. </w:t>
      </w:r>
      <w:r>
        <w:rPr>
          <w:rFonts w:ascii="Times New Roman" w:hAnsi="Times New Roman" w:eastAsia="Times New Roman"/>
          <w:b/>
          <w:i w:val="0"/>
          <w:color w:val="9A3412"/>
          <w:sz w:val="24"/>
        </w:rPr>
        <w:t xml:space="preserve">PARK: </w:t>
      </w:r>
      <w:r>
        <w:rPr>
          <w:rFonts w:ascii="Times New Roman" w:hAnsi="Times New Roman" w:eastAsia="Times New Roman"/>
          <w:b w:val="0"/>
          <w:i w:val="0"/>
          <w:sz w:val="24"/>
        </w:rPr>
        <w:t>Christensen’s three powers, Hinkley CAS, and Eisenhardt/Gioia/Langley templates.</w:t>
      </w:r>
    </w:p>
    <w:p>
      <w:pPr>
        <w:spacing w:after="160" w:before="240" w:line="480" w:lineRule="auto"/>
      </w:pPr>
      <w:r>
        <w:rPr>
          <w:rFonts w:ascii="Times New Roman" w:hAnsi="Times New Roman" w:eastAsia="Times New Roman"/>
          <w:b/>
          <w:i w:val="0"/>
          <w:color w:val="1F3A5F"/>
          <w:sz w:val="32"/>
        </w:rPr>
        <w:t>3. Full Need overview</w:t>
      </w:r>
    </w:p>
    <w:p>
      <w:pPr>
        <w:spacing w:after="120" w:before="0" w:line="480" w:lineRule="auto"/>
      </w:pPr>
      <w:r>
        <w:rPr>
          <w:rFonts w:ascii="Times New Roman" w:hAnsi="Times New Roman" w:eastAsia="Times New Roman"/>
          <w:b w:val="0"/>
          <w:i w:val="0"/>
          <w:sz w:val="24"/>
        </w:rPr>
        <w:t>This study is undertaken in the Doctor of Philosophy in Business Management program with a specialization in Information Technology Management. That specialization advances the theory and practice of leading information-technology strategic planning and management in complex environments. The proposed project aligns with that specialization because the object of study is an IT-management governance problem: how U.S. SME IT and network managers handle competing recovery claims, allocate decision rights, escalate contested choices, and defend restoration when disaster recovery is delivered on an external platform (ITDRPaaS).</w:t>
      </w:r>
    </w:p>
    <w:p>
      <w:pPr>
        <w:spacing w:after="120" w:before="0" w:line="480" w:lineRule="auto"/>
      </w:pPr>
      <w:r>
        <w:rPr>
          <w:rFonts w:ascii="Times New Roman" w:hAnsi="Times New Roman" w:eastAsia="Times New Roman"/>
          <w:b/>
          <w:i w:val="0"/>
          <w:color w:val="9A3412"/>
          <w:sz w:val="24"/>
        </w:rPr>
        <w:t xml:space="preserve">Needed construct (this update, Need / What We Know only): </w:t>
      </w:r>
      <w:r>
        <w:rPr>
          <w:rFonts w:ascii="Times New Roman" w:hAnsi="Times New Roman" w:eastAsia="Times New Roman"/>
          <w:b w:val="0"/>
          <w:i w:val="0"/>
          <w:sz w:val="24"/>
        </w:rPr>
        <w:t>value-creation stakeholder theory (Freeman, Phillips, &amp; Sisodia, 2020). Distinctive stakeholder work describes human actors cooperatively engaged in value creation and trade. In an ITDRPaaS incident those actors include executives, customers, providers, regulators, and the IT managers who must decide whose claim moves restore order. Stakeholder-salience theory then supplies the middle-range attention mechanism: power, legitimacy, and urgency (Mitchell et al., 1997).</w:t>
      </w:r>
    </w:p>
    <w:p>
      <w:pPr>
        <w:spacing w:after="120" w:before="0" w:line="480" w:lineRule="auto"/>
      </w:pPr>
      <w:r>
        <w:rPr>
          <w:rFonts w:ascii="Times New Roman" w:hAnsi="Times New Roman" w:eastAsia="Times New Roman"/>
          <w:b w:val="0"/>
          <w:i w:val="0"/>
          <w:sz w:val="24"/>
        </w:rPr>
        <w:t>What remains unknown is operational rather than definitional. The literature already states that claims must be managed and that salience directs attention. It does not yet show how SME IT managers translate mid-incident salience shifts into decision rights, escalation pathways, and evidentiary standards inside ITDRPaaS when disruption forces time-critical choices. That unknown sits inside Information Technology Management.</w:t>
      </w:r>
    </w:p>
    <w:p>
      <w:pPr>
        <w:spacing w:after="120" w:before="0" w:line="480" w:lineRule="auto"/>
      </w:pPr>
      <w:r>
        <w:rPr>
          <w:rFonts w:ascii="Times New Roman" w:hAnsi="Times New Roman" w:eastAsia="Times New Roman"/>
          <w:b w:val="0"/>
          <w:i w:val="0"/>
          <w:sz w:val="24"/>
        </w:rPr>
        <w:t>PQ1. How do U.S. SME IT and network managers describe stakeholder-claim management and salience shifts (power, legitimacy, urgency) during ITDRPaaS recovery or testing incidents? PQ2. How do those shifts get enacted as decision rights, escalation pathways, and evidentiary / recoverability-assurance standards that managers can defend to stakeholders?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after="40" w:line="240" w:lineRule="auto"/>
            </w:pPr>
            <w:r/>
            <w:r>
              <w:rPr>
                <w:rFonts w:ascii="Times New Roman" w:hAnsi="Times New Roman" w:eastAsia="Times New Roman"/>
                <w:b/>
                <w:i w:val="0"/>
                <w:sz w:val="20"/>
              </w:rPr>
              <w:t>Specialization demand</w:t>
            </w:r>
          </w:p>
        </w:tc>
        <w:tc>
          <w:tcPr>
            <w:tcW w:type="dxa" w:w="4680"/>
          </w:tcPr>
          <w:p>
            <w:pPr>
              <w:spacing w:after="40" w:line="240" w:lineRule="auto"/>
            </w:pPr>
            <w:r/>
            <w:r>
              <w:rPr>
                <w:rFonts w:ascii="Times New Roman" w:hAnsi="Times New Roman" w:eastAsia="Times New Roman"/>
                <w:b/>
                <w:i w:val="0"/>
                <w:sz w:val="20"/>
              </w:rPr>
              <w:t>How this project aligns</w:t>
            </w:r>
          </w:p>
        </w:tc>
      </w:tr>
      <w:tr>
        <w:tc>
          <w:tcPr>
            <w:tcW w:type="dxa" w:w="4680"/>
          </w:tcPr>
          <w:p>
            <w:pPr>
              <w:spacing w:after="40" w:line="240" w:lineRule="auto"/>
            </w:pPr>
            <w:r/>
            <w:r>
              <w:rPr>
                <w:rFonts w:ascii="Times New Roman" w:hAnsi="Times New Roman" w:eastAsia="Times New Roman"/>
                <w:b w:val="0"/>
                <w:i w:val="0"/>
                <w:sz w:val="20"/>
              </w:rPr>
              <w:t>Lead IT strategic planning in complex environments</w:t>
            </w:r>
          </w:p>
        </w:tc>
        <w:tc>
          <w:tcPr>
            <w:tcW w:type="dxa" w:w="4680"/>
          </w:tcPr>
          <w:p>
            <w:pPr>
              <w:spacing w:after="40" w:line="240" w:lineRule="auto"/>
            </w:pPr>
            <w:r/>
            <w:r>
              <w:rPr>
                <w:rFonts w:ascii="Times New Roman" w:hAnsi="Times New Roman" w:eastAsia="Times New Roman"/>
                <w:b w:val="0"/>
                <w:i w:val="0"/>
                <w:sz w:val="20"/>
              </w:rPr>
              <w:t>ITDRPaaS is provider-dependent recovery; unit is one named incident</w:t>
            </w:r>
          </w:p>
        </w:tc>
      </w:tr>
      <w:tr>
        <w:tc>
          <w:tcPr>
            <w:tcW w:type="dxa" w:w="4680"/>
          </w:tcPr>
          <w:p>
            <w:pPr>
              <w:spacing w:after="40" w:line="240" w:lineRule="auto"/>
            </w:pPr>
            <w:r/>
            <w:r>
              <w:rPr>
                <w:rFonts w:ascii="Times New Roman" w:hAnsi="Times New Roman" w:eastAsia="Times New Roman"/>
                <w:b w:val="0"/>
                <w:i w:val="0"/>
                <w:sz w:val="20"/>
              </w:rPr>
              <w:t>Collaborative relationships among IT and other leaders</w:t>
            </w:r>
          </w:p>
        </w:tc>
        <w:tc>
          <w:tcPr>
            <w:tcW w:type="dxa" w:w="4680"/>
          </w:tcPr>
          <w:p>
            <w:pPr>
              <w:spacing w:after="40" w:line="240" w:lineRule="auto"/>
            </w:pPr>
            <w:r/>
            <w:r>
              <w:rPr>
                <w:rFonts w:ascii="Times New Roman" w:hAnsi="Times New Roman" w:eastAsia="Times New Roman"/>
                <w:b w:val="0"/>
                <w:i w:val="0"/>
                <w:sz w:val="20"/>
              </w:rPr>
              <w:t>PQ1: whose claim moved restore order and what supplied that pull</w:t>
            </w:r>
          </w:p>
        </w:tc>
      </w:tr>
      <w:tr>
        <w:tc>
          <w:tcPr>
            <w:tcW w:type="dxa" w:w="4680"/>
          </w:tcPr>
          <w:p>
            <w:pPr>
              <w:spacing w:after="40" w:line="240" w:lineRule="auto"/>
            </w:pPr>
            <w:r/>
            <w:r>
              <w:rPr>
                <w:rFonts w:ascii="Times New Roman" w:hAnsi="Times New Roman" w:eastAsia="Times New Roman"/>
                <w:b w:val="0"/>
                <w:i w:val="0"/>
                <w:sz w:val="20"/>
              </w:rPr>
              <w:t>IT policies and processes</w:t>
            </w:r>
          </w:p>
        </w:tc>
        <w:tc>
          <w:tcPr>
            <w:tcW w:type="dxa" w:w="4680"/>
          </w:tcPr>
          <w:p>
            <w:pPr>
              <w:spacing w:after="40" w:line="240" w:lineRule="auto"/>
            </w:pPr>
            <w:r/>
            <w:r>
              <w:rPr>
                <w:rFonts w:ascii="Times New Roman" w:hAnsi="Times New Roman" w:eastAsia="Times New Roman"/>
                <w:b w:val="0"/>
                <w:i w:val="0"/>
                <w:sz w:val="20"/>
              </w:rPr>
              <w:t>PQ2: decision rights, escalation, enough proof</w:t>
            </w:r>
          </w:p>
        </w:tc>
      </w:tr>
      <w:tr>
        <w:tc>
          <w:tcPr>
            <w:tcW w:type="dxa" w:w="4680"/>
          </w:tcPr>
          <w:p>
            <w:pPr>
              <w:spacing w:after="40" w:line="240" w:lineRule="auto"/>
            </w:pPr>
            <w:r/>
            <w:r>
              <w:rPr>
                <w:rFonts w:ascii="Times New Roman" w:hAnsi="Times New Roman" w:eastAsia="Times New Roman"/>
                <w:b w:val="0"/>
                <w:i w:val="0"/>
                <w:sz w:val="20"/>
              </w:rPr>
              <w:t>Ethical/legal IT management; practical solutions</w:t>
            </w:r>
          </w:p>
        </w:tc>
        <w:tc>
          <w:tcPr>
            <w:tcW w:type="dxa" w:w="4680"/>
          </w:tcPr>
          <w:p>
            <w:pPr>
              <w:spacing w:after="40" w:line="240" w:lineRule="auto"/>
            </w:pPr>
            <w:r/>
            <w:r>
              <w:rPr>
                <w:rFonts w:ascii="Times New Roman" w:hAnsi="Times New Roman" w:eastAsia="Times New Roman"/>
                <w:b w:val="0"/>
                <w:i w:val="0"/>
                <w:sz w:val="20"/>
              </w:rPr>
              <w:t>Recoverability assurance as reviewable evidence, not a compliance score</w:t>
            </w:r>
          </w:p>
        </w:tc>
      </w:tr>
    </w:tbl>
    <w:p/>
    <w:p>
      <w:pPr>
        <w:spacing w:after="160" w:before="240" w:line="480" w:lineRule="auto"/>
      </w:pPr>
      <w:r>
        <w:rPr>
          <w:rFonts w:ascii="Times New Roman" w:hAnsi="Times New Roman" w:eastAsia="Times New Roman"/>
          <w:b/>
          <w:i w:val="0"/>
          <w:color w:val="9A3412"/>
          <w:sz w:val="32"/>
        </w:rPr>
        <w:t>4. Document-tracking SOP and work schedule</w:t>
      </w:r>
    </w:p>
    <w:p>
      <w:pPr>
        <w:spacing w:after="120" w:before="0" w:line="480" w:lineRule="auto"/>
      </w:pPr>
      <w:r>
        <w:rPr>
          <w:rFonts w:ascii="Times New Roman" w:hAnsi="Times New Roman" w:eastAsia="Times New Roman"/>
          <w:b w:val="0"/>
          <w:i w:val="0"/>
          <w:sz w:val="24"/>
        </w:rPr>
        <w:t>The workflow report’s daily writing, structured reading, and weekly PDCA are bound here to this study’s artifacts. Do not invent a second task app as the system of record; the xlsx plus the CSV nest is the system of record.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after="40" w:line="240" w:lineRule="auto"/>
            </w:pPr>
            <w:r/>
            <w:r>
              <w:rPr>
                <w:rFonts w:ascii="Times New Roman" w:hAnsi="Times New Roman" w:eastAsia="Times New Roman"/>
                <w:b/>
                <w:i w:val="0"/>
                <w:sz w:val="20"/>
              </w:rPr>
              <w:t>Cadence</w:t>
            </w:r>
          </w:p>
        </w:tc>
        <w:tc>
          <w:tcPr>
            <w:tcW w:type="dxa" w:w="2340"/>
          </w:tcPr>
          <w:p>
            <w:pPr>
              <w:spacing w:after="40" w:line="240" w:lineRule="auto"/>
            </w:pPr>
            <w:r/>
            <w:r>
              <w:rPr>
                <w:rFonts w:ascii="Times New Roman" w:hAnsi="Times New Roman" w:eastAsia="Times New Roman"/>
                <w:b/>
                <w:i w:val="0"/>
                <w:sz w:val="20"/>
              </w:rPr>
              <w:t>Block</w:t>
            </w:r>
          </w:p>
        </w:tc>
        <w:tc>
          <w:tcPr>
            <w:tcW w:type="dxa" w:w="2340"/>
          </w:tcPr>
          <w:p>
            <w:pPr>
              <w:spacing w:after="40" w:line="240" w:lineRule="auto"/>
            </w:pPr>
            <w:r/>
            <w:r>
              <w:rPr>
                <w:rFonts w:ascii="Times New Roman" w:hAnsi="Times New Roman" w:eastAsia="Times New Roman"/>
                <w:b/>
                <w:i w:val="0"/>
                <w:sz w:val="20"/>
              </w:rPr>
              <w:t>Tied artifact</w:t>
            </w:r>
          </w:p>
        </w:tc>
        <w:tc>
          <w:tcPr>
            <w:tcW w:type="dxa" w:w="2340"/>
          </w:tcPr>
          <w:p>
            <w:pPr>
              <w:spacing w:after="40" w:line="240" w:lineRule="auto"/>
            </w:pPr>
            <w:r/>
            <w:r>
              <w:rPr>
                <w:rFonts w:ascii="Times New Roman" w:hAnsi="Times New Roman" w:eastAsia="Times New Roman"/>
                <w:b/>
                <w:i w:val="0"/>
                <w:sz w:val="20"/>
              </w:rPr>
              <w:t>Done when</w:t>
            </w:r>
          </w:p>
        </w:tc>
      </w:tr>
      <w:tr>
        <w:tc>
          <w:tcPr>
            <w:tcW w:type="dxa" w:w="2340"/>
          </w:tcPr>
          <w:p>
            <w:pPr>
              <w:spacing w:after="40" w:line="240" w:lineRule="auto"/>
            </w:pPr>
            <w:r/>
            <w:r>
              <w:rPr>
                <w:rFonts w:ascii="Times New Roman" w:hAnsi="Times New Roman" w:eastAsia="Times New Roman"/>
                <w:b w:val="0"/>
                <w:i w:val="0"/>
                <w:sz w:val="20"/>
              </w:rPr>
              <w:t>Daily</w:t>
            </w:r>
          </w:p>
        </w:tc>
        <w:tc>
          <w:tcPr>
            <w:tcW w:type="dxa" w:w="2340"/>
          </w:tcPr>
          <w:p>
            <w:pPr>
              <w:spacing w:after="40" w:line="240" w:lineRule="auto"/>
            </w:pPr>
            <w:r/>
            <w:r>
              <w:rPr>
                <w:rFonts w:ascii="Times New Roman" w:hAnsi="Times New Roman" w:eastAsia="Times New Roman"/>
                <w:b w:val="0"/>
                <w:i w:val="0"/>
                <w:sz w:val="20"/>
              </w:rPr>
              <w:t>20–60 min writing, no mid-session edit</w:t>
            </w:r>
          </w:p>
        </w:tc>
        <w:tc>
          <w:tcPr>
            <w:tcW w:type="dxa" w:w="2340"/>
          </w:tcPr>
          <w:p>
            <w:pPr>
              <w:spacing w:after="40" w:line="240" w:lineRule="auto"/>
            </w:pPr>
            <w:r/>
            <w:r>
              <w:rPr>
                <w:rFonts w:ascii="Times New Roman" w:hAnsi="Times New Roman" w:eastAsia="Times New Roman"/>
                <w:b w:val="0"/>
                <w:i w:val="0"/>
                <w:sz w:val="20"/>
              </w:rPr>
              <w:t>Current lifecycle stage (now Need/Ch II)</w:t>
            </w:r>
          </w:p>
        </w:tc>
        <w:tc>
          <w:tcPr>
            <w:tcW w:type="dxa" w:w="2340"/>
          </w:tcPr>
          <w:p>
            <w:pPr>
              <w:spacing w:after="40" w:line="240" w:lineRule="auto"/>
            </w:pPr>
            <w:r/>
            <w:r>
              <w:rPr>
                <w:rFonts w:ascii="Times New Roman" w:hAnsi="Times New Roman" w:eastAsia="Times New Roman"/>
                <w:b w:val="0"/>
                <w:i w:val="0"/>
                <w:sz w:val="20"/>
              </w:rPr>
              <w:t>200–300 words or one locked paragraph</w:t>
            </w:r>
          </w:p>
        </w:tc>
      </w:tr>
      <w:tr>
        <w:tc>
          <w:tcPr>
            <w:tcW w:type="dxa" w:w="2340"/>
          </w:tcPr>
          <w:p>
            <w:pPr>
              <w:spacing w:after="40" w:line="240" w:lineRule="auto"/>
            </w:pPr>
            <w:r/>
            <w:r>
              <w:rPr>
                <w:rFonts w:ascii="Times New Roman" w:hAnsi="Times New Roman" w:eastAsia="Times New Roman"/>
                <w:b w:val="0"/>
                <w:i w:val="0"/>
                <w:sz w:val="20"/>
              </w:rPr>
              <w:t>Daily</w:t>
            </w:r>
          </w:p>
        </w:tc>
        <w:tc>
          <w:tcPr>
            <w:tcW w:type="dxa" w:w="2340"/>
          </w:tcPr>
          <w:p>
            <w:pPr>
              <w:spacing w:after="40" w:line="240" w:lineRule="auto"/>
            </w:pPr>
            <w:r/>
            <w:r>
              <w:rPr>
                <w:rFonts w:ascii="Times New Roman" w:hAnsi="Times New Roman" w:eastAsia="Times New Roman"/>
                <w:b w:val="0"/>
                <w:i w:val="0"/>
                <w:sz w:val="20"/>
              </w:rPr>
              <w:t>30–60 min structured reading</w:t>
            </w:r>
          </w:p>
        </w:tc>
        <w:tc>
          <w:tcPr>
            <w:tcW w:type="dxa" w:w="2340"/>
          </w:tcPr>
          <w:p>
            <w:pPr>
              <w:spacing w:after="40" w:line="240" w:lineRule="auto"/>
            </w:pPr>
            <w:r/>
            <w:r>
              <w:rPr>
                <w:rFonts w:ascii="Times New Roman" w:hAnsi="Times New Roman" w:eastAsia="Times New Roman"/>
                <w:b w:val="0"/>
                <w:i w:val="0"/>
                <w:sz w:val="20"/>
              </w:rPr>
              <w:t>03_REFERENCES allowed-use</w:t>
            </w:r>
          </w:p>
        </w:tc>
        <w:tc>
          <w:tcPr>
            <w:tcW w:type="dxa" w:w="2340"/>
          </w:tcPr>
          <w:p>
            <w:pPr>
              <w:spacing w:after="40" w:line="240" w:lineRule="auto"/>
            </w:pPr>
            <w:r/>
            <w:r>
              <w:rPr>
                <w:rFonts w:ascii="Times New Roman" w:hAnsi="Times New Roman" w:eastAsia="Times New Roman"/>
                <w:b w:val="0"/>
                <w:i w:val="0"/>
                <w:sz w:val="20"/>
              </w:rPr>
              <w:t>One source row complete</w:t>
            </w:r>
          </w:p>
        </w:tc>
      </w:tr>
      <w:tr>
        <w:tc>
          <w:tcPr>
            <w:tcW w:type="dxa" w:w="2340"/>
          </w:tcPr>
          <w:p>
            <w:pPr>
              <w:spacing w:after="40" w:line="240" w:lineRule="auto"/>
            </w:pPr>
            <w:r/>
            <w:r>
              <w:rPr>
                <w:rFonts w:ascii="Times New Roman" w:hAnsi="Times New Roman" w:eastAsia="Times New Roman"/>
                <w:b w:val="0"/>
                <w:i w:val="0"/>
                <w:sz w:val="20"/>
              </w:rPr>
              <w:t>Daily</w:t>
            </w:r>
          </w:p>
        </w:tc>
        <w:tc>
          <w:tcPr>
            <w:tcW w:type="dxa" w:w="2340"/>
          </w:tcPr>
          <w:p>
            <w:pPr>
              <w:spacing w:after="40" w:line="240" w:lineRule="auto"/>
            </w:pPr>
            <w:r/>
            <w:r>
              <w:rPr>
                <w:rFonts w:ascii="Times New Roman" w:hAnsi="Times New Roman" w:eastAsia="Times New Roman"/>
                <w:b w:val="0"/>
                <w:i w:val="0"/>
                <w:sz w:val="20"/>
              </w:rPr>
              <w:t>Microbreaks / stand</w:t>
            </w:r>
          </w:p>
        </w:tc>
        <w:tc>
          <w:tcPr>
            <w:tcW w:type="dxa" w:w="2340"/>
          </w:tcPr>
          <w:p>
            <w:pPr>
              <w:spacing w:after="40" w:line="240" w:lineRule="auto"/>
            </w:pPr>
            <w:r/>
            <w:r>
              <w:rPr>
                <w:rFonts w:ascii="Times New Roman" w:hAnsi="Times New Roman" w:eastAsia="Times New Roman"/>
                <w:b w:val="0"/>
                <w:i w:val="0"/>
                <w:sz w:val="20"/>
              </w:rPr>
              <w:t>Health SOP (not a chapter)</w:t>
            </w:r>
          </w:p>
        </w:tc>
        <w:tc>
          <w:tcPr>
            <w:tcW w:type="dxa" w:w="2340"/>
          </w:tcPr>
          <w:p>
            <w:pPr>
              <w:spacing w:after="40" w:line="240" w:lineRule="auto"/>
            </w:pPr>
            <w:r/>
            <w:r>
              <w:rPr>
                <w:rFonts w:ascii="Times New Roman" w:hAnsi="Times New Roman" w:eastAsia="Times New Roman"/>
                <w:b w:val="0"/>
                <w:i w:val="0"/>
                <w:sz w:val="20"/>
              </w:rPr>
              <w:t>Hourly movement</w:t>
            </w:r>
          </w:p>
        </w:tc>
      </w:tr>
      <w:tr>
        <w:tc>
          <w:tcPr>
            <w:tcW w:type="dxa" w:w="2340"/>
          </w:tcPr>
          <w:p>
            <w:pPr>
              <w:spacing w:after="40" w:line="240" w:lineRule="auto"/>
            </w:pPr>
            <w:r/>
            <w:r>
              <w:rPr>
                <w:rFonts w:ascii="Times New Roman" w:hAnsi="Times New Roman" w:eastAsia="Times New Roman"/>
                <w:b w:val="0"/>
                <w:i w:val="0"/>
                <w:sz w:val="20"/>
              </w:rPr>
              <w:t>Weekly</w:t>
            </w:r>
          </w:p>
        </w:tc>
        <w:tc>
          <w:tcPr>
            <w:tcW w:type="dxa" w:w="2340"/>
          </w:tcPr>
          <w:p>
            <w:pPr>
              <w:spacing w:after="40" w:line="240" w:lineRule="auto"/>
            </w:pPr>
            <w:r/>
            <w:r>
              <w:rPr>
                <w:rFonts w:ascii="Times New Roman" w:hAnsi="Times New Roman" w:eastAsia="Times New Roman"/>
                <w:b w:val="0"/>
                <w:i w:val="0"/>
                <w:sz w:val="20"/>
              </w:rPr>
              <w:t>Sprint review</w:t>
            </w:r>
          </w:p>
        </w:tc>
        <w:tc>
          <w:tcPr>
            <w:tcW w:type="dxa" w:w="2340"/>
          </w:tcPr>
          <w:p>
            <w:pPr>
              <w:spacing w:after="40" w:line="240" w:lineRule="auto"/>
            </w:pPr>
            <w:r/>
            <w:r>
              <w:rPr>
                <w:rFonts w:ascii="Times New Roman" w:hAnsi="Times New Roman" w:eastAsia="Times New Roman"/>
                <w:b w:val="0"/>
                <w:i w:val="0"/>
                <w:sz w:val="20"/>
              </w:rPr>
              <w:t>01_LIFECYCLE status</w:t>
            </w:r>
          </w:p>
        </w:tc>
        <w:tc>
          <w:tcPr>
            <w:tcW w:type="dxa" w:w="2340"/>
          </w:tcPr>
          <w:p>
            <w:pPr>
              <w:spacing w:after="40" w:line="240" w:lineRule="auto"/>
            </w:pPr>
            <w:r/>
            <w:r>
              <w:rPr>
                <w:rFonts w:ascii="Times New Roman" w:hAnsi="Times New Roman" w:eastAsia="Times New Roman"/>
                <w:b w:val="0"/>
                <w:i w:val="0"/>
                <w:sz w:val="20"/>
              </w:rPr>
              <w:t>Three next tasks written</w:t>
            </w:r>
          </w:p>
        </w:tc>
      </w:tr>
      <w:tr>
        <w:tc>
          <w:tcPr>
            <w:tcW w:type="dxa" w:w="2340"/>
          </w:tcPr>
          <w:p>
            <w:pPr>
              <w:spacing w:after="40" w:line="240" w:lineRule="auto"/>
            </w:pPr>
            <w:r/>
            <w:r>
              <w:rPr>
                <w:rFonts w:ascii="Times New Roman" w:hAnsi="Times New Roman" w:eastAsia="Times New Roman"/>
                <w:b w:val="0"/>
                <w:i w:val="0"/>
                <w:sz w:val="20"/>
              </w:rPr>
              <w:t>Weekly (coding)</w:t>
            </w:r>
          </w:p>
        </w:tc>
        <w:tc>
          <w:tcPr>
            <w:tcW w:type="dxa" w:w="2340"/>
          </w:tcPr>
          <w:p>
            <w:pPr>
              <w:spacing w:after="40" w:line="240" w:lineRule="auto"/>
            </w:pPr>
            <w:r/>
            <w:r>
              <w:rPr>
                <w:rFonts w:ascii="Times New Roman" w:hAnsi="Times New Roman" w:eastAsia="Times New Roman"/>
                <w:b w:val="0"/>
                <w:i w:val="0"/>
                <w:sz w:val="20"/>
              </w:rPr>
              <w:t>Interval backup or no_change</w:t>
            </w:r>
          </w:p>
        </w:tc>
        <w:tc>
          <w:tcPr>
            <w:tcW w:type="dxa" w:w="2340"/>
          </w:tcPr>
          <w:p>
            <w:pPr>
              <w:spacing w:after="40" w:line="240" w:lineRule="auto"/>
            </w:pPr>
            <w:r/>
            <w:r>
              <w:rPr>
                <w:rFonts w:ascii="Times New Roman" w:hAnsi="Times New Roman" w:eastAsia="Times New Roman"/>
                <w:b w:val="0"/>
                <w:i w:val="0"/>
                <w:sz w:val="20"/>
              </w:rPr>
              <w:t>docs/notion/interval-backups</w:t>
            </w:r>
          </w:p>
        </w:tc>
        <w:tc>
          <w:tcPr>
            <w:tcW w:type="dxa" w:w="2340"/>
          </w:tcPr>
          <w:p>
            <w:pPr>
              <w:spacing w:after="40" w:line="240" w:lineRule="auto"/>
            </w:pPr>
            <w:r/>
            <w:r>
              <w:rPr>
                <w:rFonts w:ascii="Times New Roman" w:hAnsi="Times New Roman" w:eastAsia="Times New Roman"/>
                <w:b w:val="0"/>
                <w:i w:val="0"/>
                <w:sz w:val="20"/>
              </w:rPr>
              <w:t>update-log row</w:t>
            </w:r>
          </w:p>
        </w:tc>
      </w:tr>
      <w:tr>
        <w:tc>
          <w:tcPr>
            <w:tcW w:type="dxa" w:w="2340"/>
          </w:tcPr>
          <w:p>
            <w:pPr>
              <w:spacing w:after="40" w:line="240" w:lineRule="auto"/>
            </w:pPr>
            <w:r/>
            <w:r>
              <w:rPr>
                <w:rFonts w:ascii="Times New Roman" w:hAnsi="Times New Roman" w:eastAsia="Times New Roman"/>
                <w:b w:val="0"/>
                <w:i w:val="0"/>
                <w:sz w:val="20"/>
              </w:rPr>
              <w:t>Per interview</w:t>
            </w:r>
          </w:p>
        </w:tc>
        <w:tc>
          <w:tcPr>
            <w:tcW w:type="dxa" w:w="2340"/>
          </w:tcPr>
          <w:p>
            <w:pPr>
              <w:spacing w:after="40" w:line="240" w:lineRule="auto"/>
            </w:pPr>
            <w:r/>
            <w:r>
              <w:rPr>
                <w:rFonts w:ascii="Times New Roman" w:hAnsi="Times New Roman" w:eastAsia="Times New Roman"/>
                <w:b w:val="0"/>
                <w:i w:val="0"/>
                <w:sz w:val="20"/>
              </w:rPr>
              <w:t>60–75 min CIT + same-day CLEAN</w:t>
            </w:r>
          </w:p>
        </w:tc>
        <w:tc>
          <w:tcPr>
            <w:tcW w:type="dxa" w:w="2340"/>
          </w:tcPr>
          <w:p>
            <w:pPr>
              <w:spacing w:after="40" w:line="240" w:lineRule="auto"/>
            </w:pPr>
            <w:r/>
            <w:r>
              <w:rPr>
                <w:rFonts w:ascii="Times New Roman" w:hAnsi="Times New Roman" w:eastAsia="Times New Roman"/>
                <w:b w:val="0"/>
                <w:i w:val="0"/>
                <w:sz w:val="20"/>
              </w:rPr>
              <w:t>05_INTERVIEW_ITEMS; P##</w:t>
            </w:r>
          </w:p>
        </w:tc>
        <w:tc>
          <w:tcPr>
            <w:tcW w:type="dxa" w:w="2340"/>
          </w:tcPr>
          <w:p>
            <w:pPr>
              <w:spacing w:after="40" w:line="240" w:lineRule="auto"/>
            </w:pPr>
            <w:r/>
            <w:r>
              <w:rPr>
                <w:rFonts w:ascii="Times New Roman" w:hAnsi="Times New Roman" w:eastAsia="Times New Roman"/>
                <w:b w:val="0"/>
                <w:i w:val="0"/>
                <w:sz w:val="20"/>
              </w:rPr>
              <w:t>Recorder file exists</w:t>
            </w:r>
          </w:p>
        </w:tc>
      </w:tr>
      <w:tr>
        <w:tc>
          <w:tcPr>
            <w:tcW w:type="dxa" w:w="2340"/>
          </w:tcPr>
          <w:p>
            <w:pPr>
              <w:spacing w:after="40" w:line="240" w:lineRule="auto"/>
            </w:pPr>
            <w:r/>
            <w:r>
              <w:rPr>
                <w:rFonts w:ascii="Times New Roman" w:hAnsi="Times New Roman" w:eastAsia="Times New Roman"/>
                <w:b w:val="0"/>
                <w:i w:val="0"/>
                <w:sz w:val="20"/>
              </w:rPr>
              <w:t>IRB gate</w:t>
            </w:r>
          </w:p>
        </w:tc>
        <w:tc>
          <w:tcPr>
            <w:tcW w:type="dxa" w:w="2340"/>
          </w:tcPr>
          <w:p>
            <w:pPr>
              <w:spacing w:after="40" w:line="240" w:lineRule="auto"/>
            </w:pPr>
            <w:r/>
            <w:r>
              <w:rPr>
                <w:rFonts w:ascii="Times New Roman" w:hAnsi="Times New Roman" w:eastAsia="Times New Roman"/>
                <w:b w:val="0"/>
                <w:i w:val="0"/>
                <w:sz w:val="20"/>
              </w:rPr>
              <w:t>No recruitment</w:t>
            </w:r>
          </w:p>
        </w:tc>
        <w:tc>
          <w:tcPr>
            <w:tcW w:type="dxa" w:w="2340"/>
          </w:tcPr>
          <w:p>
            <w:pPr>
              <w:spacing w:after="40" w:line="240" w:lineRule="auto"/>
            </w:pPr>
            <w:r/>
            <w:r>
              <w:rPr>
                <w:rFonts w:ascii="Times New Roman" w:hAnsi="Times New Roman" w:eastAsia="Times New Roman"/>
                <w:b w:val="0"/>
                <w:i w:val="0"/>
                <w:sz w:val="20"/>
              </w:rPr>
              <w:t>LC-05</w:t>
            </w:r>
          </w:p>
        </w:tc>
        <w:tc>
          <w:tcPr>
            <w:tcW w:type="dxa" w:w="2340"/>
          </w:tcPr>
          <w:p>
            <w:pPr>
              <w:spacing w:after="40" w:line="240" w:lineRule="auto"/>
            </w:pPr>
            <w:r/>
            <w:r>
              <w:rPr>
                <w:rFonts w:ascii="Times New Roman" w:hAnsi="Times New Roman" w:eastAsia="Times New Roman"/>
                <w:b w:val="0"/>
                <w:i w:val="0"/>
                <w:sz w:val="20"/>
              </w:rPr>
              <w:t>Approval letter</w:t>
            </w:r>
          </w:p>
        </w:tc>
      </w:tr>
      <w:tr>
        <w:tc>
          <w:tcPr>
            <w:tcW w:type="dxa" w:w="2340"/>
          </w:tcPr>
          <w:p>
            <w:pPr>
              <w:spacing w:after="40" w:line="240" w:lineRule="auto"/>
            </w:pPr>
            <w:r/>
            <w:r>
              <w:rPr>
                <w:rFonts w:ascii="Times New Roman" w:hAnsi="Times New Roman" w:eastAsia="Times New Roman"/>
                <w:b w:val="0"/>
                <w:i w:val="0"/>
                <w:sz w:val="20"/>
              </w:rPr>
              <w:t>Monthly</w:t>
            </w:r>
          </w:p>
        </w:tc>
        <w:tc>
          <w:tcPr>
            <w:tcW w:type="dxa" w:w="2340"/>
          </w:tcPr>
          <w:p>
            <w:pPr>
              <w:spacing w:after="40" w:line="240" w:lineRule="auto"/>
            </w:pPr>
            <w:r/>
            <w:r>
              <w:rPr>
                <w:rFonts w:ascii="Times New Roman" w:hAnsi="Times New Roman" w:eastAsia="Times New Roman"/>
                <w:b w:val="0"/>
                <w:i w:val="0"/>
                <w:sz w:val="20"/>
              </w:rPr>
              <w:t>Map to QUAL Example4-1 headings</w:t>
            </w:r>
          </w:p>
        </w:tc>
        <w:tc>
          <w:tcPr>
            <w:tcW w:type="dxa" w:w="2340"/>
          </w:tcPr>
          <w:p>
            <w:pPr>
              <w:spacing w:after="40" w:line="240" w:lineRule="auto"/>
            </w:pPr>
            <w:r/>
            <w:r>
              <w:rPr>
                <w:rFonts w:ascii="Times New Roman" w:hAnsi="Times New Roman" w:eastAsia="Times New Roman"/>
                <w:b w:val="0"/>
                <w:i w:val="0"/>
                <w:sz w:val="20"/>
              </w:rPr>
              <w:t>Project Plan nodes</w:t>
            </w:r>
          </w:p>
        </w:tc>
        <w:tc>
          <w:tcPr>
            <w:tcW w:type="dxa" w:w="2340"/>
          </w:tcPr>
          <w:p>
            <w:pPr>
              <w:spacing w:after="40" w:line="240" w:lineRule="auto"/>
            </w:pPr>
            <w:r/>
            <w:r>
              <w:rPr>
                <w:rFonts w:ascii="Times New Roman" w:hAnsi="Times New Roman" w:eastAsia="Times New Roman"/>
                <w:b w:val="0"/>
                <w:i w:val="0"/>
                <w:sz w:val="20"/>
              </w:rPr>
              <w:t>Each heading has status</w:t>
            </w:r>
          </w:p>
        </w:tc>
      </w:tr>
    </w:tbl>
    <w:p/>
    <w:p>
      <w:pPr>
        <w:spacing w:after="120" w:before="0" w:line="480" w:lineRule="auto"/>
      </w:pPr>
      <w:r>
        <w:rPr>
          <w:rFonts w:ascii="Times New Roman" w:hAnsi="Times New Roman" w:eastAsia="Times New Roman"/>
          <w:b/>
          <w:i w:val="0"/>
          <w:color w:val="9A3412"/>
          <w:sz w:val="24"/>
        </w:rPr>
        <w:t xml:space="preserve">NEW schedule rule: </w:t>
      </w:r>
      <w:r>
        <w:rPr>
          <w:rFonts w:ascii="Times New Roman" w:hAnsi="Times New Roman" w:eastAsia="Times New Roman"/>
          <w:b w:val="0"/>
          <w:i w:val="0"/>
          <w:sz w:val="24"/>
        </w:rPr>
        <w:t>spoken protocol is not a weekly rewrite target. If wording must change, bump instrument_version first, retire the old question_id, never reuse it.</w:t>
      </w:r>
    </w:p>
    <w:p>
      <w:pPr>
        <w:spacing w:after="160" w:before="240" w:line="480" w:lineRule="auto"/>
      </w:pPr>
      <w:r>
        <w:rPr>
          <w:rFonts w:ascii="Times New Roman" w:hAnsi="Times New Roman" w:eastAsia="Times New Roman"/>
          <w:b/>
          <w:i w:val="0"/>
          <w:color w:val="1F3A5F"/>
          <w:sz w:val="32"/>
        </w:rPr>
        <w:t>5. Construct and folder map</w:t>
      </w:r>
    </w:p>
    <w:p>
      <w:pPr>
        <w:spacing w:after="120" w:before="0" w:line="480" w:lineRule="auto"/>
      </w:pPr>
      <w:r>
        <w:rPr>
          <w:rFonts w:ascii="Times New Roman" w:hAnsi="Times New Roman" w:eastAsia="Times New Roman"/>
          <w:b w:val="0"/>
          <w:i w:val="0"/>
          <w:sz w:val="24"/>
        </w:rPr>
        <w:t>Primary chain: P / L / U (Mitchell) → Lev (enacted combination) → DR → ESC → EV → RA. VCST sits behind Need only. Folders: docs/ (prose), docs/notion/templates/ (canonical CSVs), interval-backups/ (dated), source/originals/ (do not edit), downloads/ (this pack), workspace-app/ (viewer, not original), Notion amalgamation DB when authenticated.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after="40" w:line="240" w:lineRule="auto"/>
            </w:pPr>
            <w:r/>
            <w:r>
              <w:rPr>
                <w:rFonts w:ascii="Times New Roman" w:hAnsi="Times New Roman" w:eastAsia="Times New Roman"/>
                <w:b/>
                <w:i w:val="0"/>
                <w:sz w:val="20"/>
              </w:rPr>
              <w:t>Symbol</w:t>
            </w:r>
          </w:p>
        </w:tc>
        <w:tc>
          <w:tcPr>
            <w:tcW w:type="dxa" w:w="2340"/>
          </w:tcPr>
          <w:p>
            <w:pPr>
              <w:spacing w:after="40" w:line="240" w:lineRule="auto"/>
            </w:pPr>
            <w:r/>
            <w:r>
              <w:rPr>
                <w:rFonts w:ascii="Times New Roman" w:hAnsi="Times New Roman" w:eastAsia="Times New Roman"/>
                <w:b/>
                <w:i w:val="0"/>
                <w:sz w:val="20"/>
              </w:rPr>
              <w:t>Spoken stand-in</w:t>
            </w:r>
          </w:p>
        </w:tc>
        <w:tc>
          <w:tcPr>
            <w:tcW w:type="dxa" w:w="2340"/>
          </w:tcPr>
          <w:p>
            <w:pPr>
              <w:spacing w:after="40" w:line="240" w:lineRule="auto"/>
            </w:pPr>
            <w:r/>
            <w:r>
              <w:rPr>
                <w:rFonts w:ascii="Times New Roman" w:hAnsi="Times New Roman" w:eastAsia="Times New Roman"/>
                <w:b/>
                <w:i w:val="0"/>
                <w:sz w:val="20"/>
              </w:rPr>
              <w:t>Delve code</w:t>
            </w:r>
          </w:p>
        </w:tc>
        <w:tc>
          <w:tcPr>
            <w:tcW w:type="dxa" w:w="2340"/>
          </w:tcPr>
          <w:p>
            <w:pPr>
              <w:spacing w:after="40" w:line="240" w:lineRule="auto"/>
            </w:pPr>
            <w:r/>
            <w:r>
              <w:rPr>
                <w:rFonts w:ascii="Times New Roman" w:hAnsi="Times New Roman" w:eastAsia="Times New Roman"/>
                <w:b/>
                <w:i w:val="0"/>
                <w:sz w:val="20"/>
              </w:rPr>
              <w:t>Not this</w:t>
            </w:r>
          </w:p>
        </w:tc>
      </w:tr>
      <w:tr>
        <w:tc>
          <w:tcPr>
            <w:tcW w:type="dxa" w:w="2340"/>
          </w:tcPr>
          <w:p>
            <w:pPr>
              <w:spacing w:after="40" w:line="240" w:lineRule="auto"/>
            </w:pPr>
            <w:r/>
            <w:r>
              <w:rPr>
                <w:rFonts w:ascii="Times New Roman" w:hAnsi="Times New Roman" w:eastAsia="Times New Roman"/>
                <w:b w:val="0"/>
                <w:i w:val="0"/>
                <w:sz w:val="20"/>
              </w:rPr>
              <w:t>P</w:t>
            </w:r>
          </w:p>
        </w:tc>
        <w:tc>
          <w:tcPr>
            <w:tcW w:type="dxa" w:w="2340"/>
          </w:tcPr>
          <w:p>
            <w:pPr>
              <w:spacing w:after="40" w:line="240" w:lineRule="auto"/>
            </w:pPr>
            <w:r/>
            <w:r>
              <w:rPr>
                <w:rFonts w:ascii="Times New Roman" w:hAnsi="Times New Roman" w:eastAsia="Times New Roman"/>
                <w:b w:val="0"/>
                <w:i w:val="0"/>
                <w:sz w:val="20"/>
              </w:rPr>
              <w:t>request; pressure; delay; override; stop</w:t>
            </w:r>
          </w:p>
        </w:tc>
        <w:tc>
          <w:tcPr>
            <w:tcW w:type="dxa" w:w="2340"/>
          </w:tcPr>
          <w:p>
            <w:pPr>
              <w:spacing w:after="40" w:line="240" w:lineRule="auto"/>
            </w:pPr>
            <w:r/>
            <w:r>
              <w:rPr>
                <w:rFonts w:ascii="Times New Roman" w:hAnsi="Times New Roman" w:eastAsia="Times New Roman"/>
                <w:b w:val="0"/>
                <w:i w:val="0"/>
                <w:sz w:val="20"/>
              </w:rPr>
              <w:t>power</w:t>
            </w:r>
          </w:p>
        </w:tc>
        <w:tc>
          <w:tcPr>
            <w:tcW w:type="dxa" w:w="2340"/>
          </w:tcPr>
          <w:p>
            <w:pPr>
              <w:spacing w:after="40" w:line="240" w:lineRule="auto"/>
            </w:pPr>
            <w:r/>
            <w:r>
              <w:rPr>
                <w:rFonts w:ascii="Times New Roman" w:hAnsi="Times New Roman" w:eastAsia="Times New Roman"/>
                <w:b w:val="0"/>
                <w:i w:val="0"/>
                <w:sz w:val="20"/>
              </w:rPr>
              <w:t>Power as a theme title; Foucault/Bourdieu/Habermas as parents</w:t>
            </w:r>
          </w:p>
        </w:tc>
      </w:tr>
      <w:tr>
        <w:tc>
          <w:tcPr>
            <w:tcW w:type="dxa" w:w="2340"/>
          </w:tcPr>
          <w:p>
            <w:pPr>
              <w:spacing w:after="40" w:line="240" w:lineRule="auto"/>
            </w:pPr>
            <w:r/>
            <w:r>
              <w:rPr>
                <w:rFonts w:ascii="Times New Roman" w:hAnsi="Times New Roman" w:eastAsia="Times New Roman"/>
                <w:b w:val="0"/>
                <w:i w:val="0"/>
                <w:sz w:val="20"/>
              </w:rPr>
              <w:t>L</w:t>
            </w:r>
          </w:p>
        </w:tc>
        <w:tc>
          <w:tcPr>
            <w:tcW w:type="dxa" w:w="2340"/>
          </w:tcPr>
          <w:p>
            <w:pPr>
              <w:spacing w:after="40" w:line="240" w:lineRule="auto"/>
            </w:pPr>
            <w:r/>
            <w:r>
              <w:rPr>
                <w:rFonts w:ascii="Times New Roman" w:hAnsi="Times New Roman" w:eastAsia="Times New Roman"/>
                <w:b w:val="0"/>
                <w:i w:val="0"/>
                <w:sz w:val="20"/>
              </w:rPr>
              <w:t>right to ask; out of line</w:t>
            </w:r>
          </w:p>
        </w:tc>
        <w:tc>
          <w:tcPr>
            <w:tcW w:type="dxa" w:w="2340"/>
          </w:tcPr>
          <w:p>
            <w:pPr>
              <w:spacing w:after="40" w:line="240" w:lineRule="auto"/>
            </w:pPr>
            <w:r/>
            <w:r>
              <w:rPr>
                <w:rFonts w:ascii="Times New Roman" w:hAnsi="Times New Roman" w:eastAsia="Times New Roman"/>
                <w:b w:val="0"/>
                <w:i w:val="0"/>
                <w:sz w:val="20"/>
              </w:rPr>
              <w:t>legitimacy</w:t>
            </w:r>
          </w:p>
        </w:tc>
        <w:tc>
          <w:tcPr>
            <w:tcW w:type="dxa" w:w="2340"/>
          </w:tcPr>
          <w:p>
            <w:pPr>
              <w:spacing w:after="40" w:line="240" w:lineRule="auto"/>
            </w:pPr>
            <w:r/>
            <w:r>
              <w:rPr>
                <w:rFonts w:ascii="Times New Roman" w:hAnsi="Times New Roman" w:eastAsia="Times New Roman"/>
                <w:b w:val="0"/>
                <w:i w:val="0"/>
                <w:sz w:val="20"/>
              </w:rPr>
              <w:t>NIST scoring</w:t>
            </w:r>
          </w:p>
        </w:tc>
      </w:tr>
      <w:tr>
        <w:tc>
          <w:tcPr>
            <w:tcW w:type="dxa" w:w="2340"/>
          </w:tcPr>
          <w:p>
            <w:pPr>
              <w:spacing w:after="40" w:line="240" w:lineRule="auto"/>
            </w:pPr>
            <w:r/>
            <w:r>
              <w:rPr>
                <w:rFonts w:ascii="Times New Roman" w:hAnsi="Times New Roman" w:eastAsia="Times New Roman"/>
                <w:b w:val="0"/>
                <w:i w:val="0"/>
                <w:sz w:val="20"/>
              </w:rPr>
              <w:t>U</w:t>
            </w:r>
          </w:p>
        </w:tc>
        <w:tc>
          <w:tcPr>
            <w:tcW w:type="dxa" w:w="2340"/>
          </w:tcPr>
          <w:p>
            <w:pPr>
              <w:spacing w:after="40" w:line="240" w:lineRule="auto"/>
            </w:pPr>
            <w:r/>
            <w:r>
              <w:rPr>
                <w:rFonts w:ascii="Times New Roman" w:hAnsi="Times New Roman" w:eastAsia="Times New Roman"/>
                <w:b w:val="0"/>
                <w:i w:val="0"/>
                <w:sz w:val="20"/>
              </w:rPr>
              <w:t>time-critical; time pressure</w:t>
            </w:r>
          </w:p>
        </w:tc>
        <w:tc>
          <w:tcPr>
            <w:tcW w:type="dxa" w:w="2340"/>
          </w:tcPr>
          <w:p>
            <w:pPr>
              <w:spacing w:after="40" w:line="240" w:lineRule="auto"/>
            </w:pPr>
            <w:r/>
            <w:r>
              <w:rPr>
                <w:rFonts w:ascii="Times New Roman" w:hAnsi="Times New Roman" w:eastAsia="Times New Roman"/>
                <w:b w:val="0"/>
                <w:i w:val="0"/>
                <w:sz w:val="20"/>
              </w:rPr>
              <w:t>urgency</w:t>
            </w:r>
          </w:p>
        </w:tc>
        <w:tc>
          <w:tcPr>
            <w:tcW w:type="dxa" w:w="2340"/>
          </w:tcPr>
          <w:p>
            <w:pPr>
              <w:spacing w:after="40" w:line="240" w:lineRule="auto"/>
            </w:pPr>
            <w:r/>
            <w:r>
              <w:rPr>
                <w:rFonts w:ascii="Times New Roman" w:hAnsi="Times New Roman" w:eastAsia="Times New Roman"/>
                <w:b w:val="0"/>
                <w:i w:val="0"/>
                <w:sz w:val="20"/>
              </w:rPr>
              <w:t>Spoken ‘urgency’ unless participant said it</w:t>
            </w:r>
          </w:p>
        </w:tc>
      </w:tr>
      <w:tr>
        <w:tc>
          <w:tcPr>
            <w:tcW w:type="dxa" w:w="2340"/>
          </w:tcPr>
          <w:p>
            <w:pPr>
              <w:spacing w:after="40" w:line="240" w:lineRule="auto"/>
            </w:pPr>
            <w:r/>
            <w:r>
              <w:rPr>
                <w:rFonts w:ascii="Times New Roman" w:hAnsi="Times New Roman" w:eastAsia="Times New Roman"/>
                <w:b w:val="0"/>
                <w:i w:val="0"/>
                <w:sz w:val="20"/>
              </w:rPr>
              <w:t>Lev</w:t>
            </w:r>
          </w:p>
        </w:tc>
        <w:tc>
          <w:tcPr>
            <w:tcW w:type="dxa" w:w="2340"/>
          </w:tcPr>
          <w:p>
            <w:pPr>
              <w:spacing w:after="40" w:line="240" w:lineRule="auto"/>
            </w:pPr>
            <w:r/>
            <w:r>
              <w:rPr>
                <w:rFonts w:ascii="Times New Roman" w:hAnsi="Times New Roman" w:eastAsia="Times New Roman"/>
                <w:b w:val="0"/>
                <w:i w:val="0"/>
                <w:sz w:val="20"/>
              </w:rPr>
              <w:t>who moved / who could have stopped it</w:t>
            </w:r>
          </w:p>
        </w:tc>
        <w:tc>
          <w:tcPr>
            <w:tcW w:type="dxa" w:w="2340"/>
          </w:tcPr>
          <w:p>
            <w:pPr>
              <w:spacing w:after="40" w:line="240" w:lineRule="auto"/>
            </w:pPr>
            <w:r/>
            <w:r>
              <w:rPr>
                <w:rFonts w:ascii="Times New Roman" w:hAnsi="Times New Roman" w:eastAsia="Times New Roman"/>
                <w:b w:val="0"/>
                <w:i w:val="0"/>
                <w:sz w:val="20"/>
              </w:rPr>
              <w:t>leverage_location</w:t>
            </w:r>
          </w:p>
        </w:tc>
        <w:tc>
          <w:tcPr>
            <w:tcW w:type="dxa" w:w="2340"/>
          </w:tcPr>
          <w:p>
            <w:pPr>
              <w:spacing w:after="40" w:line="240" w:lineRule="auto"/>
            </w:pPr>
            <w:r/>
            <w:r>
              <w:rPr>
                <w:rFonts w:ascii="Times New Roman" w:hAnsi="Times New Roman" w:eastAsia="Times New Roman"/>
                <w:b w:val="0"/>
                <w:i w:val="0"/>
                <w:sz w:val="20"/>
              </w:rPr>
              <w:t>Fourth salience attribute</w:t>
            </w:r>
          </w:p>
        </w:tc>
      </w:tr>
      <w:tr>
        <w:tc>
          <w:tcPr>
            <w:tcW w:type="dxa" w:w="2340"/>
          </w:tcPr>
          <w:p>
            <w:pPr>
              <w:spacing w:after="40" w:line="240" w:lineRule="auto"/>
            </w:pPr>
            <w:r/>
            <w:r>
              <w:rPr>
                <w:rFonts w:ascii="Times New Roman" w:hAnsi="Times New Roman" w:eastAsia="Times New Roman"/>
                <w:b w:val="0"/>
                <w:i w:val="0"/>
                <w:sz w:val="20"/>
              </w:rPr>
              <w:t>DR / ESC / EV / RA</w:t>
            </w:r>
          </w:p>
        </w:tc>
        <w:tc>
          <w:tcPr>
            <w:tcW w:type="dxa" w:w="2340"/>
          </w:tcPr>
          <w:p>
            <w:pPr>
              <w:spacing w:after="40" w:line="240" w:lineRule="auto"/>
            </w:pPr>
            <w:r/>
            <w:r>
              <w:rPr>
                <w:rFonts w:ascii="Times New Roman" w:hAnsi="Times New Roman" w:eastAsia="Times New Roman"/>
                <w:b w:val="0"/>
                <w:i w:val="0"/>
                <w:sz w:val="20"/>
              </w:rPr>
              <w:t>supposed vs actual; trigger; enough proof; what would you point to</w:t>
            </w:r>
          </w:p>
        </w:tc>
        <w:tc>
          <w:tcPr>
            <w:tcW w:type="dxa" w:w="2340"/>
          </w:tcPr>
          <w:p>
            <w:pPr>
              <w:spacing w:after="40" w:line="240" w:lineRule="auto"/>
            </w:pPr>
            <w:r/>
            <w:r>
              <w:rPr>
                <w:rFonts w:ascii="Times New Roman" w:hAnsi="Times New Roman" w:eastAsia="Times New Roman"/>
                <w:b w:val="0"/>
                <w:i w:val="0"/>
                <w:sz w:val="20"/>
              </w:rPr>
              <w:t>decision_rights / escalation / evidentiary_standards / recoverability_assurance</w:t>
            </w:r>
          </w:p>
        </w:tc>
        <w:tc>
          <w:tcPr>
            <w:tcW w:type="dxa" w:w="2340"/>
          </w:tcPr>
          <w:p>
            <w:pPr>
              <w:spacing w:after="40" w:line="240" w:lineRule="auto"/>
            </w:pPr>
            <w:r/>
            <w:r>
              <w:rPr>
                <w:rFonts w:ascii="Times New Roman" w:hAnsi="Times New Roman" w:eastAsia="Times New Roman"/>
                <w:b w:val="0"/>
                <w:i w:val="0"/>
                <w:sz w:val="20"/>
              </w:rPr>
              <w:t>A priori Ch IV headings</w:t>
            </w:r>
          </w:p>
        </w:tc>
      </w:tr>
    </w:tbl>
    <w:p/>
    <w:p>
      <w:pPr>
        <w:spacing w:after="160" w:before="240" w:line="480" w:lineRule="auto"/>
      </w:pPr>
      <w:r>
        <w:rPr>
          <w:rFonts w:ascii="Times New Roman" w:hAnsi="Times New Roman" w:eastAsia="Times New Roman"/>
          <w:b/>
          <w:i w:val="0"/>
          <w:color w:val="9A3412"/>
          <w:sz w:val="32"/>
        </w:rPr>
        <w:t>6. Updated reference materials</w:t>
      </w:r>
    </w:p>
    <w:p>
      <w:pPr>
        <w:spacing w:after="120" w:before="0" w:line="480" w:lineRule="auto"/>
      </w:pPr>
      <w:r>
        <w:rPr>
          <w:rFonts w:ascii="Times New Roman" w:hAnsi="Times New Roman" w:eastAsia="Times New Roman"/>
          <w:b w:val="0"/>
          <w:i/>
          <w:sz w:val="24"/>
        </w:rPr>
        <w:t>After paste, select the list → Paragraph → Special: Hanging 0.5 in. Bold entries are NEW or PARK in this pack. KEEP rows are already confirmed in the nest.</w:t>
      </w:r>
    </w:p>
    <w:p>
      <w:pPr>
        <w:spacing w:after="120" w:before="0" w:line="480" w:lineRule="auto"/>
      </w:pPr>
      <w:r>
        <w:rPr>
          <w:rFonts w:ascii="Times New Roman" w:hAnsi="Times New Roman" w:eastAsia="Times New Roman"/>
          <w:b w:val="0"/>
          <w:i w:val="0"/>
          <w:sz w:val="24"/>
        </w:rPr>
        <w:t>KEEP (do not replace definitions): Mitchell et al. (1997); Donaldson and Preston (1995); Freeman et al. (2004); Freeman, Phillips, and Sisodia (2020); Flanagan (1954); Chell (2004) / Gremler (2004) as U.S. CIT application; Caelli et al. (2003); Kahlke (2014); Percy et al. (2015); Fereday and Muir-Cochrane (2006); Lincoln and Guba (1985); Malterud et al. (2016). Neville et al. (2011) remains build-on for urgency-as-amplifier; it does not drop urgency from the instrument.</w:t>
      </w:r>
    </w:p>
    <w:p>
      <w:pPr>
        <w:spacing w:after="160" w:before="240" w:line="480" w:lineRule="auto"/>
      </w:pPr>
      <w:r>
        <w:rPr>
          <w:rFonts w:ascii="Times New Roman" w:hAnsi="Times New Roman" w:eastAsia="Times New Roman"/>
          <w:b/>
          <w:i w:val="0"/>
          <w:color w:val="9A3412"/>
          <w:sz w:val="28"/>
        </w:rPr>
        <w:t>6.1 NEW and PARK register rows</w:t>
      </w:r>
    </w:p>
    <w:p>
      <w:pPr>
        <w:spacing w:after="120" w:before="0" w:line="480" w:lineRule="auto"/>
      </w:pPr>
      <w:r>
        <w:rPr>
          <w:rFonts w:ascii="Times New Roman" w:hAnsi="Times New Roman" w:eastAsia="Times New Roman"/>
          <w:b/>
          <w:i w:val="0"/>
          <w:color w:val="9A3412"/>
          <w:sz w:val="24"/>
        </w:rPr>
        <w:t xml:space="preserve">NEW. </w:t>
      </w:r>
      <w:r>
        <w:rPr>
          <w:rFonts w:ascii="Times New Roman" w:hAnsi="Times New Roman" w:eastAsia="Times New Roman"/>
          <w:b w:val="0"/>
          <w:i w:val="0"/>
          <w:sz w:val="24"/>
        </w:rPr>
        <w:t>Wood, D. J., Mitchell, R. K., Agle, B. R., &amp; Bryan, L. M. (2021). Stakeholder identification and salience after 20 years: Progress, problems, and prospects. Business &amp; Society, 60(1), 196–245. https://doi.org/10.1177/0007650318816522 Allowed use: Chapter II current review of salience research; does not replace Mitchell 1997 operational defs Why: Currency review requested in updated-references.md. Added as additional build-on, not as a swap that deletes Agle 1999 from the codebook nest.</w:t>
      </w:r>
    </w:p>
    <w:p>
      <w:pPr>
        <w:spacing w:after="120" w:before="0" w:line="480" w:lineRule="auto"/>
      </w:pPr>
      <w:r>
        <w:rPr>
          <w:rFonts w:ascii="Times New Roman" w:hAnsi="Times New Roman" w:eastAsia="Times New Roman"/>
          <w:b/>
          <w:i w:val="0"/>
          <w:color w:val="9A3412"/>
          <w:sz w:val="24"/>
        </w:rPr>
        <w:t xml:space="preserve">NEW. </w:t>
      </w:r>
      <w:r>
        <w:rPr>
          <w:rFonts w:ascii="Times New Roman" w:hAnsi="Times New Roman" w:eastAsia="Times New Roman"/>
          <w:b w:val="0"/>
          <w:i w:val="0"/>
          <w:sz w:val="24"/>
        </w:rPr>
        <w:t>Joos, H. C. (2019). Influences on managerial perceptions of stakeholder salience: Two decades of research in review. Management Review Quarterly, 69, 3–37. https://doi.org/10.1007/s11301-018-0144-8 Allowed use: What We Know: inner/outer context that shapes how managers perceive PLU. Sensitizing only. Why: Course PDF now registered. Review of contextual influences; not a new salience attribute.</w:t>
      </w:r>
    </w:p>
    <w:p>
      <w:pPr>
        <w:spacing w:after="120" w:before="0" w:line="480" w:lineRule="auto"/>
      </w:pPr>
      <w:r>
        <w:rPr>
          <w:rFonts w:ascii="Times New Roman" w:hAnsi="Times New Roman" w:eastAsia="Times New Roman"/>
          <w:b/>
          <w:i w:val="0"/>
          <w:color w:val="9A3412"/>
          <w:sz w:val="24"/>
        </w:rPr>
        <w:t xml:space="preserve">NEW. </w:t>
      </w:r>
      <w:r>
        <w:rPr>
          <w:rFonts w:ascii="Times New Roman" w:hAnsi="Times New Roman" w:eastAsia="Times New Roman"/>
          <w:b w:val="0"/>
          <w:i w:val="0"/>
          <w:sz w:val="24"/>
        </w:rPr>
        <w:t>Khurram, S., &amp; Charreire Petit, S. (2017). Investigating the dynamics of stakeholder salience: What happens when the institutional change process unfolds? Journal of Business Ethics, 143(4), 663–680. https://doi.org/10.1007/s10551-015-2766-2 Allowed use: What We Know: salience attributes can shift as institutional logic shifts. Supports mid-incident C2 probes. Why: Course PDF. Dynamics claim already implied by C2; do not import the Pakistan microfinance field as this study’s site.</w:t>
      </w:r>
    </w:p>
    <w:p>
      <w:pPr>
        <w:spacing w:after="120" w:before="0" w:line="480" w:lineRule="auto"/>
      </w:pPr>
      <w:r>
        <w:rPr>
          <w:rFonts w:ascii="Times New Roman" w:hAnsi="Times New Roman" w:eastAsia="Times New Roman"/>
          <w:b/>
          <w:i w:val="0"/>
          <w:color w:val="9A3412"/>
          <w:sz w:val="24"/>
        </w:rPr>
        <w:t xml:space="preserve">NEW. </w:t>
      </w:r>
      <w:r>
        <w:rPr>
          <w:rFonts w:ascii="Times New Roman" w:hAnsi="Times New Roman" w:eastAsia="Times New Roman"/>
          <w:b w:val="0"/>
          <w:i w:val="0"/>
          <w:sz w:val="24"/>
        </w:rPr>
        <w:t>Editorial. (2023). A roadmap for data analysis in qualitative research. European Management Review, 20(2), 190–196. (Duplicate course PDF of the same editorial; authors/page run EM-RAUS230022 — confirm named editorial authors before courseroom paste.) Allowed use: Know Eisenhardt / Gioia / Langley templates so they can be refused as this study’s method Why: Two identical PDFs collapsed to one register row. Roadmap is adjacent-method literacy, not a method swap.</w:t>
      </w:r>
    </w:p>
    <w:p>
      <w:pPr>
        <w:spacing w:after="120" w:before="0" w:line="480" w:lineRule="auto"/>
      </w:pPr>
      <w:r>
        <w:rPr>
          <w:rFonts w:ascii="Times New Roman" w:hAnsi="Times New Roman" w:eastAsia="Times New Roman"/>
          <w:b/>
          <w:i w:val="0"/>
          <w:color w:val="9A3412"/>
          <w:sz w:val="24"/>
        </w:rPr>
        <w:t xml:space="preserve">PARK. </w:t>
      </w:r>
      <w:r>
        <w:rPr>
          <w:rFonts w:ascii="Times New Roman" w:hAnsi="Times New Roman" w:eastAsia="Times New Roman"/>
          <w:b w:val="0"/>
          <w:i w:val="0"/>
          <w:sz w:val="24"/>
        </w:rPr>
        <w:t>Daniel, E., &amp; Daniel, P. A. (2019). Megaprojects as complex adaptive systems: The Hinkley Point C case. International Journal of Project Management, 37(8), 1017–1033. https://doi.org/10.1016/j.ijproman.2019.05.001 Allowed use: Parking lot / comparative complexity talk only Why: Nuclear megaproject CAS is not SME ITDRPaaS GQI. Parked so it cannot leak into method prose.</w:t>
      </w:r>
    </w:p>
    <w:p>
      <w:pPr>
        <w:spacing w:after="120" w:before="0" w:line="480" w:lineRule="auto"/>
      </w:pPr>
      <w:r>
        <w:rPr>
          <w:rFonts w:ascii="Times New Roman" w:hAnsi="Times New Roman" w:eastAsia="Times New Roman"/>
          <w:b/>
          <w:i w:val="0"/>
          <w:color w:val="9A3412"/>
          <w:sz w:val="24"/>
        </w:rPr>
        <w:t xml:space="preserve">PARK. </w:t>
      </w:r>
      <w:r>
        <w:rPr>
          <w:rFonts w:ascii="Times New Roman" w:hAnsi="Times New Roman" w:eastAsia="Times New Roman"/>
          <w:b w:val="0"/>
          <w:i w:val="0"/>
          <w:sz w:val="24"/>
        </w:rPr>
        <w:t>Christensen, G. (2024). Three concepts of power: Foucault, Bourdieu, and Habermas. Power and Education, 16(2), 182–195. https://doi.org/10.1177/17577438231187129 Allowed use: Optional P-memo language only after a concrete force/withhold/override example exists Why: Three social-theory powers are not PLU. Parked to stop construct inflation.</w:t>
      </w:r>
    </w:p>
    <w:p>
      <w:pPr>
        <w:spacing w:after="120" w:before="0" w:line="480" w:lineRule="auto"/>
      </w:pPr>
      <w:r>
        <w:rPr>
          <w:rFonts w:ascii="Times New Roman" w:hAnsi="Times New Roman" w:eastAsia="Times New Roman"/>
          <w:b/>
          <w:i w:val="0"/>
          <w:color w:val="9A3412"/>
          <w:sz w:val="24"/>
        </w:rPr>
        <w:t xml:space="preserve">NEW. </w:t>
      </w:r>
      <w:r>
        <w:rPr>
          <w:rFonts w:ascii="Times New Roman" w:hAnsi="Times New Roman" w:eastAsia="Times New Roman"/>
          <w:b w:val="0"/>
          <w:i w:val="0"/>
          <w:sz w:val="24"/>
        </w:rPr>
        <w:t>Walker, M. (2026). Dissertation document tracking pack (Pack v1.0) [Unpublished research operating file]. Capella University, RSCH-V8927. downloads/Dissertation_Document_Tracking_Master.xlsx; downloads/Dissertation_Document_Tracking_Pack.docx. Allowed use: Document control; change log; work schedule; folder map Why: The consolidated tracker itself is an audit artifact.</w:t>
      </w:r>
    </w:p>
    <w:p>
      <w:pPr>
        <w:spacing w:after="160" w:before="240" w:line="480" w:lineRule="auto"/>
      </w:pPr>
      <w:r>
        <w:rPr>
          <w:rFonts w:ascii="Times New Roman" w:hAnsi="Times New Roman" w:eastAsia="Times New Roman"/>
          <w:b/>
          <w:i w:val="0"/>
          <w:color w:val="1F3A5F"/>
          <w:sz w:val="28"/>
        </w:rPr>
        <w:t>6.2 KEEP nest (short list)</w:t>
      </w:r>
    </w:p>
    <w:p>
      <w:pPr>
        <w:spacing w:after="120" w:before="0" w:line="480" w:lineRule="auto"/>
      </w:pPr>
      <w:r>
        <w:rPr>
          <w:rFonts w:ascii="Times New Roman" w:hAnsi="Times New Roman" w:eastAsia="Times New Roman"/>
          <w:b w:val="0"/>
          <w:i w:val="0"/>
          <w:sz w:val="24"/>
        </w:rPr>
        <w:t>Full APA lines remain on 03_REFERENCES. Do not balloon the Project Plan list: Joos (2019) and Khurram and Charreire Petit (2015/2017) are What We Know build-on for managerial perception and shifting attributes. The EMR 2023 editorial is method-literacy only. Duplicate Wk8 roadmap PDFs are one row.</w:t>
      </w:r>
    </w:p>
    <w:p>
      <w:pPr>
        <w:spacing w:after="160" w:before="240" w:line="480" w:lineRule="auto"/>
      </w:pPr>
      <w:r>
        <w:rPr>
          <w:rFonts w:ascii="Times New Roman" w:hAnsi="Times New Roman" w:eastAsia="Times New Roman"/>
          <w:b/>
          <w:i w:val="0"/>
          <w:color w:val="1F3A5F"/>
          <w:sz w:val="32"/>
        </w:rPr>
        <w:t>7. Analysis and presentation procedure</w:t>
      </w:r>
    </w:p>
    <w:p>
      <w:pPr>
        <w:spacing w:after="120" w:before="0" w:line="480" w:lineRule="auto"/>
      </w:pPr>
      <w:r>
        <w:rPr>
          <w:rFonts w:ascii="Times New Roman" w:hAnsi="Times New Roman" w:eastAsia="Times New Roman"/>
          <w:b w:val="0"/>
          <w:i w:val="0"/>
          <w:sz w:val="24"/>
        </w:rPr>
        <w:t>Follow 06_ANALYSIS_SOP. Hierarchy correction from the MD procedural package remains: codes are not themes; lock meaning units before theme names; stakeholder-salience constructs are sensitizing probes. Presentation in Chapter IV is two answers (PQ1, PQ2) with excerpt → MU → claim tables and a required boundary case per construct. Member-check is on the CLEAN transcript, not on theme titles.</w:t>
      </w:r>
    </w:p>
    <w:p>
      <w:pPr>
        <w:spacing w:after="120" w:before="0" w:line="480" w:lineRule="auto"/>
      </w:pPr>
      <w:r>
        <w:rPr>
          <w:rFonts w:ascii="Times New Roman" w:hAnsi="Times New Roman" w:eastAsia="Times New Roman"/>
          <w:b/>
          <w:i w:val="0"/>
          <w:color w:val="9A3412"/>
          <w:sz w:val="24"/>
        </w:rPr>
        <w:t xml:space="preserve">Not this (Wk8 editorial): </w:t>
      </w:r>
      <w:r>
        <w:rPr>
          <w:rFonts w:ascii="Times New Roman" w:hAnsi="Times New Roman" w:eastAsia="Times New Roman"/>
          <w:b w:val="0"/>
          <w:i w:val="0"/>
          <w:sz w:val="24"/>
        </w:rPr>
        <w:t>do not switch the analytic method to Gioia, Eisenhardt multiple-case, or Langley process templates. Those names stay in the parking lot so Chapter III can say why they were refused.</w:t>
      </w:r>
    </w:p>
    <w:p>
      <w:pPr>
        <w:spacing w:after="160" w:before="240" w:line="480" w:lineRule="auto"/>
      </w:pPr>
      <w:r>
        <w:rPr>
          <w:rFonts w:ascii="Times New Roman" w:hAnsi="Times New Roman" w:eastAsia="Times New Roman"/>
          <w:b/>
          <w:i w:val="0"/>
          <w:color w:val="1F3A5F"/>
          <w:sz w:val="32"/>
        </w:rPr>
        <w:t>8. How to use the companion xlsx</w:t>
      </w:r>
    </w:p>
    <w:p>
      <w:pPr>
        <w:spacing w:after="120" w:before="0" w:line="480" w:lineRule="auto"/>
      </w:pPr>
      <w:r>
        <w:rPr>
          <w:rFonts w:ascii="Times New Roman" w:hAnsi="Times New Roman" w:eastAsia="Times New Roman"/>
          <w:b w:val="0"/>
          <w:i w:val="0"/>
          <w:sz w:val="24"/>
        </w:rPr>
        <w:t>Open README, then 00_CHANGE_LOG (bold rows first), then 09_NEED_OV and 10_WORK_SCHEDULE. After a weekly SOP close, read 15_WEEKLY_RUN and 16_QUAL_MAP. Update 01_LIFECYCLE status only. Add literature as a new REF-ID on 03_REFERENCES; do not paste a second bibliography into Word without the ID. After interviews, fill 11_LEVERAGE_MEMO and export Delve to the dated CSV nest. Rebuild this pack with scripts/build_dissertation_tracking_pack.py if CSV templates change.</w:t>
      </w:r>
    </w:p>
    <w:p>
      <w:pPr>
        <w:spacing w:after="160" w:before="240" w:line="480" w:lineRule="auto"/>
      </w:pPr>
      <w:r>
        <w:rPr>
          <w:rFonts w:ascii="Times New Roman" w:hAnsi="Times New Roman" w:eastAsia="Times New Roman"/>
          <w:b/>
          <w:i w:val="0"/>
          <w:color w:val="9A3412"/>
          <w:sz w:val="32"/>
        </w:rPr>
        <w:t>9. Parking lot and not-this rules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40" w:line="240" w:lineRule="auto"/>
            </w:pPr>
            <w:r/>
            <w:r>
              <w:rPr>
                <w:rFonts w:ascii="Times New Roman" w:hAnsi="Times New Roman" w:eastAsia="Times New Roman"/>
                <w:b/>
                <w:i w:val="0"/>
                <w:sz w:val="20"/>
              </w:rPr>
              <w:t>Park ID</w:t>
            </w:r>
          </w:p>
        </w:tc>
        <w:tc>
          <w:tcPr>
            <w:tcW w:type="dxa" w:w="3120"/>
          </w:tcPr>
          <w:p>
            <w:pPr>
              <w:spacing w:after="40" w:line="240" w:lineRule="auto"/>
            </w:pPr>
            <w:r/>
            <w:r>
              <w:rPr>
                <w:rFonts w:ascii="Times New Roman" w:hAnsi="Times New Roman" w:eastAsia="Times New Roman"/>
                <w:b/>
                <w:i w:val="0"/>
                <w:sz w:val="20"/>
              </w:rPr>
              <w:t>Item</w:t>
            </w:r>
          </w:p>
        </w:tc>
        <w:tc>
          <w:tcPr>
            <w:tcW w:type="dxa" w:w="3120"/>
          </w:tcPr>
          <w:p>
            <w:pPr>
              <w:spacing w:after="40" w:line="240" w:lineRule="auto"/>
            </w:pPr>
            <w:r/>
            <w:r>
              <w:rPr>
                <w:rFonts w:ascii="Times New Roman" w:hAnsi="Times New Roman" w:eastAsia="Times New Roman"/>
                <w:b/>
                <w:i w:val="0"/>
                <w:sz w:val="20"/>
              </w:rPr>
              <w:t>Never</w:t>
            </w:r>
          </w:p>
        </w:tc>
      </w:tr>
      <w:tr>
        <w:tc>
          <w:tcPr>
            <w:tcW w:type="dxa" w:w="3120"/>
          </w:tcPr>
          <w:p>
            <w:pPr>
              <w:spacing w:after="40" w:line="240" w:lineRule="auto"/>
            </w:pPr>
            <w:r/>
            <w:r>
              <w:rPr>
                <w:rFonts w:ascii="Times New Roman" w:hAnsi="Times New Roman" w:eastAsia="Times New Roman"/>
                <w:b w:val="0"/>
                <w:i w:val="0"/>
                <w:sz w:val="20"/>
              </w:rPr>
              <w:t>PL-CHRISTENSEN-2023</w:t>
            </w:r>
          </w:p>
        </w:tc>
        <w:tc>
          <w:tcPr>
            <w:tcW w:type="dxa" w:w="3120"/>
          </w:tcPr>
          <w:p>
            <w:pPr>
              <w:spacing w:after="40" w:line="240" w:lineRule="auto"/>
            </w:pPr>
            <w:r/>
            <w:r>
              <w:rPr>
                <w:rFonts w:ascii="Times New Roman" w:hAnsi="Times New Roman" w:eastAsia="Times New Roman"/>
                <w:b w:val="0"/>
                <w:i w:val="0"/>
                <w:sz w:val="20"/>
              </w:rPr>
              <w:t>Three concepts of power</w:t>
            </w:r>
          </w:p>
        </w:tc>
        <w:tc>
          <w:tcPr>
            <w:tcW w:type="dxa" w:w="3120"/>
          </w:tcPr>
          <w:p>
            <w:pPr>
              <w:spacing w:after="40" w:line="240" w:lineRule="auto"/>
            </w:pPr>
            <w:r/>
            <w:r>
              <w:rPr>
                <w:rFonts w:ascii="Times New Roman" w:hAnsi="Times New Roman" w:eastAsia="Times New Roman"/>
                <w:b w:val="0"/>
                <w:i w:val="0"/>
                <w:sz w:val="20"/>
              </w:rPr>
              <w:t>Delve parents; spoken stems; Ch IV headings</w:t>
            </w:r>
          </w:p>
        </w:tc>
      </w:tr>
      <w:tr>
        <w:tc>
          <w:tcPr>
            <w:tcW w:type="dxa" w:w="3120"/>
          </w:tcPr>
          <w:p>
            <w:pPr>
              <w:spacing w:after="40" w:line="240" w:lineRule="auto"/>
            </w:pPr>
            <w:r/>
            <w:r>
              <w:rPr>
                <w:rFonts w:ascii="Times New Roman" w:hAnsi="Times New Roman" w:eastAsia="Times New Roman"/>
                <w:b w:val="0"/>
                <w:i w:val="0"/>
                <w:sz w:val="20"/>
              </w:rPr>
              <w:t>PL-DANIEL-2019</w:t>
            </w:r>
          </w:p>
        </w:tc>
        <w:tc>
          <w:tcPr>
            <w:tcW w:type="dxa" w:w="3120"/>
          </w:tcPr>
          <w:p>
            <w:pPr>
              <w:spacing w:after="40" w:line="240" w:lineRule="auto"/>
            </w:pPr>
            <w:r/>
            <w:r>
              <w:rPr>
                <w:rFonts w:ascii="Times New Roman" w:hAnsi="Times New Roman" w:eastAsia="Times New Roman"/>
                <w:b w:val="0"/>
                <w:i w:val="0"/>
                <w:sz w:val="20"/>
              </w:rPr>
              <w:t>Hinkley Point C CAS</w:t>
            </w:r>
          </w:p>
        </w:tc>
        <w:tc>
          <w:tcPr>
            <w:tcW w:type="dxa" w:w="3120"/>
          </w:tcPr>
          <w:p>
            <w:pPr>
              <w:spacing w:after="40" w:line="240" w:lineRule="auto"/>
            </w:pPr>
            <w:r/>
            <w:r>
              <w:rPr>
                <w:rFonts w:ascii="Times New Roman" w:hAnsi="Times New Roman" w:eastAsia="Times New Roman"/>
                <w:b w:val="0"/>
                <w:i w:val="0"/>
                <w:sz w:val="20"/>
              </w:rPr>
              <w:t>Design, sampling, coding</w:t>
            </w:r>
          </w:p>
        </w:tc>
      </w:tr>
      <w:tr>
        <w:tc>
          <w:tcPr>
            <w:tcW w:type="dxa" w:w="3120"/>
          </w:tcPr>
          <w:p>
            <w:pPr>
              <w:spacing w:after="40" w:line="240" w:lineRule="auto"/>
            </w:pPr>
            <w:r/>
            <w:r>
              <w:rPr>
                <w:rFonts w:ascii="Times New Roman" w:hAnsi="Times New Roman" w:eastAsia="Times New Roman"/>
                <w:b w:val="0"/>
                <w:i w:val="0"/>
                <w:sz w:val="20"/>
              </w:rPr>
              <w:t>PL-EMR-TEMPLATES-2023</w:t>
            </w:r>
          </w:p>
        </w:tc>
        <w:tc>
          <w:tcPr>
            <w:tcW w:type="dxa" w:w="3120"/>
          </w:tcPr>
          <w:p>
            <w:pPr>
              <w:spacing w:after="40" w:line="240" w:lineRule="auto"/>
            </w:pPr>
            <w:r/>
            <w:r>
              <w:rPr>
                <w:rFonts w:ascii="Times New Roman" w:hAnsi="Times New Roman" w:eastAsia="Times New Roman"/>
                <w:b w:val="0"/>
                <w:i w:val="0"/>
                <w:sz w:val="20"/>
              </w:rPr>
              <w:t>Eisenhardt / Gioia / Langley</w:t>
            </w:r>
          </w:p>
        </w:tc>
        <w:tc>
          <w:tcPr>
            <w:tcW w:type="dxa" w:w="3120"/>
          </w:tcPr>
          <w:p>
            <w:pPr>
              <w:spacing w:after="40" w:line="240" w:lineRule="auto"/>
            </w:pPr>
            <w:r/>
            <w:r>
              <w:rPr>
                <w:rFonts w:ascii="Times New Roman" w:hAnsi="Times New Roman" w:eastAsia="Times New Roman"/>
                <w:b w:val="0"/>
                <w:i w:val="0"/>
                <w:sz w:val="20"/>
              </w:rPr>
              <w:t>Replacing Fereday &amp; Muir-Cochrane</w:t>
            </w:r>
          </w:p>
        </w:tc>
      </w:tr>
      <w:tr>
        <w:tc>
          <w:tcPr>
            <w:tcW w:type="dxa" w:w="3120"/>
          </w:tcPr>
          <w:p>
            <w:pPr>
              <w:spacing w:after="40" w:line="240" w:lineRule="auto"/>
            </w:pPr>
            <w:r/>
            <w:r>
              <w:rPr>
                <w:rFonts w:ascii="Times New Roman" w:hAnsi="Times New Roman" w:eastAsia="Times New Roman"/>
                <w:b w:val="0"/>
                <w:i w:val="0"/>
                <w:sz w:val="20"/>
              </w:rPr>
              <w:t>PL-ORIGINS-IQ</w:t>
            </w:r>
          </w:p>
        </w:tc>
        <w:tc>
          <w:tcPr>
            <w:tcW w:type="dxa" w:w="3120"/>
          </w:tcPr>
          <w:p>
            <w:pPr>
              <w:spacing w:after="40" w:line="240" w:lineRule="auto"/>
            </w:pPr>
            <w:r/>
            <w:r>
              <w:rPr>
                <w:rFonts w:ascii="Times New Roman" w:hAnsi="Times New Roman" w:eastAsia="Times New Roman"/>
                <w:b w:val="0"/>
                <w:i w:val="0"/>
                <w:sz w:val="20"/>
              </w:rPr>
              <w:t>Origins IQ-01 wording</w:t>
            </w:r>
          </w:p>
        </w:tc>
        <w:tc>
          <w:tcPr>
            <w:tcW w:type="dxa" w:w="3120"/>
          </w:tcPr>
          <w:p>
            <w:pPr>
              <w:spacing w:after="40" w:line="240" w:lineRule="auto"/>
            </w:pPr>
            <w:r/>
            <w:r>
              <w:rPr>
                <w:rFonts w:ascii="Times New Roman" w:hAnsi="Times New Roman" w:eastAsia="Times New Roman"/>
                <w:b w:val="0"/>
                <w:i w:val="0"/>
                <w:sz w:val="20"/>
              </w:rPr>
              <w:t>Live interview</w:t>
            </w:r>
          </w:p>
        </w:tc>
      </w:tr>
      <w:tr>
        <w:tc>
          <w:tcPr>
            <w:tcW w:type="dxa" w:w="3120"/>
          </w:tcPr>
          <w:p>
            <w:pPr>
              <w:spacing w:after="40" w:line="240" w:lineRule="auto"/>
            </w:pPr>
            <w:r/>
            <w:r>
              <w:rPr>
                <w:rFonts w:ascii="Times New Roman" w:hAnsi="Times New Roman" w:eastAsia="Times New Roman"/>
                <w:b w:val="0"/>
                <w:i w:val="0"/>
                <w:sz w:val="20"/>
              </w:rPr>
              <w:t>PL-ORIGINS-N-10-15</w:t>
            </w:r>
          </w:p>
        </w:tc>
        <w:tc>
          <w:tcPr>
            <w:tcW w:type="dxa" w:w="3120"/>
          </w:tcPr>
          <w:p>
            <w:pPr>
              <w:spacing w:after="40" w:line="240" w:lineRule="auto"/>
            </w:pPr>
            <w:r/>
            <w:r>
              <w:rPr>
                <w:rFonts w:ascii="Times New Roman" w:hAnsi="Times New Roman" w:eastAsia="Times New Roman"/>
                <w:b w:val="0"/>
                <w:i w:val="0"/>
                <w:sz w:val="20"/>
              </w:rPr>
              <w:t>Sample range 10–15</w:t>
            </w:r>
          </w:p>
        </w:tc>
        <w:tc>
          <w:tcPr>
            <w:tcW w:type="dxa" w:w="3120"/>
          </w:tcPr>
          <w:p>
            <w:pPr>
              <w:spacing w:after="40" w:line="240" w:lineRule="auto"/>
            </w:pPr>
            <w:r/>
            <w:r>
              <w:rPr>
                <w:rFonts w:ascii="Times New Roman" w:hAnsi="Times New Roman" w:eastAsia="Times New Roman"/>
                <w:b w:val="0"/>
                <w:i w:val="0"/>
                <w:sz w:val="20"/>
              </w:rPr>
              <w:t>Reopening n in the Project Plan</w:t>
            </w:r>
          </w:p>
        </w:tc>
      </w:tr>
    </w:tbl>
    <w:p/>
    <w:p>
      <w:pPr>
        <w:spacing w:after="160" w:before="240" w:line="480" w:lineRule="auto"/>
      </w:pPr>
      <w:r>
        <w:rPr>
          <w:rFonts w:ascii="Times New Roman" w:hAnsi="Times New Roman" w:eastAsia="Times New Roman"/>
          <w:b/>
          <w:i w:val="0"/>
          <w:color w:val="1F3A5F"/>
          <w:sz w:val="32"/>
        </w:rPr>
        <w:t>10. What will not change</w:t>
      </w:r>
    </w:p>
    <w:p>
      <w:pPr>
        <w:spacing w:after="120" w:before="0" w:line="480" w:lineRule="auto"/>
      </w:pPr>
      <w:r>
        <w:rPr>
          <w:rFonts w:ascii="Times New Roman" w:hAnsi="Times New Roman" w:eastAsia="Times New Roman"/>
          <w:b w:val="0"/>
          <w:i w:val="0"/>
          <w:sz w:val="24"/>
        </w:rPr>
        <w:t>Spoken interview wording remains ITDR-GQI-INT-v0.1.1; n = 12; VCST placement on Need only; instructor original Word in source/originals/; phenomenology and confirmatory wording stay out; Delve is not the method.</w:t>
      </w:r>
    </w:p>
    <w:p>
      <w:pPr>
        <w:spacing w:after="160" w:before="240" w:line="480" w:lineRule="auto"/>
      </w:pPr>
      <w:r>
        <w:rPr>
          <w:rFonts w:ascii="Times New Roman" w:hAnsi="Times New Roman" w:eastAsia="Times New Roman"/>
          <w:b/>
          <w:i w:val="0"/>
          <w:color w:val="9A3412"/>
          <w:sz w:val="32"/>
        </w:rPr>
        <w:t>11. Weekly SOP close — 8 September 2026</w:t>
      </w:r>
    </w:p>
    <w:p>
      <w:pPr>
        <w:spacing w:after="120" w:before="0" w:line="480" w:lineRule="auto"/>
      </w:pPr>
      <w:r>
        <w:rPr>
          <w:rFonts w:ascii="Times New Roman" w:hAnsi="Times New Roman" w:eastAsia="Times New Roman"/>
          <w:b w:val="0"/>
          <w:i w:val="0"/>
          <w:sz w:val="24"/>
        </w:rPr>
        <w:t>Offering SOP §3.3 six todos all PASS. Coding had not started, so the nest copy is type=no_change (UL-0007), not a fake Delve export. Shareable memo: downloads/WALKER_Weekly_SOP_Run_2026-09-08.docx.</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40" w:line="240" w:lineRule="auto"/>
            </w:pPr>
            <w:r/>
            <w:r>
              <w:rPr>
                <w:rFonts w:ascii="Times New Roman" w:hAnsi="Times New Roman" w:eastAsia="Times New Roman"/>
                <w:b/>
                <w:i w:val="0"/>
                <w:sz w:val="20"/>
              </w:rPr>
              <w:t>Todo</w:t>
            </w:r>
          </w:p>
        </w:tc>
        <w:tc>
          <w:tcPr>
            <w:tcW w:type="dxa" w:w="3120"/>
          </w:tcPr>
          <w:p>
            <w:pPr>
              <w:spacing w:after="40" w:line="240" w:lineRule="auto"/>
            </w:pPr>
            <w:r/>
            <w:r>
              <w:rPr>
                <w:rFonts w:ascii="Times New Roman" w:hAnsi="Times New Roman" w:eastAsia="Times New Roman"/>
                <w:b/>
                <w:i w:val="0"/>
                <w:sz w:val="20"/>
              </w:rPr>
              <w:t>Result</w:t>
            </w:r>
          </w:p>
        </w:tc>
        <w:tc>
          <w:tcPr>
            <w:tcW w:type="dxa" w:w="3120"/>
          </w:tcPr>
          <w:p>
            <w:pPr>
              <w:spacing w:after="40" w:line="240" w:lineRule="auto"/>
            </w:pPr>
            <w:r/>
            <w:r>
              <w:rPr>
                <w:rFonts w:ascii="Times New Roman" w:hAnsi="Times New Roman" w:eastAsia="Times New Roman"/>
                <w:b/>
                <w:i w:val="0"/>
                <w:sz w:val="20"/>
              </w:rPr>
              <w:t>Evidence</w:t>
            </w:r>
          </w:p>
        </w:tc>
      </w:tr>
      <w:tr>
        <w:tc>
          <w:tcPr>
            <w:tcW w:type="dxa" w:w="3120"/>
          </w:tcPr>
          <w:p>
            <w:pPr>
              <w:spacing w:after="40" w:line="240" w:lineRule="auto"/>
            </w:pPr>
            <w:r/>
            <w:r>
              <w:rPr>
                <w:rFonts w:ascii="Times New Roman" w:hAnsi="Times New Roman" w:eastAsia="Times New Roman"/>
                <w:b w:val="0"/>
                <w:i w:val="0"/>
                <w:sz w:val="20"/>
              </w:rPr>
              <w:t>W1 Change log then lifecycle</w:t>
            </w:r>
          </w:p>
        </w:tc>
        <w:tc>
          <w:tcPr>
            <w:tcW w:type="dxa" w:w="3120"/>
          </w:tcPr>
          <w:p>
            <w:pPr>
              <w:spacing w:after="40" w:line="240" w:lineRule="auto"/>
            </w:pPr>
            <w:r/>
            <w:r>
              <w:rPr>
                <w:rFonts w:ascii="Times New Roman" w:hAnsi="Times New Roman" w:eastAsia="Times New Roman"/>
                <w:b w:val="0"/>
                <w:i w:val="0"/>
                <w:sz w:val="20"/>
              </w:rPr>
              <w:t>PASS</w:t>
            </w:r>
          </w:p>
        </w:tc>
        <w:tc>
          <w:tcPr>
            <w:tcW w:type="dxa" w:w="3120"/>
          </w:tcPr>
          <w:p>
            <w:pPr>
              <w:spacing w:after="40" w:line="240" w:lineRule="auto"/>
            </w:pPr>
            <w:r/>
            <w:r>
              <w:rPr>
                <w:rFonts w:ascii="Times New Roman" w:hAnsi="Times New Roman" w:eastAsia="Times New Roman"/>
                <w:b w:val="0"/>
                <w:i w:val="0"/>
                <w:sz w:val="20"/>
              </w:rPr>
              <w:t>CL-0013/0014; LC-01–04 active/drafted; LC-05–11 not started</w:t>
            </w:r>
          </w:p>
        </w:tc>
      </w:tr>
      <w:tr>
        <w:tc>
          <w:tcPr>
            <w:tcW w:type="dxa" w:w="3120"/>
          </w:tcPr>
          <w:p>
            <w:pPr>
              <w:spacing w:after="40" w:line="240" w:lineRule="auto"/>
            </w:pPr>
            <w:r/>
            <w:r>
              <w:rPr>
                <w:rFonts w:ascii="Times New Roman" w:hAnsi="Times New Roman" w:eastAsia="Times New Roman"/>
                <w:b w:val="0"/>
                <w:i w:val="0"/>
                <w:sz w:val="20"/>
              </w:rPr>
              <w:t>W2 CH3 locks</w:t>
            </w:r>
          </w:p>
        </w:tc>
        <w:tc>
          <w:tcPr>
            <w:tcW w:type="dxa" w:w="3120"/>
          </w:tcPr>
          <w:p>
            <w:pPr>
              <w:spacing w:after="40" w:line="240" w:lineRule="auto"/>
            </w:pPr>
            <w:r/>
            <w:r>
              <w:rPr>
                <w:rFonts w:ascii="Times New Roman" w:hAnsi="Times New Roman" w:eastAsia="Times New Roman"/>
                <w:b w:val="0"/>
                <w:i w:val="0"/>
                <w:sz w:val="20"/>
              </w:rPr>
              <w:t>PASS</w:t>
            </w:r>
          </w:p>
        </w:tc>
        <w:tc>
          <w:tcPr>
            <w:tcW w:type="dxa" w:w="3120"/>
          </w:tcPr>
          <w:p>
            <w:pPr>
              <w:spacing w:after="40" w:line="240" w:lineRule="auto"/>
            </w:pPr>
            <w:r/>
            <w:r>
              <w:rPr>
                <w:rFonts w:ascii="Times New Roman" w:hAnsi="Times New Roman" w:eastAsia="Times New Roman"/>
                <w:b w:val="0"/>
                <w:i w:val="0"/>
                <w:sz w:val="20"/>
              </w:rPr>
              <w:t>n = 12; ITDR-GQI-INT-v0.1.1; VCST Need only</w:t>
            </w:r>
          </w:p>
        </w:tc>
      </w:tr>
      <w:tr>
        <w:tc>
          <w:tcPr>
            <w:tcW w:type="dxa" w:w="3120"/>
          </w:tcPr>
          <w:p>
            <w:pPr>
              <w:spacing w:after="40" w:line="240" w:lineRule="auto"/>
            </w:pPr>
            <w:r/>
            <w:r>
              <w:rPr>
                <w:rFonts w:ascii="Times New Roman" w:hAnsi="Times New Roman" w:eastAsia="Times New Roman"/>
                <w:b w:val="0"/>
                <w:i w:val="0"/>
                <w:sz w:val="20"/>
              </w:rPr>
              <w:t>W3 Need OV vs markdown</w:t>
            </w:r>
          </w:p>
        </w:tc>
        <w:tc>
          <w:tcPr>
            <w:tcW w:type="dxa" w:w="3120"/>
          </w:tcPr>
          <w:p>
            <w:pPr>
              <w:spacing w:after="40" w:line="240" w:lineRule="auto"/>
            </w:pPr>
            <w:r/>
            <w:r>
              <w:rPr>
                <w:rFonts w:ascii="Times New Roman" w:hAnsi="Times New Roman" w:eastAsia="Times New Roman"/>
                <w:b w:val="0"/>
                <w:i w:val="0"/>
                <w:sz w:val="20"/>
              </w:rPr>
              <w:t>PASS</w:t>
            </w:r>
          </w:p>
        </w:tc>
        <w:tc>
          <w:tcPr>
            <w:tcW w:type="dxa" w:w="3120"/>
          </w:tcPr>
          <w:p>
            <w:pPr>
              <w:spacing w:after="40" w:line="240" w:lineRule="auto"/>
            </w:pPr>
            <w:r/>
            <w:r>
              <w:rPr>
                <w:rFonts w:ascii="Times New Roman" w:hAnsi="Times New Roman" w:eastAsia="Times New Roman"/>
                <w:b w:val="0"/>
                <w:i w:val="0"/>
                <w:sz w:val="20"/>
              </w:rPr>
              <w:t>N-01–N-09 match chapter-i; N-10 confirm</w:t>
            </w:r>
          </w:p>
        </w:tc>
      </w:tr>
      <w:tr>
        <w:tc>
          <w:tcPr>
            <w:tcW w:type="dxa" w:w="3120"/>
          </w:tcPr>
          <w:p>
            <w:pPr>
              <w:spacing w:after="40" w:line="240" w:lineRule="auto"/>
            </w:pPr>
            <w:r/>
            <w:r>
              <w:rPr>
                <w:rFonts w:ascii="Times New Roman" w:hAnsi="Times New Roman" w:eastAsia="Times New Roman"/>
                <w:b w:val="0"/>
                <w:i w:val="0"/>
                <w:sz w:val="20"/>
              </w:rPr>
              <w:t>W4 Interval or no_change</w:t>
            </w:r>
          </w:p>
        </w:tc>
        <w:tc>
          <w:tcPr>
            <w:tcW w:type="dxa" w:w="3120"/>
          </w:tcPr>
          <w:p>
            <w:pPr>
              <w:spacing w:after="40" w:line="240" w:lineRule="auto"/>
            </w:pPr>
            <w:r/>
            <w:r>
              <w:rPr>
                <w:rFonts w:ascii="Times New Roman" w:hAnsi="Times New Roman" w:eastAsia="Times New Roman"/>
                <w:b w:val="0"/>
                <w:i w:val="0"/>
                <w:sz w:val="20"/>
              </w:rPr>
              <w:t>PASS</w:t>
            </w:r>
          </w:p>
        </w:tc>
        <w:tc>
          <w:tcPr>
            <w:tcW w:type="dxa" w:w="3120"/>
          </w:tcPr>
          <w:p>
            <w:pPr>
              <w:spacing w:after="40" w:line="240" w:lineRule="auto"/>
            </w:pPr>
            <w:r/>
            <w:r>
              <w:rPr>
                <w:rFonts w:ascii="Times New Roman" w:hAnsi="Times New Roman" w:eastAsia="Times New Roman"/>
                <w:b w:val="0"/>
                <w:i w:val="0"/>
                <w:sz w:val="20"/>
              </w:rPr>
              <w:t>UL-0007; 2026-09-08-weekly/</w:t>
            </w:r>
          </w:p>
        </w:tc>
      </w:tr>
      <w:tr>
        <w:tc>
          <w:tcPr>
            <w:tcW w:type="dxa" w:w="3120"/>
          </w:tcPr>
          <w:p>
            <w:pPr>
              <w:spacing w:after="40" w:line="240" w:lineRule="auto"/>
            </w:pPr>
            <w:r/>
            <w:r>
              <w:rPr>
                <w:rFonts w:ascii="Times New Roman" w:hAnsi="Times New Roman" w:eastAsia="Times New Roman"/>
                <w:b w:val="0"/>
                <w:i w:val="0"/>
                <w:sz w:val="20"/>
              </w:rPr>
              <w:t>W5 Share one artifact</w:t>
            </w:r>
          </w:p>
        </w:tc>
        <w:tc>
          <w:tcPr>
            <w:tcW w:type="dxa" w:w="3120"/>
          </w:tcPr>
          <w:p>
            <w:pPr>
              <w:spacing w:after="40" w:line="240" w:lineRule="auto"/>
            </w:pPr>
            <w:r/>
            <w:r>
              <w:rPr>
                <w:rFonts w:ascii="Times New Roman" w:hAnsi="Times New Roman" w:eastAsia="Times New Roman"/>
                <w:b w:val="0"/>
                <w:i w:val="0"/>
                <w:sz w:val="20"/>
              </w:rPr>
              <w:t>PASS</w:t>
            </w:r>
          </w:p>
        </w:tc>
        <w:tc>
          <w:tcPr>
            <w:tcW w:type="dxa" w:w="3120"/>
          </w:tcPr>
          <w:p>
            <w:pPr>
              <w:spacing w:after="40" w:line="240" w:lineRule="auto"/>
            </w:pPr>
            <w:r/>
            <w:r>
              <w:rPr>
                <w:rFonts w:ascii="Times New Roman" w:hAnsi="Times New Roman" w:eastAsia="Times New Roman"/>
                <w:b w:val="0"/>
                <w:i w:val="0"/>
                <w:sz w:val="20"/>
              </w:rPr>
              <w:t>Weekly SOP run Word</w:t>
            </w:r>
          </w:p>
        </w:tc>
      </w:tr>
      <w:tr>
        <w:tc>
          <w:tcPr>
            <w:tcW w:type="dxa" w:w="3120"/>
          </w:tcPr>
          <w:p>
            <w:pPr>
              <w:spacing w:after="40" w:line="240" w:lineRule="auto"/>
            </w:pPr>
            <w:r/>
            <w:r>
              <w:rPr>
                <w:rFonts w:ascii="Times New Roman" w:hAnsi="Times New Roman" w:eastAsia="Times New Roman"/>
                <w:b w:val="0"/>
                <w:i w:val="0"/>
                <w:sz w:val="20"/>
              </w:rPr>
              <w:t>W6 QUAL Example4-1 map</w:t>
            </w:r>
          </w:p>
        </w:tc>
        <w:tc>
          <w:tcPr>
            <w:tcW w:type="dxa" w:w="3120"/>
          </w:tcPr>
          <w:p>
            <w:pPr>
              <w:spacing w:after="40" w:line="240" w:lineRule="auto"/>
            </w:pPr>
            <w:r/>
            <w:r>
              <w:rPr>
                <w:rFonts w:ascii="Times New Roman" w:hAnsi="Times New Roman" w:eastAsia="Times New Roman"/>
                <w:b w:val="0"/>
                <w:i w:val="0"/>
                <w:sz w:val="20"/>
              </w:rPr>
              <w:t>PASS</w:t>
            </w:r>
          </w:p>
        </w:tc>
        <w:tc>
          <w:tcPr>
            <w:tcW w:type="dxa" w:w="3120"/>
          </w:tcPr>
          <w:p>
            <w:pPr>
              <w:spacing w:after="40" w:line="240" w:lineRule="auto"/>
            </w:pPr>
            <w:r/>
            <w:r>
              <w:rPr>
                <w:rFonts w:ascii="Times New Roman" w:hAnsi="Times New Roman" w:eastAsia="Times New Roman"/>
                <w:b w:val="0"/>
                <w:i w:val="0"/>
                <w:sz w:val="20"/>
              </w:rPr>
              <w:t>16_QUAL_MAP; IRB/collection/analysis not started</w:t>
            </w:r>
          </w:p>
        </w:tc>
      </w:tr>
    </w:tbl>
    <w:p/>
    <w:p>
      <w:pPr>
        <w:spacing w:after="120" w:before="0" w:line="480" w:lineRule="auto"/>
      </w:pPr>
      <w:r>
        <w:rPr>
          <w:rFonts w:ascii="Times New Roman" w:hAnsi="Times New Roman" w:eastAsia="Times New Roman"/>
          <w:b/>
          <w:i w:val="0"/>
          <w:color w:val="9A3412"/>
          <w:sz w:val="24"/>
        </w:rPr>
        <w:t xml:space="preserve">Tomorrow’s three tasks: </w:t>
      </w:r>
      <w:r>
        <w:rPr>
          <w:rFonts w:ascii="Times New Roman" w:hAnsi="Times New Roman" w:eastAsia="Times New Roman"/>
          <w:b w:val="0"/>
          <w:i w:val="0"/>
          <w:sz w:val="24"/>
        </w:rPr>
        <w:t>(1) paste the four Need paragraphs into the courseroom Alignment/Need node without stacking a second set; (2) add or verify one Chapter II REF- row with allowed-use; (3) start the IRB packet — no recruitment.</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i/>
        <w:sz w:val="20"/>
      </w:rPr>
      <w:t>Walker — RSCH-V8927 / BMGT-8044 — Tracking Pack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