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eastAsia="Times New Roman"/>
          <w:b/>
          <w:i w:val="0"/>
          <w:sz w:val="24"/>
        </w:rPr>
        <w:t>Max D. Walker</w:t>
      </w:r>
    </w:p>
    <w:p>
      <w:pPr>
        <w:spacing w:after="0" w:before="0" w:line="480" w:lineRule="auto"/>
        <w:jc w:val="center"/>
      </w:pPr>
      <w:r>
        <w:rPr>
          <w:rFonts w:ascii="Times New Roman" w:hAnsi="Times New Roman" w:eastAsia="Times New Roman"/>
          <w:b w:val="0"/>
          <w:i w:val="0"/>
          <w:sz w:val="24"/>
        </w:rPr>
        <w:t>Capella University</w:t>
      </w:r>
    </w:p>
    <w:p>
      <w:pPr>
        <w:spacing w:after="0" w:before="0" w:line="480" w:lineRule="auto"/>
        <w:jc w:val="center"/>
      </w:pPr>
      <w:r>
        <w:rPr>
          <w:rFonts w:ascii="Times New Roman" w:hAnsi="Times New Roman" w:eastAsia="Times New Roman"/>
          <w:b w:val="0"/>
          <w:i w:val="0"/>
          <w:sz w:val="24"/>
        </w:rPr>
        <w:t>RSCH-V8927 Doctoral Project Development — Framework Development</w:t>
      </w:r>
    </w:p>
    <w:p>
      <w:pPr>
        <w:spacing w:after="240" w:before="0" w:line="480" w:lineRule="auto"/>
        <w:jc w:val="center"/>
      </w:pPr>
      <w:r>
        <w:rPr>
          <w:rFonts w:ascii="Times New Roman" w:hAnsi="Times New Roman" w:eastAsia="Times New Roman"/>
          <w:b w:val="0"/>
          <w:i/>
          <w:sz w:val="24"/>
        </w:rPr>
        <w:t>Filled Chapter III operations manual — sample locked at n = 12</w:t>
      </w:r>
    </w:p>
    <w:p>
      <w:pPr>
        <w:spacing w:after="360" w:before="0" w:line="480" w:lineRule="auto"/>
        <w:jc w:val="center"/>
      </w:pPr>
      <w:r>
        <w:rPr>
          <w:rFonts w:ascii="Times New Roman" w:hAnsi="Times New Roman" w:eastAsia="Times New Roman"/>
          <w:b/>
          <w:i w:val="0"/>
          <w:color w:val="1F3A5F"/>
          <w:sz w:val="32"/>
        </w:rPr>
        <w:t>AMALGAMATION Weeks 8–10: Step-by-Step SOP for Qualitative Data Analysis</w:t>
      </w:r>
    </w:p>
    <w:p>
      <w:pPr>
        <w:spacing w:after="240" w:before="0" w:line="480" w:lineRule="auto"/>
      </w:pPr>
      <w:r>
        <w:rPr>
          <w:rFonts w:ascii="Times New Roman" w:hAnsi="Times New Roman" w:eastAsia="Times New Roman"/>
          <w:b w:val="0"/>
          <w:i/>
          <w:sz w:val="24"/>
        </w:rPr>
        <w:t>Items marked NEW or HIGHLIGHT are new written efforts that were not present as steps in the prior data-collection draft. Paste Section 9 of the revision packet into the Project Plan. Use the interview protocol and artifact pipeline as appendices.</w:t>
      </w:r>
    </w:p>
    <w:p>
      <w:pPr>
        <w:spacing w:after="120" w:before="0" w:line="480" w:lineRule="auto"/>
      </w:pPr>
      <w:r>
        <w:rPr>
          <w:rFonts w:ascii="Times New Roman" w:hAnsi="Times New Roman" w:eastAsia="Times New Roman"/>
          <w:b/>
          <w:i w:val="0"/>
          <w:sz w:val="24"/>
        </w:rPr>
        <w:t>Course:</w:t>
      </w:r>
      <w:r>
        <w:rPr>
          <w:rFonts w:ascii="Times New Roman" w:hAnsi="Times New Roman" w:eastAsia="Times New Roman"/>
          <w:b w:val="0"/>
          <w:i w:val="0"/>
          <w:sz w:val="24"/>
        </w:rPr>
        <w:t xml:space="preserve"> BMGT-8044 / RSCH-V8927 Doctoral Project Development — Framework Development</w:t>
      </w:r>
    </w:p>
    <w:p>
      <w:pPr>
        <w:spacing w:after="120" w:before="0" w:line="480" w:lineRule="auto"/>
      </w:pPr>
      <w:r>
        <w:rPr>
          <w:rFonts w:ascii="Times New Roman" w:hAnsi="Times New Roman" w:eastAsia="Times New Roman"/>
          <w:b/>
          <w:i w:val="0"/>
          <w:sz w:val="24"/>
        </w:rPr>
        <w:t>Study:</w:t>
      </w:r>
      <w:r>
        <w:rPr>
          <w:rFonts w:ascii="Times New Roman" w:hAnsi="Times New Roman" w:eastAsia="Times New Roman"/>
          <w:b w:val="0"/>
          <w:i w:val="0"/>
          <w:sz w:val="24"/>
        </w:rPr>
        <w:t xml:space="preserve"> Generic qualitative inquiry of U.S. SME IT and network managers’ IT disaster-recovery governance on external platforms (ITDRPaaS)</w:t>
      </w:r>
    </w:p>
    <w:p>
      <w:pPr>
        <w:spacing w:after="120" w:before="0" w:line="480" w:lineRule="auto"/>
      </w:pPr>
      <w:r>
        <w:rPr>
          <w:rFonts w:ascii="Times New Roman" w:hAnsi="Times New Roman" w:eastAsia="Times New Roman"/>
          <w:b/>
          <w:i w:val="0"/>
          <w:sz w:val="24"/>
        </w:rPr>
        <w:t>Instrument:</w:t>
      </w:r>
      <w:r>
        <w:rPr>
          <w:rFonts w:ascii="Times New Roman" w:hAnsi="Times New Roman" w:eastAsia="Times New Roman"/>
          <w:b w:val="0"/>
          <w:i w:val="0"/>
          <w:sz w:val="24"/>
        </w:rPr>
        <w:t xml:space="preserve"> </w:t>
      </w:r>
      <w:r>
        <w:rPr>
          <w:rFonts w:ascii="Times New Roman" w:hAnsi="Times New Roman" w:eastAsia="Times New Roman"/>
          <w:i/>
          <w:sz w:val="24"/>
        </w:rPr>
        <w:t>ITDR-GQI-INT-v0.1.1</w:t>
      </w:r>
      <w:r>
        <w:rPr>
          <w:rFonts w:ascii="Times New Roman" w:hAnsi="Times New Roman" w:eastAsia="Times New Roman"/>
          <w:b w:val="0"/>
          <w:i w:val="0"/>
          <w:sz w:val="24"/>
        </w:rPr>
        <w:t xml:space="preserve"> ([gqi-semistructured-interview-guide.md](gqi-semistructured-interview-guide.md))</w:t>
      </w:r>
    </w:p>
    <w:p>
      <w:pPr>
        <w:spacing w:after="120" w:before="0" w:line="480" w:lineRule="auto"/>
      </w:pPr>
      <w:r>
        <w:rPr>
          <w:rFonts w:ascii="Times New Roman" w:hAnsi="Times New Roman" w:eastAsia="Times New Roman"/>
          <w:b/>
          <w:i w:val="0"/>
          <w:sz w:val="24"/>
        </w:rPr>
        <w:t>Analytic method:</w:t>
      </w:r>
      <w:r>
        <w:rPr>
          <w:rFonts w:ascii="Times New Roman" w:hAnsi="Times New Roman" w:eastAsia="Times New Roman"/>
          <w:b w:val="0"/>
          <w:i w:val="0"/>
          <w:sz w:val="24"/>
        </w:rPr>
        <w:t xml:space="preserve"> Hybrid deductive–inductive codebook thematic analysis (Fereday &amp; Muir-Cochrane, 2006)</w:t>
      </w:r>
    </w:p>
    <w:p>
      <w:pPr>
        <w:spacing w:after="120" w:before="0" w:line="480" w:lineRule="auto"/>
      </w:pPr>
      <w:r>
        <w:rPr>
          <w:rFonts w:ascii="Times New Roman" w:hAnsi="Times New Roman" w:eastAsia="Times New Roman"/>
          <w:b/>
          <w:i w:val="0"/>
          <w:sz w:val="24"/>
        </w:rPr>
        <w:t>CAQDAS (support only):</w:t>
      </w:r>
      <w:r>
        <w:rPr>
          <w:rFonts w:ascii="Times New Roman" w:hAnsi="Times New Roman" w:eastAsia="Times New Roman"/>
          <w:b w:val="0"/>
          <w:i w:val="0"/>
          <w:sz w:val="24"/>
        </w:rPr>
        <w:t xml:space="preserve"> Delve (Delve, Ho, &amp; Limpaecher, n.d.)</w:t>
      </w:r>
    </w:p>
    <w:p>
      <w:pPr>
        <w:spacing w:after="120" w:before="0" w:line="480" w:lineRule="auto"/>
      </w:pPr>
      <w:r>
        <w:rPr>
          <w:rFonts w:ascii="Times New Roman" w:hAnsi="Times New Roman" w:eastAsia="Times New Roman"/>
          <w:b/>
          <w:i w:val="0"/>
          <w:sz w:val="24"/>
        </w:rPr>
        <w:t>Sample (locked):</w:t>
      </w:r>
      <w:r>
        <w:rPr>
          <w:rFonts w:ascii="Times New Roman" w:hAnsi="Times New Roman" w:eastAsia="Times New Roman"/>
          <w:b w:val="0"/>
          <w:i w:val="0"/>
          <w:sz w:val="24"/>
        </w:rPr>
        <w:t xml:space="preserve"> </w:t>
      </w:r>
      <w:r>
        <w:rPr>
          <w:rFonts w:ascii="Times New Roman" w:hAnsi="Times New Roman" w:eastAsia="Times New Roman"/>
          <w:b/>
          <w:i w:val="0"/>
          <w:sz w:val="24"/>
        </w:rPr>
        <w:t>n = 12</w:t>
      </w:r>
      <w:r>
        <w:rPr>
          <w:rFonts w:ascii="Times New Roman" w:hAnsi="Times New Roman" w:eastAsia="Times New Roman"/>
          <w:b w:val="0"/>
          <w:i w:val="0"/>
          <w:sz w:val="24"/>
        </w:rPr>
        <w:t xml:space="preserve"> participants</w:t>
      </w:r>
    </w:p>
    <w:p>
      <w:pPr>
        <w:spacing w:after="120" w:before="0" w:line="480" w:lineRule="auto"/>
      </w:pPr>
      <w:r>
        <w:rPr>
          <w:rFonts w:ascii="Times New Roman" w:hAnsi="Times New Roman" w:eastAsia="Times New Roman"/>
          <w:b/>
          <w:i w:val="0"/>
          <w:sz w:val="24"/>
        </w:rPr>
        <w:t>Companions:</w:t>
      </w:r>
      <w:r>
        <w:rPr>
          <w:rFonts w:ascii="Times New Roman" w:hAnsi="Times New Roman" w:eastAsia="Times New Roman"/>
          <w:b w:val="0"/>
          <w:i w:val="0"/>
          <w:sz w:val="24"/>
        </w:rPr>
        <w:t xml:space="preserve"> [chapter-iii-methodology.md](chapter-iii-methodology.md) · [collection-analysis-revision-packet.md](collection-analysis-revision-packet.md) · [symbols-definitions-refs.md](symbols-definitions-refs.md)</w:t>
      </w:r>
    </w:p>
    <w:p>
      <w:pPr>
        <w:spacing w:after="120" w:before="0" w:line="480" w:lineRule="auto"/>
      </w:pPr>
      <w:r>
        <w:rPr>
          <w:rFonts w:ascii="Times New Roman" w:hAnsi="Times New Roman" w:eastAsia="Times New Roman"/>
          <w:b/>
          <w:i w:val="0"/>
          <w:sz w:val="24"/>
        </w:rPr>
        <w:t>How this file was filled.</w:t>
      </w:r>
      <w:r>
        <w:rPr>
          <w:rFonts w:ascii="Times New Roman" w:hAnsi="Times New Roman" w:eastAsia="Times New Roman"/>
          <w:b w:val="0"/>
          <w:i w:val="0"/>
          <w:sz w:val="24"/>
        </w:rPr>
        <w:t xml:space="preserve"> The Weeks 8–10 amalgamation template supplied a five-phase analysis SOP, a Chapter III construction blueprint, and placeholder Chapter III drafts. Those placeholders have been replaced with this study’s locked procedures. Bracketed generic Insert-placeholders, NVivo/MAXQDA as the method, reflexive thematic analysis as the method, sampling by Mitchell types, a 12-to-20 sample range, and lived-experience-as-method language are not used.</w:t>
      </w:r>
    </w:p>
    <w:p>
      <w:pPr>
        <w:spacing w:after="120" w:before="0" w:line="480" w:lineRule="auto"/>
      </w:pPr>
      <w:r>
        <w:rPr>
          <w:rFonts w:ascii="Times New Roman" w:hAnsi="Times New Roman" w:eastAsia="Times New Roman"/>
          <w:b/>
          <w:i w:val="0"/>
          <w:sz w:val="24"/>
        </w:rPr>
        <w:t>Do not write:</w:t>
      </w:r>
      <w:r>
        <w:rPr>
          <w:rFonts w:ascii="Times New Roman" w:hAnsi="Times New Roman" w:eastAsia="Times New Roman"/>
          <w:b w:val="0"/>
          <w:i w:val="0"/>
          <w:sz w:val="24"/>
        </w:rPr>
        <w:t xml:space="preserve"> “Data will be analyzed using Delve.” Name the method first, then name Delve as storage and audit support.</w:t>
      </w:r>
    </w:p>
    <w:p>
      <w:pPr>
        <w:spacing w:after="160" w:before="240" w:line="480" w:lineRule="auto"/>
      </w:pPr>
      <w:r>
        <w:rPr>
          <w:rFonts w:ascii="Times New Roman" w:hAnsi="Times New Roman" w:eastAsia="Times New Roman"/>
          <w:b/>
          <w:i w:val="0"/>
          <w:color w:val="1F3A5F"/>
          <w:sz w:val="28"/>
        </w:rPr>
        <w:t>Detailed summary (what this SOP locks)</w:t>
      </w:r>
    </w:p>
    <w:p>
      <w:pPr>
        <w:spacing w:after="120" w:before="0" w:line="480" w:lineRule="auto"/>
      </w:pPr>
      <w:r>
        <w:rPr>
          <w:rFonts w:ascii="Times New Roman" w:hAnsi="Times New Roman" w:eastAsia="Times New Roman"/>
          <w:b w:val="0"/>
          <w:i w:val="0"/>
          <w:sz w:val="24"/>
        </w:rPr>
        <w:t>This SOP is the paste-ready operations manual for Chapter III sections 3.1–3.11. It converts the amalgamation template into study-specific steps that a second reader can audit.</w:t>
      </w:r>
    </w:p>
    <w:p>
      <w:pPr>
        <w:pStyle w:val="ListNumber"/>
        <w:spacing w:line="480" w:lineRule="auto"/>
      </w:pPr>
      <w:r>
        <w:rPr>
          <w:rFonts w:ascii="Times New Roman" w:hAnsi="Times New Roman" w:eastAsia="Times New Roman"/>
          <w:b/>
          <w:i w:val="0"/>
          <w:sz w:val="24"/>
        </w:rPr>
        <w:t>Design.</w:t>
      </w:r>
      <w:r>
        <w:rPr>
          <w:rFonts w:ascii="Times New Roman" w:hAnsi="Times New Roman" w:eastAsia="Times New Roman"/>
          <w:b w:val="0"/>
          <w:i w:val="0"/>
          <w:sz w:val="24"/>
        </w:rPr>
        <w:t xml:space="preserve"> Generic qualitative inquiry (Caelli et al., 2003; Kahlke, 2014; Percy et al., 2015) using critical-incident interviews (Flanagan, 1954; Chell, 2004; Butterfield et al., 2005). The object of study is a manager’s account of one named ITDRPaaS recovery or test event, not the essence of a lived experience.</w:t>
      </w:r>
    </w:p>
    <w:p>
      <w:pPr>
        <w:pStyle w:val="ListNumber"/>
        <w:spacing w:line="480" w:lineRule="auto"/>
      </w:pPr>
      <w:r>
        <w:rPr>
          <w:rFonts w:ascii="Times New Roman" w:hAnsi="Times New Roman" w:eastAsia="Times New Roman"/>
          <w:b/>
          <w:i w:val="0"/>
          <w:sz w:val="24"/>
        </w:rPr>
        <w:t>Questions.</w:t>
      </w:r>
      <w:r>
        <w:rPr>
          <w:rFonts w:ascii="Times New Roman" w:hAnsi="Times New Roman" w:eastAsia="Times New Roman"/>
          <w:b w:val="0"/>
          <w:i w:val="0"/>
          <w:sz w:val="24"/>
        </w:rPr>
        <w:t xml:space="preserve"> Implied </w:t>
      </w:r>
      <w:r>
        <w:rPr>
          <w:rFonts w:ascii="Times New Roman" w:hAnsi="Times New Roman" w:eastAsia="Times New Roman"/>
          <w:b/>
          <w:i w:val="0"/>
          <w:sz w:val="24"/>
        </w:rPr>
        <w:t>PQ1</w:t>
      </w:r>
      <w:r>
        <w:rPr>
          <w:rFonts w:ascii="Times New Roman" w:hAnsi="Times New Roman" w:eastAsia="Times New Roman"/>
          <w:b w:val="0"/>
          <w:i w:val="0"/>
          <w:sz w:val="24"/>
        </w:rPr>
        <w:t xml:space="preserve"> (stakeholder-claim management and salience shifts) and </w:t>
      </w:r>
      <w:r>
        <w:rPr>
          <w:rFonts w:ascii="Times New Roman" w:hAnsi="Times New Roman" w:eastAsia="Times New Roman"/>
          <w:b/>
          <w:i w:val="0"/>
          <w:sz w:val="24"/>
        </w:rPr>
        <w:t>PQ2</w:t>
      </w:r>
      <w:r>
        <w:rPr>
          <w:rFonts w:ascii="Times New Roman" w:hAnsi="Times New Roman" w:eastAsia="Times New Roman"/>
          <w:b w:val="0"/>
          <w:i w:val="0"/>
          <w:sz w:val="24"/>
        </w:rPr>
        <w:t xml:space="preserve"> (enactment as decision rights, escalation, and recoverability proof). Official RQ wording replaces those labels when locked; the unit of analysis does not change.</w:t>
      </w:r>
    </w:p>
    <w:p>
      <w:pPr>
        <w:pStyle w:val="ListNumber"/>
        <w:spacing w:line="480" w:lineRule="auto"/>
      </w:pPr>
      <w:r>
        <w:rPr>
          <w:rFonts w:ascii="Times New Roman" w:hAnsi="Times New Roman" w:eastAsia="Times New Roman"/>
          <w:b/>
          <w:i w:val="0"/>
          <w:sz w:val="24"/>
        </w:rPr>
        <w:t>Framework role.</w:t>
      </w:r>
      <w:r>
        <w:rPr>
          <w:rFonts w:ascii="Times New Roman" w:hAnsi="Times New Roman" w:eastAsia="Times New Roman"/>
          <w:b w:val="0"/>
          <w:i w:val="0"/>
          <w:sz w:val="24"/>
        </w:rPr>
        <w:t xml:space="preserve"> Mitchell et al. (1997) power, legitimacy, and urgency are sensitizing probes. They are not sampling screens, not spoken question stems, and not Chapter IV theme titles. Leverage is the enacted combination of those attributes in the named incident. It is not a fourth salience attribute.</w:t>
      </w:r>
    </w:p>
    <w:p>
      <w:pPr>
        <w:pStyle w:val="ListNumber"/>
        <w:spacing w:line="480" w:lineRule="auto"/>
      </w:pPr>
      <w:r>
        <w:rPr>
          <w:rFonts w:ascii="Times New Roman" w:hAnsi="Times New Roman" w:eastAsia="Times New Roman"/>
          <w:b/>
          <w:i w:val="0"/>
          <w:sz w:val="24"/>
        </w:rPr>
        <w:t>Sample (locked).</w:t>
      </w:r>
      <w:r>
        <w:rPr>
          <w:rFonts w:ascii="Times New Roman" w:hAnsi="Times New Roman" w:eastAsia="Times New Roman"/>
          <w:b w:val="0"/>
          <w:i w:val="0"/>
          <w:sz w:val="24"/>
        </w:rPr>
        <w:t xml:space="preserve"> Criterion-based purposive sampling of 12 U.S. SME IT, network, systems, infrastructure, or operations managers (Percy et al., 2015). Firm size is 10–200 personnel. Inclusion requires one qualifying event in 36 months on an external recovery platform. Vendors-only and executives with no operational recovery role are excluded. Adequacy is justified by information power (Malterud et al., 2016), not by statistical power and not by a claim that the twelfth interview saturates the gap (Naeem et al., 2024).</w:t>
      </w:r>
    </w:p>
    <w:p>
      <w:pPr>
        <w:pStyle w:val="ListNumber"/>
        <w:spacing w:line="480" w:lineRule="auto"/>
      </w:pPr>
      <w:r>
        <w:rPr>
          <w:rFonts w:ascii="Times New Roman" w:hAnsi="Times New Roman" w:eastAsia="Times New Roman"/>
          <w:b/>
          <w:i w:val="0"/>
          <w:sz w:val="24"/>
        </w:rPr>
        <w:t>Collection.</w:t>
      </w:r>
      <w:r>
        <w:rPr>
          <w:rFonts w:ascii="Times New Roman" w:hAnsi="Times New Roman" w:eastAsia="Times New Roman"/>
          <w:b w:val="0"/>
          <w:i w:val="0"/>
          <w:sz w:val="24"/>
        </w:rPr>
        <w:t xml:space="preserve"> One 60–75 minute recorded video interview per participant, instrument </w:t>
      </w:r>
      <w:r>
        <w:rPr>
          <w:rFonts w:ascii="Times New Roman" w:hAnsi="Times New Roman" w:eastAsia="Times New Roman"/>
          <w:i/>
          <w:sz w:val="24"/>
        </w:rPr>
        <w:t>ITDR-GQI-INT-v0.1.1</w:t>
      </w:r>
      <w:r>
        <w:rPr>
          <w:rFonts w:ascii="Times New Roman" w:hAnsi="Times New Roman" w:eastAsia="Times New Roman"/>
          <w:b w:val="0"/>
          <w:i w:val="0"/>
          <w:sz w:val="24"/>
        </w:rPr>
        <w:t>, plus optional artifact Paths A/B/C.</w:t>
      </w:r>
    </w:p>
    <w:p>
      <w:pPr>
        <w:pStyle w:val="ListNumber"/>
        <w:spacing w:line="480" w:lineRule="auto"/>
      </w:pPr>
      <w:r>
        <w:rPr>
          <w:rFonts w:ascii="Times New Roman" w:hAnsi="Times New Roman" w:eastAsia="Times New Roman"/>
          <w:b/>
          <w:i w:val="0"/>
          <w:sz w:val="24"/>
        </w:rPr>
        <w:t>Analysis.</w:t>
      </w:r>
      <w:r>
        <w:rPr>
          <w:rFonts w:ascii="Times New Roman" w:hAnsi="Times New Roman" w:eastAsia="Times New Roman"/>
          <w:b w:val="0"/>
          <w:i w:val="0"/>
          <w:sz w:val="24"/>
        </w:rPr>
        <w:t xml:space="preserve"> Hybrid codebook thematic analysis (Fereday &amp; Muir-Cochrane, 2006) with STRUCTURAL, FRAMEWORK_DEDUCTIVE, and BOUNDARY codes imported first; EMERGENT stays empty until meaning units are locked (Aronson, 1994; Taylor &amp; Bogdan, 1998). Themes are patterned-meaning claims named in Chapter IV.</w:t>
      </w:r>
    </w:p>
    <w:p>
      <w:pPr>
        <w:pStyle w:val="ListNumber"/>
        <w:spacing w:line="480" w:lineRule="auto"/>
      </w:pPr>
      <w:r>
        <w:rPr>
          <w:rFonts w:ascii="Times New Roman" w:hAnsi="Times New Roman" w:eastAsia="Times New Roman"/>
          <w:b/>
          <w:i w:val="0"/>
          <w:sz w:val="24"/>
        </w:rPr>
        <w:t>Trustworthiness.</w:t>
      </w:r>
      <w:r>
        <w:rPr>
          <w:rFonts w:ascii="Times New Roman" w:hAnsi="Times New Roman" w:eastAsia="Times New Roman"/>
          <w:b w:val="0"/>
          <w:i w:val="0"/>
          <w:sz w:val="24"/>
        </w:rPr>
        <w:t xml:space="preserve"> Credibility, dependability, confirmability, and transferability (Lincoln &amp; Guba, 1985; Korstjens &amp; Moser, 2018; Nowell et al., 2017). Member checking is factual only and time-bounded at seven calendar days.</w:t>
      </w:r>
    </w:p>
    <w:p>
      <w:pPr>
        <w:pStyle w:val="ListNumber"/>
        <w:spacing w:line="480" w:lineRule="auto"/>
      </w:pPr>
      <w:r>
        <w:rPr>
          <w:rFonts w:ascii="Times New Roman" w:hAnsi="Times New Roman" w:eastAsia="Times New Roman"/>
          <w:b/>
          <w:i w:val="0"/>
          <w:sz w:val="24"/>
        </w:rPr>
        <w:t>Ethics.</w:t>
      </w:r>
      <w:r>
        <w:rPr>
          <w:rFonts w:ascii="Times New Roman" w:hAnsi="Times New Roman" w:eastAsia="Times New Roman"/>
          <w:b w:val="0"/>
          <w:i w:val="0"/>
          <w:sz w:val="24"/>
        </w:rPr>
        <w:t xml:space="preserve"> Capella IRB before recruitment; individual outreach; identifier stripping; encrypted RAW storage separate from the CLEAN/ANALYTIC path.</w:t>
      </w:r>
    </w:p>
    <w:p>
      <w:pPr>
        <w:spacing w:after="160" w:before="240" w:line="480" w:lineRule="auto"/>
      </w:pPr>
      <w:r>
        <w:rPr>
          <w:rFonts w:ascii="Times New Roman" w:hAnsi="Times New Roman" w:eastAsia="Times New Roman"/>
          <w:b/>
          <w:i w:val="0"/>
          <w:color w:val="1F3A5F"/>
          <w:sz w:val="28"/>
        </w:rPr>
        <w:t>Five-phase analysis SOP (filled)</w:t>
      </w:r>
    </w:p>
    <w:p>
      <w:pPr>
        <w:spacing w:after="120" w:before="0" w:line="480" w:lineRule="auto"/>
      </w:pPr>
      <w:r>
        <w:rPr>
          <w:rFonts w:ascii="Times New Roman" w:hAnsi="Times New Roman" w:eastAsia="Times New Roman"/>
          <w:b w:val="0"/>
          <w:i w:val="0"/>
          <w:sz w:val="24"/>
        </w:rPr>
        <w:t>Qualitative analysis follows a progressive distillation from raw incident talk to patterned-meaning claims. The phases below replace the template’s generic Saldaña/NVivo wording with this study’s locked method.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line="240" w:lineRule="auto"/>
            </w:pPr>
            <w:r/>
            <w:r>
              <w:rPr>
                <w:rFonts w:ascii="Times New Roman" w:hAnsi="Times New Roman" w:eastAsia="Times New Roman"/>
                <w:b/>
                <w:i w:val="0"/>
                <w:sz w:val="20"/>
              </w:rPr>
              <w:t>Phase</w:t>
            </w:r>
          </w:p>
        </w:tc>
        <w:tc>
          <w:tcPr>
            <w:tcW w:type="dxa" w:w="2340"/>
          </w:tcPr>
          <w:p>
            <w:pPr>
              <w:spacing w:after="40" w:before="40" w:line="240" w:lineRule="auto"/>
            </w:pPr>
            <w:r/>
            <w:r>
              <w:rPr>
                <w:rFonts w:ascii="Times New Roman" w:hAnsi="Times New Roman" w:eastAsia="Times New Roman"/>
                <w:b/>
                <w:i w:val="0"/>
                <w:sz w:val="20"/>
              </w:rPr>
              <w:t>Core objective</w:t>
            </w:r>
          </w:p>
        </w:tc>
        <w:tc>
          <w:tcPr>
            <w:tcW w:type="dxa" w:w="2340"/>
          </w:tcPr>
          <w:p>
            <w:pPr>
              <w:spacing w:after="40" w:before="40" w:line="240" w:lineRule="auto"/>
            </w:pPr>
            <w:r/>
            <w:r>
              <w:rPr>
                <w:rFonts w:ascii="Times New Roman" w:hAnsi="Times New Roman" w:eastAsia="Times New Roman"/>
                <w:b/>
                <w:i w:val="0"/>
                <w:sz w:val="20"/>
              </w:rPr>
              <w:t>Key activities and tools</w:t>
            </w:r>
          </w:p>
        </w:tc>
        <w:tc>
          <w:tcPr>
            <w:tcW w:type="dxa" w:w="2340"/>
          </w:tcPr>
          <w:p>
            <w:pPr>
              <w:spacing w:after="40" w:before="40" w:line="240" w:lineRule="auto"/>
            </w:pPr>
            <w:r/>
            <w:r>
              <w:rPr>
                <w:rFonts w:ascii="Times New Roman" w:hAnsi="Times New Roman" w:eastAsia="Times New Roman"/>
                <w:b/>
                <w:i w:val="0"/>
                <w:sz w:val="20"/>
              </w:rPr>
              <w:t>Methodological output</w:t>
            </w:r>
          </w:p>
        </w:tc>
      </w:tr>
      <w:tr>
        <w:tc>
          <w:tcPr>
            <w:tcW w:type="dxa" w:w="2340"/>
          </w:tcPr>
          <w:p>
            <w:pPr>
              <w:spacing w:after="40" w:before="40" w:line="240" w:lineRule="auto"/>
            </w:pPr>
            <w:r/>
            <w:r>
              <w:rPr>
                <w:rFonts w:ascii="Times New Roman" w:hAnsi="Times New Roman" w:eastAsia="Times New Roman"/>
                <w:b w:val="0"/>
                <w:i w:val="0"/>
                <w:sz w:val="20"/>
              </w:rPr>
              <w:t>Phase 1: Familiarization and preparation</w:t>
            </w:r>
          </w:p>
        </w:tc>
        <w:tc>
          <w:tcPr>
            <w:tcW w:type="dxa" w:w="2340"/>
          </w:tcPr>
          <w:p>
            <w:pPr>
              <w:spacing w:after="40" w:before="40" w:line="240" w:lineRule="auto"/>
            </w:pPr>
            <w:r/>
            <w:r>
              <w:rPr>
                <w:rFonts w:ascii="Times New Roman" w:hAnsi="Times New Roman" w:eastAsia="Times New Roman"/>
                <w:b w:val="0"/>
                <w:i w:val="0"/>
                <w:sz w:val="20"/>
              </w:rPr>
              <w:t>Establish immersion in each CLEAN transcript and artifact map</w:t>
            </w:r>
          </w:p>
        </w:tc>
        <w:tc>
          <w:tcPr>
            <w:tcW w:type="dxa" w:w="2340"/>
          </w:tcPr>
          <w:p>
            <w:pPr>
              <w:spacing w:after="40" w:before="40" w:line="240" w:lineRule="auto"/>
            </w:pPr>
            <w:r/>
            <w:r>
              <w:rPr>
                <w:rFonts w:ascii="Times New Roman" w:hAnsi="Times New Roman" w:eastAsia="Times New Roman"/>
                <w:b w:val="0"/>
                <w:i w:val="0"/>
                <w:sz w:val="20"/>
              </w:rPr>
              <w:t>Produce a verbatim transcript; strip identifiers; member-check facts; read end-to-end without naming themes; write the 24-hour reflexive memo</w:t>
            </w:r>
          </w:p>
        </w:tc>
        <w:tc>
          <w:tcPr>
            <w:tcW w:type="dxa" w:w="2340"/>
          </w:tcPr>
          <w:p>
            <w:pPr>
              <w:spacing w:after="40" w:before="40" w:line="240" w:lineRule="auto"/>
            </w:pPr>
            <w:r/>
            <w:r>
              <w:rPr>
                <w:rFonts w:ascii="Times New Roman" w:hAnsi="Times New Roman" w:eastAsia="Times New Roman"/>
                <w:b w:val="0"/>
                <w:i w:val="0"/>
                <w:sz w:val="20"/>
              </w:rPr>
              <w:t>CLEAN transcript; artifact-map row; reflexive memo</w:t>
            </w:r>
          </w:p>
        </w:tc>
      </w:tr>
      <w:tr>
        <w:tc>
          <w:tcPr>
            <w:tcW w:type="dxa" w:w="2340"/>
          </w:tcPr>
          <w:p>
            <w:pPr>
              <w:spacing w:after="40" w:before="40" w:line="240" w:lineRule="auto"/>
            </w:pPr>
            <w:r/>
            <w:r>
              <w:rPr>
                <w:rFonts w:ascii="Times New Roman" w:hAnsi="Times New Roman" w:eastAsia="Times New Roman"/>
                <w:b w:val="0"/>
                <w:i w:val="0"/>
                <w:sz w:val="20"/>
              </w:rPr>
              <w:t>Phase 2: First-cycle coding</w:t>
            </w:r>
          </w:p>
        </w:tc>
        <w:tc>
          <w:tcPr>
            <w:tcW w:type="dxa" w:w="2340"/>
          </w:tcPr>
          <w:p>
            <w:pPr>
              <w:spacing w:after="40" w:before="40" w:line="240" w:lineRule="auto"/>
            </w:pPr>
            <w:r/>
            <w:r>
              <w:rPr>
                <w:rFonts w:ascii="Times New Roman" w:hAnsi="Times New Roman" w:eastAsia="Times New Roman"/>
                <w:b w:val="0"/>
                <w:i w:val="0"/>
                <w:sz w:val="20"/>
              </w:rPr>
              <w:t>File excerpts and apply the imported template</w:t>
            </w:r>
          </w:p>
        </w:tc>
        <w:tc>
          <w:tcPr>
            <w:tcW w:type="dxa" w:w="2340"/>
          </w:tcPr>
          <w:p>
            <w:pPr>
              <w:spacing w:after="40" w:before="40" w:line="240" w:lineRule="auto"/>
            </w:pPr>
            <w:r/>
            <w:r>
              <w:rPr>
                <w:rFonts w:ascii="Times New Roman" w:hAnsi="Times New Roman" w:eastAsia="Times New Roman"/>
                <w:b w:val="0"/>
                <w:i w:val="0"/>
                <w:sz w:val="20"/>
              </w:rPr>
              <w:t xml:space="preserve">Import the nested start-list from </w:t>
            </w:r>
            <w:r>
              <w:rPr>
                <w:rFonts w:ascii="Times New Roman" w:hAnsi="Times New Roman" w:eastAsia="Times New Roman"/>
                <w:i/>
                <w:sz w:val="20"/>
              </w:rPr>
              <w:t>docs/notion/templates/codebook.csv</w:t>
            </w:r>
            <w:r>
              <w:rPr>
                <w:rFonts w:ascii="Times New Roman" w:hAnsi="Times New Roman" w:eastAsia="Times New Roman"/>
                <w:b w:val="0"/>
                <w:i w:val="0"/>
                <w:sz w:val="20"/>
              </w:rPr>
              <w:t xml:space="preserve"> into Delve; apply STRUCTURAL and FRAMEWORK_DEDUCTIVE codes where a concrete example or documented boundary exists</w:t>
            </w:r>
          </w:p>
        </w:tc>
        <w:tc>
          <w:tcPr>
            <w:tcW w:type="dxa" w:w="2340"/>
          </w:tcPr>
          <w:p>
            <w:pPr>
              <w:spacing w:after="40" w:before="40" w:line="240" w:lineRule="auto"/>
            </w:pPr>
            <w:r/>
            <w:r>
              <w:rPr>
                <w:rFonts w:ascii="Times New Roman" w:hAnsi="Times New Roman" w:eastAsia="Times New Roman"/>
                <w:b w:val="0"/>
                <w:i w:val="0"/>
                <w:sz w:val="20"/>
              </w:rPr>
              <w:t>Codebook v1.0 applied; snippet URLs</w:t>
            </w:r>
          </w:p>
        </w:tc>
      </w:tr>
      <w:tr>
        <w:tc>
          <w:tcPr>
            <w:tcW w:type="dxa" w:w="2340"/>
          </w:tcPr>
          <w:p>
            <w:pPr>
              <w:spacing w:after="40" w:before="40" w:line="240" w:lineRule="auto"/>
            </w:pPr>
            <w:r/>
            <w:r>
              <w:rPr>
                <w:rFonts w:ascii="Times New Roman" w:hAnsi="Times New Roman" w:eastAsia="Times New Roman"/>
                <w:b w:val="0"/>
                <w:i w:val="0"/>
                <w:sz w:val="20"/>
              </w:rPr>
              <w:t>Phase 3: Meaning-unit lock and second-cycle categorization</w:t>
            </w:r>
          </w:p>
        </w:tc>
        <w:tc>
          <w:tcPr>
            <w:tcW w:type="dxa" w:w="2340"/>
          </w:tcPr>
          <w:p>
            <w:pPr>
              <w:spacing w:after="40" w:before="40" w:line="240" w:lineRule="auto"/>
            </w:pPr>
            <w:r/>
            <w:r>
              <w:rPr>
                <w:rFonts w:ascii="Times New Roman" w:hAnsi="Times New Roman" w:eastAsia="Times New Roman"/>
                <w:b w:val="0"/>
                <w:i w:val="0"/>
                <w:sz w:val="20"/>
              </w:rPr>
              <w:t>Move from codes to practice-claim sentences, then to categories</w:t>
            </w:r>
          </w:p>
        </w:tc>
        <w:tc>
          <w:tcPr>
            <w:tcW w:type="dxa" w:w="2340"/>
          </w:tcPr>
          <w:p>
            <w:pPr>
              <w:spacing w:after="40" w:before="40" w:line="240" w:lineRule="auto"/>
            </w:pPr>
            <w:r/>
            <w:r>
              <w:rPr>
                <w:rFonts w:ascii="Times New Roman" w:hAnsi="Times New Roman" w:eastAsia="Times New Roman"/>
                <w:b w:val="0"/>
                <w:i w:val="0"/>
                <w:sz w:val="20"/>
              </w:rPr>
              <w:t>Lock meaning units before any EMERGENT code or theme name (Aronson, 1994; Taylor &amp; Bogdan, 1998); add inductive child codes only after that lock; group units only when they describe the same salience-to-assurance bargain</w:t>
            </w:r>
          </w:p>
        </w:tc>
        <w:tc>
          <w:tcPr>
            <w:tcW w:type="dxa" w:w="2340"/>
          </w:tcPr>
          <w:p>
            <w:pPr>
              <w:spacing w:after="40" w:before="40" w:line="240" w:lineRule="auto"/>
            </w:pPr>
            <w:r/>
            <w:r>
              <w:rPr>
                <w:rFonts w:ascii="Times New Roman" w:hAnsi="Times New Roman" w:eastAsia="Times New Roman"/>
                <w:b w:val="0"/>
                <w:i w:val="0"/>
                <w:sz w:val="20"/>
              </w:rPr>
              <w:t>Meaning-unit table; categories (still unnamed as themes)</w:t>
            </w:r>
          </w:p>
        </w:tc>
      </w:tr>
      <w:tr>
        <w:tc>
          <w:tcPr>
            <w:tcW w:type="dxa" w:w="2340"/>
          </w:tcPr>
          <w:p>
            <w:pPr>
              <w:spacing w:after="40" w:before="40" w:line="240" w:lineRule="auto"/>
            </w:pPr>
            <w:r/>
            <w:r>
              <w:rPr>
                <w:rFonts w:ascii="Times New Roman" w:hAnsi="Times New Roman" w:eastAsia="Times New Roman"/>
                <w:b w:val="0"/>
                <w:i w:val="0"/>
                <w:sz w:val="20"/>
              </w:rPr>
              <w:t>Phase 4: Thematic synthesis</w:t>
            </w:r>
          </w:p>
        </w:tc>
        <w:tc>
          <w:tcPr>
            <w:tcW w:type="dxa" w:w="2340"/>
          </w:tcPr>
          <w:p>
            <w:pPr>
              <w:spacing w:after="40" w:before="40" w:line="240" w:lineRule="auto"/>
            </w:pPr>
            <w:r/>
            <w:r>
              <w:rPr>
                <w:rFonts w:ascii="Times New Roman" w:hAnsi="Times New Roman" w:eastAsia="Times New Roman"/>
                <w:b w:val="0"/>
                <w:i w:val="0"/>
                <w:sz w:val="20"/>
              </w:rPr>
              <w:t>Abstract categories into claims that answer PQ1 and PQ2 separately</w:t>
            </w:r>
          </w:p>
        </w:tc>
        <w:tc>
          <w:tcPr>
            <w:tcW w:type="dxa" w:w="2340"/>
          </w:tcPr>
          <w:p>
            <w:pPr>
              <w:spacing w:after="40" w:before="40" w:line="240" w:lineRule="auto"/>
            </w:pPr>
            <w:r/>
            <w:r>
              <w:rPr>
                <w:rFonts w:ascii="Times New Roman" w:hAnsi="Times New Roman" w:eastAsia="Times New Roman"/>
                <w:b w:val="0"/>
                <w:i w:val="0"/>
                <w:sz w:val="20"/>
              </w:rPr>
              <w:t>Name themes as patterned-meaning sentences, not topic headings; map each theme to PQ1 or PQ2; do not write that themes “emerged” (Braun &amp; Clarke, 2021; Lester et al., 2020)</w:t>
            </w:r>
          </w:p>
        </w:tc>
        <w:tc>
          <w:tcPr>
            <w:tcW w:type="dxa" w:w="2340"/>
          </w:tcPr>
          <w:p>
            <w:pPr>
              <w:spacing w:after="40" w:before="40" w:line="240" w:lineRule="auto"/>
            </w:pPr>
            <w:r/>
            <w:r>
              <w:rPr>
                <w:rFonts w:ascii="Times New Roman" w:hAnsi="Times New Roman" w:eastAsia="Times New Roman"/>
                <w:b w:val="0"/>
                <w:i w:val="0"/>
                <w:sz w:val="20"/>
              </w:rPr>
              <w:t>Thematic matrix for Chapter IV</w:t>
            </w:r>
          </w:p>
        </w:tc>
      </w:tr>
      <w:tr>
        <w:tc>
          <w:tcPr>
            <w:tcW w:type="dxa" w:w="2340"/>
          </w:tcPr>
          <w:p>
            <w:pPr>
              <w:spacing w:after="40" w:before="40" w:line="240" w:lineRule="auto"/>
            </w:pPr>
            <w:r/>
            <w:r>
              <w:rPr>
                <w:rFonts w:ascii="Times New Roman" w:hAnsi="Times New Roman" w:eastAsia="Times New Roman"/>
                <w:b w:val="0"/>
                <w:i w:val="0"/>
                <w:sz w:val="20"/>
              </w:rPr>
              <w:t>Phase 5: Validation and stopping audit</w:t>
            </w:r>
          </w:p>
        </w:tc>
        <w:tc>
          <w:tcPr>
            <w:tcW w:type="dxa" w:w="2340"/>
          </w:tcPr>
          <w:p>
            <w:pPr>
              <w:spacing w:after="40" w:before="40" w:line="240" w:lineRule="auto"/>
            </w:pPr>
            <w:r/>
            <w:r>
              <w:rPr>
                <w:rFonts w:ascii="Times New Roman" w:hAnsi="Times New Roman" w:eastAsia="Times New Roman"/>
                <w:b w:val="0"/>
                <w:i w:val="0"/>
                <w:sz w:val="20"/>
              </w:rPr>
              <w:t>Verify grounding and document why recruitment ended at 12</w:t>
            </w:r>
          </w:p>
        </w:tc>
        <w:tc>
          <w:tcPr>
            <w:tcW w:type="dxa" w:w="2340"/>
          </w:tcPr>
          <w:p>
            <w:pPr>
              <w:spacing w:after="40" w:before="40" w:line="240" w:lineRule="auto"/>
            </w:pPr>
            <w:r/>
            <w:r>
              <w:rPr>
                <w:rFonts w:ascii="Times New Roman" w:hAnsi="Times New Roman" w:eastAsia="Times New Roman"/>
                <w:b w:val="0"/>
                <w:i w:val="0"/>
                <w:sz w:val="20"/>
              </w:rPr>
              <w:t>Negative and boundary cases per construct; codebook versioning; dated CSV nest; record whether the twelfth interview still changed the meaning-unit inventory (Naeem et al., 2024; Carcary, 2020)</w:t>
            </w:r>
          </w:p>
        </w:tc>
        <w:tc>
          <w:tcPr>
            <w:tcW w:type="dxa" w:w="2340"/>
          </w:tcPr>
          <w:p>
            <w:pPr>
              <w:spacing w:after="40" w:before="40" w:line="240" w:lineRule="auto"/>
            </w:pPr>
            <w:r/>
            <w:r>
              <w:rPr>
                <w:rFonts w:ascii="Times New Roman" w:hAnsi="Times New Roman" w:eastAsia="Times New Roman"/>
                <w:b w:val="0"/>
                <w:i w:val="0"/>
                <w:sz w:val="20"/>
              </w:rPr>
              <w:t>Audit trail; stopping rationale for n = 12</w:t>
            </w:r>
          </w:p>
        </w:tc>
      </w:tr>
    </w:tbl>
    <w:p/>
    <w:p>
      <w:pPr>
        <w:spacing w:after="160" w:before="240" w:line="480" w:lineRule="auto"/>
      </w:pPr>
      <w:r>
        <w:rPr>
          <w:rFonts w:ascii="Times New Roman" w:hAnsi="Times New Roman" w:eastAsia="Times New Roman"/>
          <w:b/>
          <w:i w:val="0"/>
          <w:color w:val="1F3A5F"/>
          <w:sz w:val="28"/>
        </w:rPr>
        <w:t>Chapter III construction blueprint (filled)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line="240" w:lineRule="auto"/>
            </w:pPr>
            <w:r/>
            <w:r>
              <w:rPr>
                <w:rFonts w:ascii="Times New Roman" w:hAnsi="Times New Roman" w:eastAsia="Times New Roman"/>
                <w:b/>
                <w:i w:val="0"/>
                <w:sz w:val="20"/>
              </w:rPr>
              <w:t>Chapter III subsection</w:t>
            </w:r>
          </w:p>
        </w:tc>
        <w:tc>
          <w:tcPr>
            <w:tcW w:type="dxa" w:w="3120"/>
          </w:tcPr>
          <w:p>
            <w:pPr>
              <w:spacing w:after="40" w:before="40" w:line="240" w:lineRule="auto"/>
            </w:pPr>
            <w:r/>
            <w:r>
              <w:rPr>
                <w:rFonts w:ascii="Times New Roman" w:hAnsi="Times New Roman" w:eastAsia="Times New Roman"/>
                <w:b/>
                <w:i w:val="0"/>
                <w:sz w:val="20"/>
              </w:rPr>
              <w:t>Primary objective</w:t>
            </w:r>
          </w:p>
        </w:tc>
        <w:tc>
          <w:tcPr>
            <w:tcW w:type="dxa" w:w="3120"/>
          </w:tcPr>
          <w:p>
            <w:pPr>
              <w:spacing w:after="40" w:before="40" w:line="240" w:lineRule="auto"/>
            </w:pPr>
            <w:r/>
            <w:r>
              <w:rPr>
                <w:rFonts w:ascii="Times New Roman" w:hAnsi="Times New Roman" w:eastAsia="Times New Roman"/>
                <w:b/>
                <w:i w:val="0"/>
                <w:sz w:val="20"/>
              </w:rPr>
              <w:t>Required content in this study</w:t>
            </w:r>
          </w:p>
        </w:tc>
      </w:tr>
      <w:tr>
        <w:tc>
          <w:tcPr>
            <w:tcW w:type="dxa" w:w="3120"/>
          </w:tcPr>
          <w:p>
            <w:pPr>
              <w:spacing w:after="40" w:before="40" w:line="240" w:lineRule="auto"/>
            </w:pPr>
            <w:r/>
            <w:r>
              <w:rPr>
                <w:rFonts w:ascii="Times New Roman" w:hAnsi="Times New Roman" w:eastAsia="Times New Roman"/>
                <w:b w:val="0"/>
                <w:i w:val="0"/>
                <w:sz w:val="20"/>
              </w:rPr>
              <w:t>3.1 Introduction and research questions</w:t>
            </w:r>
          </w:p>
        </w:tc>
        <w:tc>
          <w:tcPr>
            <w:tcW w:type="dxa" w:w="3120"/>
          </w:tcPr>
          <w:p>
            <w:pPr>
              <w:spacing w:after="40" w:before="40" w:line="240" w:lineRule="auto"/>
            </w:pPr>
            <w:r/>
            <w:r>
              <w:rPr>
                <w:rFonts w:ascii="Times New Roman" w:hAnsi="Times New Roman" w:eastAsia="Times New Roman"/>
                <w:b w:val="0"/>
                <w:i w:val="0"/>
                <w:sz w:val="20"/>
              </w:rPr>
              <w:t>Re-anchor the methodology</w:t>
            </w:r>
          </w:p>
        </w:tc>
        <w:tc>
          <w:tcPr>
            <w:tcW w:type="dxa" w:w="3120"/>
          </w:tcPr>
          <w:p>
            <w:pPr>
              <w:spacing w:after="40" w:before="40" w:line="240" w:lineRule="auto"/>
            </w:pPr>
            <w:r/>
            <w:r>
              <w:rPr>
                <w:rFonts w:ascii="Times New Roman" w:hAnsi="Times New Roman" w:eastAsia="Times New Roman"/>
                <w:b w:val="0"/>
                <w:i w:val="0"/>
                <w:sz w:val="20"/>
              </w:rPr>
              <w:t>PQ1 and PQ2 (or official RQ wording); unit of analysis; scope = one named ITDRPaaS event</w:t>
            </w:r>
          </w:p>
        </w:tc>
      </w:tr>
      <w:tr>
        <w:tc>
          <w:tcPr>
            <w:tcW w:type="dxa" w:w="3120"/>
          </w:tcPr>
          <w:p>
            <w:pPr>
              <w:spacing w:after="40" w:before="40" w:line="240" w:lineRule="auto"/>
            </w:pPr>
            <w:r/>
            <w:r>
              <w:rPr>
                <w:rFonts w:ascii="Times New Roman" w:hAnsi="Times New Roman" w:eastAsia="Times New Roman"/>
                <w:b w:val="0"/>
                <w:i w:val="0"/>
                <w:sz w:val="20"/>
              </w:rPr>
              <w:t>3.2 Research design and paradigm</w:t>
            </w:r>
          </w:p>
        </w:tc>
        <w:tc>
          <w:tcPr>
            <w:tcW w:type="dxa" w:w="3120"/>
          </w:tcPr>
          <w:p>
            <w:pPr>
              <w:spacing w:after="40" w:before="40" w:line="240" w:lineRule="auto"/>
            </w:pPr>
            <w:r/>
            <w:r>
              <w:rPr>
                <w:rFonts w:ascii="Times New Roman" w:hAnsi="Times New Roman" w:eastAsia="Times New Roman"/>
                <w:b w:val="0"/>
                <w:i w:val="0"/>
                <w:sz w:val="20"/>
              </w:rPr>
              <w:t>Justify methodological fit</w:t>
            </w:r>
          </w:p>
        </w:tc>
        <w:tc>
          <w:tcPr>
            <w:tcW w:type="dxa" w:w="3120"/>
          </w:tcPr>
          <w:p>
            <w:pPr>
              <w:spacing w:after="40" w:before="40" w:line="240" w:lineRule="auto"/>
            </w:pPr>
            <w:r/>
            <w:r>
              <w:rPr>
                <w:rFonts w:ascii="Times New Roman" w:hAnsi="Times New Roman" w:eastAsia="Times New Roman"/>
                <w:b w:val="0"/>
                <w:i w:val="0"/>
                <w:sz w:val="20"/>
              </w:rPr>
              <w:t>GQI + CIT; interpretivist/constructivist stance without phenomenology language</w:t>
            </w:r>
          </w:p>
        </w:tc>
      </w:tr>
      <w:tr>
        <w:tc>
          <w:tcPr>
            <w:tcW w:type="dxa" w:w="3120"/>
          </w:tcPr>
          <w:p>
            <w:pPr>
              <w:spacing w:after="40" w:before="40" w:line="240" w:lineRule="auto"/>
            </w:pPr>
            <w:r/>
            <w:r>
              <w:rPr>
                <w:rFonts w:ascii="Times New Roman" w:hAnsi="Times New Roman" w:eastAsia="Times New Roman"/>
                <w:b w:val="0"/>
                <w:i w:val="0"/>
                <w:sz w:val="20"/>
              </w:rPr>
              <w:t>3.3 Role of the researcher and reflexivity</w:t>
            </w:r>
          </w:p>
        </w:tc>
        <w:tc>
          <w:tcPr>
            <w:tcW w:type="dxa" w:w="3120"/>
          </w:tcPr>
          <w:p>
            <w:pPr>
              <w:spacing w:after="40" w:before="40" w:line="240" w:lineRule="auto"/>
            </w:pPr>
            <w:r/>
            <w:r>
              <w:rPr>
                <w:rFonts w:ascii="Times New Roman" w:hAnsi="Times New Roman" w:eastAsia="Times New Roman"/>
                <w:b w:val="0"/>
                <w:i w:val="0"/>
                <w:sz w:val="20"/>
              </w:rPr>
              <w:t>Address subjectivity</w:t>
            </w:r>
          </w:p>
        </w:tc>
        <w:tc>
          <w:tcPr>
            <w:tcW w:type="dxa" w:w="3120"/>
          </w:tcPr>
          <w:p>
            <w:pPr>
              <w:spacing w:after="40" w:before="40" w:line="240" w:lineRule="auto"/>
            </w:pPr>
            <w:r/>
            <w:r>
              <w:rPr>
                <w:rFonts w:ascii="Times New Roman" w:hAnsi="Times New Roman" w:eastAsia="Times New Roman"/>
                <w:b w:val="0"/>
                <w:i w:val="0"/>
                <w:sz w:val="20"/>
              </w:rPr>
              <w:t>Researcher as instrument; 24-hour reflexive memo; no epoché-as-phenomenology claim</w:t>
            </w:r>
          </w:p>
        </w:tc>
      </w:tr>
      <w:tr>
        <w:tc>
          <w:tcPr>
            <w:tcW w:type="dxa" w:w="3120"/>
          </w:tcPr>
          <w:p>
            <w:pPr>
              <w:spacing w:after="40" w:before="40" w:line="240" w:lineRule="auto"/>
            </w:pPr>
            <w:r/>
            <w:r>
              <w:rPr>
                <w:rFonts w:ascii="Times New Roman" w:hAnsi="Times New Roman" w:eastAsia="Times New Roman"/>
                <w:b w:val="0"/>
                <w:i w:val="0"/>
                <w:sz w:val="20"/>
              </w:rPr>
              <w:t>3.4 Participant selection and sampling</w:t>
            </w:r>
          </w:p>
        </w:tc>
        <w:tc>
          <w:tcPr>
            <w:tcW w:type="dxa" w:w="3120"/>
          </w:tcPr>
          <w:p>
            <w:pPr>
              <w:spacing w:after="40" w:before="40" w:line="240" w:lineRule="auto"/>
            </w:pPr>
            <w:r/>
            <w:r>
              <w:rPr>
                <w:rFonts w:ascii="Times New Roman" w:hAnsi="Times New Roman" w:eastAsia="Times New Roman"/>
                <w:b w:val="0"/>
                <w:i w:val="0"/>
                <w:sz w:val="20"/>
              </w:rPr>
              <w:t>Define population and locked n</w:t>
            </w:r>
          </w:p>
        </w:tc>
        <w:tc>
          <w:tcPr>
            <w:tcW w:type="dxa" w:w="3120"/>
          </w:tcPr>
          <w:p>
            <w:pPr>
              <w:spacing w:after="40" w:before="40" w:line="240" w:lineRule="auto"/>
            </w:pPr>
            <w:r/>
            <w:r>
              <w:rPr>
                <w:rFonts w:ascii="Times New Roman" w:hAnsi="Times New Roman" w:eastAsia="Times New Roman"/>
                <w:b w:val="0"/>
                <w:i w:val="0"/>
                <w:sz w:val="20"/>
              </w:rPr>
              <w:t>Criterion-based purposive sampling; n = 12 locked; information power</w:t>
            </w:r>
          </w:p>
        </w:tc>
      </w:tr>
      <w:tr>
        <w:tc>
          <w:tcPr>
            <w:tcW w:type="dxa" w:w="3120"/>
          </w:tcPr>
          <w:p>
            <w:pPr>
              <w:spacing w:after="40" w:before="40" w:line="240" w:lineRule="auto"/>
            </w:pPr>
            <w:r/>
            <w:r>
              <w:rPr>
                <w:rFonts w:ascii="Times New Roman" w:hAnsi="Times New Roman" w:eastAsia="Times New Roman"/>
                <w:b w:val="0"/>
                <w:i w:val="0"/>
                <w:sz w:val="20"/>
              </w:rPr>
              <w:t>3.5 Data collection instrumentation</w:t>
            </w:r>
          </w:p>
        </w:tc>
        <w:tc>
          <w:tcPr>
            <w:tcW w:type="dxa" w:w="3120"/>
          </w:tcPr>
          <w:p>
            <w:pPr>
              <w:spacing w:after="40" w:before="40" w:line="240" w:lineRule="auto"/>
            </w:pPr>
            <w:r/>
            <w:r>
              <w:rPr>
                <w:rFonts w:ascii="Times New Roman" w:hAnsi="Times New Roman" w:eastAsia="Times New Roman"/>
                <w:b w:val="0"/>
                <w:i w:val="0"/>
                <w:sz w:val="20"/>
              </w:rPr>
              <w:t>Detail collection protocols</w:t>
            </w:r>
          </w:p>
        </w:tc>
        <w:tc>
          <w:tcPr>
            <w:tcW w:type="dxa" w:w="3120"/>
          </w:tcPr>
          <w:p>
            <w:pPr>
              <w:spacing w:after="40" w:before="40" w:line="240" w:lineRule="auto"/>
            </w:pPr>
            <w:r/>
            <w:r>
              <w:rPr>
                <w:rFonts w:ascii="Times New Roman" w:hAnsi="Times New Roman" w:eastAsia="Times New Roman"/>
                <w:i/>
                <w:sz w:val="20"/>
              </w:rPr>
              <w:t>ITDR-GQI-INT-v0.1.1</w:t>
            </w:r>
            <w:r>
              <w:rPr>
                <w:rFonts w:ascii="Times New Roman" w:hAnsi="Times New Roman" w:eastAsia="Times New Roman"/>
                <w:b w:val="0"/>
                <w:i w:val="0"/>
                <w:sz w:val="20"/>
              </w:rPr>
              <w:t>; skip-if-covered; artifact Paths A/B/C</w:t>
            </w:r>
          </w:p>
        </w:tc>
      </w:tr>
      <w:tr>
        <w:tc>
          <w:tcPr>
            <w:tcW w:type="dxa" w:w="3120"/>
          </w:tcPr>
          <w:p>
            <w:pPr>
              <w:spacing w:after="40" w:before="40" w:line="240" w:lineRule="auto"/>
            </w:pPr>
            <w:r/>
            <w:r>
              <w:rPr>
                <w:rFonts w:ascii="Times New Roman" w:hAnsi="Times New Roman" w:eastAsia="Times New Roman"/>
                <w:b w:val="0"/>
                <w:i w:val="0"/>
                <w:sz w:val="20"/>
              </w:rPr>
              <w:t>3.6 Step-by-step data analysis</w:t>
            </w:r>
          </w:p>
        </w:tc>
        <w:tc>
          <w:tcPr>
            <w:tcW w:type="dxa" w:w="3120"/>
          </w:tcPr>
          <w:p>
            <w:pPr>
              <w:spacing w:after="40" w:before="40" w:line="240" w:lineRule="auto"/>
            </w:pPr>
            <w:r/>
            <w:r>
              <w:rPr>
                <w:rFonts w:ascii="Times New Roman" w:hAnsi="Times New Roman" w:eastAsia="Times New Roman"/>
                <w:b w:val="0"/>
                <w:i w:val="0"/>
                <w:sz w:val="20"/>
              </w:rPr>
              <w:t>Provide the analysis SOP</w:t>
            </w:r>
          </w:p>
        </w:tc>
        <w:tc>
          <w:tcPr>
            <w:tcW w:type="dxa" w:w="3120"/>
          </w:tcPr>
          <w:p>
            <w:pPr>
              <w:spacing w:after="40" w:before="40" w:line="240" w:lineRule="auto"/>
            </w:pPr>
            <w:r/>
            <w:r>
              <w:rPr>
                <w:rFonts w:ascii="Times New Roman" w:hAnsi="Times New Roman" w:eastAsia="Times New Roman"/>
                <w:b w:val="0"/>
                <w:i w:val="0"/>
                <w:sz w:val="20"/>
              </w:rPr>
              <w:t>Hybrid codebook TA; Delve as CAQDAS only; meaning-unit lock before EMERGENT</w:t>
            </w:r>
          </w:p>
        </w:tc>
      </w:tr>
      <w:tr>
        <w:tc>
          <w:tcPr>
            <w:tcW w:type="dxa" w:w="3120"/>
          </w:tcPr>
          <w:p>
            <w:pPr>
              <w:spacing w:after="40" w:before="40" w:line="240" w:lineRule="auto"/>
            </w:pPr>
            <w:r/>
            <w:r>
              <w:rPr>
                <w:rFonts w:ascii="Times New Roman" w:hAnsi="Times New Roman" w:eastAsia="Times New Roman"/>
                <w:b w:val="0"/>
                <w:i w:val="0"/>
                <w:sz w:val="20"/>
              </w:rPr>
              <w:t>3.7 Trustworthiness and rigor</w:t>
            </w:r>
          </w:p>
        </w:tc>
        <w:tc>
          <w:tcPr>
            <w:tcW w:type="dxa" w:w="3120"/>
          </w:tcPr>
          <w:p>
            <w:pPr>
              <w:spacing w:after="40" w:before="40" w:line="240" w:lineRule="auto"/>
            </w:pPr>
            <w:r/>
            <w:r>
              <w:rPr>
                <w:rFonts w:ascii="Times New Roman" w:hAnsi="Times New Roman" w:eastAsia="Times New Roman"/>
                <w:b w:val="0"/>
                <w:i w:val="0"/>
                <w:sz w:val="20"/>
              </w:rPr>
              <w:t>Operationalize Lincoln and Guba</w:t>
            </w:r>
          </w:p>
        </w:tc>
        <w:tc>
          <w:tcPr>
            <w:tcW w:type="dxa" w:w="3120"/>
          </w:tcPr>
          <w:p>
            <w:pPr>
              <w:spacing w:after="40" w:before="40" w:line="240" w:lineRule="auto"/>
            </w:pPr>
            <w:r/>
            <w:r>
              <w:rPr>
                <w:rFonts w:ascii="Times New Roman" w:hAnsi="Times New Roman" w:eastAsia="Times New Roman"/>
                <w:b w:val="0"/>
                <w:i w:val="0"/>
                <w:sz w:val="20"/>
              </w:rPr>
              <w:t>Factual member check; audit trail; boundary cases; thick description without naming firms</w:t>
            </w:r>
          </w:p>
        </w:tc>
      </w:tr>
      <w:tr>
        <w:tc>
          <w:tcPr>
            <w:tcW w:type="dxa" w:w="3120"/>
          </w:tcPr>
          <w:p>
            <w:pPr>
              <w:spacing w:after="40" w:before="40" w:line="240" w:lineRule="auto"/>
            </w:pPr>
            <w:r/>
            <w:r>
              <w:rPr>
                <w:rFonts w:ascii="Times New Roman" w:hAnsi="Times New Roman" w:eastAsia="Times New Roman"/>
                <w:b w:val="0"/>
                <w:i w:val="0"/>
                <w:sz w:val="20"/>
              </w:rPr>
              <w:t>3.8 Ethical assurances</w:t>
            </w:r>
          </w:p>
        </w:tc>
        <w:tc>
          <w:tcPr>
            <w:tcW w:type="dxa" w:w="3120"/>
          </w:tcPr>
          <w:p>
            <w:pPr>
              <w:spacing w:after="40" w:before="40" w:line="240" w:lineRule="auto"/>
            </w:pPr>
            <w:r/>
            <w:r>
              <w:rPr>
                <w:rFonts w:ascii="Times New Roman" w:hAnsi="Times New Roman" w:eastAsia="Times New Roman"/>
                <w:b w:val="0"/>
                <w:i w:val="0"/>
                <w:sz w:val="20"/>
              </w:rPr>
              <w:t>Protect participants and Gap data</w:t>
            </w:r>
          </w:p>
        </w:tc>
        <w:tc>
          <w:tcPr>
            <w:tcW w:type="dxa" w:w="3120"/>
          </w:tcPr>
          <w:p>
            <w:pPr>
              <w:spacing w:after="40" w:before="40" w:line="240" w:lineRule="auto"/>
            </w:pPr>
            <w:r/>
            <w:r>
              <w:rPr>
                <w:rFonts w:ascii="Times New Roman" w:hAnsi="Times New Roman" w:eastAsia="Times New Roman"/>
                <w:b w:val="0"/>
                <w:i w:val="0"/>
                <w:sz w:val="20"/>
              </w:rPr>
              <w:t>Capella IRB; optional artifacts; no supervisor-visible recruitment</w:t>
            </w:r>
          </w:p>
        </w:tc>
      </w:tr>
    </w:tbl>
    <w:p/>
    <w:p>
      <w:pPr>
        <w:spacing w:after="160" w:before="240" w:line="480" w:lineRule="auto"/>
      </w:pPr>
      <w:r>
        <w:rPr>
          <w:rFonts w:ascii="Times New Roman" w:hAnsi="Times New Roman" w:eastAsia="Times New Roman"/>
          <w:b/>
          <w:i w:val="0"/>
          <w:color w:val="1F3A5F"/>
          <w:sz w:val="28"/>
        </w:rPr>
        <w:t>Common template pitfalls and this study’s countermeasures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line="240" w:lineRule="auto"/>
            </w:pPr>
            <w:r/>
            <w:r>
              <w:rPr>
                <w:rFonts w:ascii="Times New Roman" w:hAnsi="Times New Roman" w:eastAsia="Times New Roman"/>
                <w:b/>
                <w:i w:val="0"/>
                <w:sz w:val="20"/>
              </w:rPr>
              <w:t>Template pitfall</w:t>
            </w:r>
          </w:p>
        </w:tc>
        <w:tc>
          <w:tcPr>
            <w:tcW w:type="dxa" w:w="3120"/>
          </w:tcPr>
          <w:p>
            <w:pPr>
              <w:spacing w:after="40" w:before="40" w:line="240" w:lineRule="auto"/>
            </w:pPr>
            <w:r/>
            <w:r>
              <w:rPr>
                <w:rFonts w:ascii="Times New Roman" w:hAnsi="Times New Roman" w:eastAsia="Times New Roman"/>
                <w:b/>
                <w:i w:val="0"/>
                <w:sz w:val="20"/>
              </w:rPr>
              <w:t>Committee critique</w:t>
            </w:r>
          </w:p>
        </w:tc>
        <w:tc>
          <w:tcPr>
            <w:tcW w:type="dxa" w:w="3120"/>
          </w:tcPr>
          <w:p>
            <w:pPr>
              <w:spacing w:after="40" w:before="40" w:line="240" w:lineRule="auto"/>
            </w:pPr>
            <w:r/>
            <w:r>
              <w:rPr>
                <w:rFonts w:ascii="Times New Roman" w:hAnsi="Times New Roman" w:eastAsia="Times New Roman"/>
                <w:b/>
                <w:i w:val="0"/>
                <w:sz w:val="20"/>
              </w:rPr>
              <w:t>This study’s corrective action</w:t>
            </w:r>
          </w:p>
        </w:tc>
      </w:tr>
      <w:tr>
        <w:tc>
          <w:tcPr>
            <w:tcW w:type="dxa" w:w="3120"/>
          </w:tcPr>
          <w:p>
            <w:pPr>
              <w:spacing w:after="40" w:before="40" w:line="240" w:lineRule="auto"/>
            </w:pPr>
            <w:r/>
            <w:r>
              <w:rPr>
                <w:rFonts w:ascii="Times New Roman" w:hAnsi="Times New Roman" w:eastAsia="Times New Roman"/>
                <w:b w:val="0"/>
                <w:i w:val="0"/>
                <w:sz w:val="20"/>
              </w:rPr>
              <w:t>Passive “theme emergence”</w:t>
            </w:r>
          </w:p>
        </w:tc>
        <w:tc>
          <w:tcPr>
            <w:tcW w:type="dxa" w:w="3120"/>
          </w:tcPr>
          <w:p>
            <w:pPr>
              <w:spacing w:after="40" w:before="40" w:line="240" w:lineRule="auto"/>
            </w:pPr>
            <w:r/>
            <w:r>
              <w:rPr>
                <w:rFonts w:ascii="Times New Roman" w:hAnsi="Times New Roman" w:eastAsia="Times New Roman"/>
                <w:b w:val="0"/>
                <w:i w:val="0"/>
                <w:sz w:val="20"/>
              </w:rPr>
              <w:t>Implies no researcher accountability</w:t>
            </w:r>
          </w:p>
        </w:tc>
        <w:tc>
          <w:tcPr>
            <w:tcW w:type="dxa" w:w="3120"/>
          </w:tcPr>
          <w:p>
            <w:pPr>
              <w:spacing w:after="40" w:before="40" w:line="240" w:lineRule="auto"/>
            </w:pPr>
            <w:r/>
            <w:r>
              <w:rPr>
                <w:rFonts w:ascii="Times New Roman" w:hAnsi="Times New Roman" w:eastAsia="Times New Roman"/>
                <w:b w:val="0"/>
                <w:i w:val="0"/>
                <w:sz w:val="20"/>
              </w:rPr>
              <w:t>Write: the researcher locked meaning units, grouped bargains, and synthesized PQ1 and PQ2 answers (Braun &amp; Clarke, 2019, 2021).</w:t>
            </w:r>
          </w:p>
        </w:tc>
      </w:tr>
      <w:tr>
        <w:tc>
          <w:tcPr>
            <w:tcW w:type="dxa" w:w="3120"/>
          </w:tcPr>
          <w:p>
            <w:pPr>
              <w:spacing w:after="40" w:before="40" w:line="240" w:lineRule="auto"/>
            </w:pPr>
            <w:r/>
            <w:r>
              <w:rPr>
                <w:rFonts w:ascii="Times New Roman" w:hAnsi="Times New Roman" w:eastAsia="Times New Roman"/>
                <w:b w:val="0"/>
                <w:i w:val="0"/>
                <w:sz w:val="20"/>
              </w:rPr>
              <w:t>Undefined saturation / “saturation at 12”</w:t>
            </w:r>
          </w:p>
        </w:tc>
        <w:tc>
          <w:tcPr>
            <w:tcW w:type="dxa" w:w="3120"/>
          </w:tcPr>
          <w:p>
            <w:pPr>
              <w:spacing w:after="40" w:before="40" w:line="240" w:lineRule="auto"/>
            </w:pPr>
            <w:r/>
            <w:r>
              <w:rPr>
                <w:rFonts w:ascii="Times New Roman" w:hAnsi="Times New Roman" w:eastAsia="Times New Roman"/>
                <w:b w:val="0"/>
                <w:i w:val="0"/>
                <w:sz w:val="20"/>
              </w:rPr>
              <w:t>Fixed-n saturation is not evidenced</w:t>
            </w:r>
          </w:p>
        </w:tc>
        <w:tc>
          <w:tcPr>
            <w:tcW w:type="dxa" w:w="3120"/>
          </w:tcPr>
          <w:p>
            <w:pPr>
              <w:spacing w:after="40" w:before="40" w:line="240" w:lineRule="auto"/>
            </w:pPr>
            <w:r/>
            <w:r>
              <w:rPr>
                <w:rFonts w:ascii="Times New Roman" w:hAnsi="Times New Roman" w:eastAsia="Times New Roman"/>
                <w:b w:val="0"/>
                <w:i w:val="0"/>
                <w:sz w:val="20"/>
              </w:rPr>
              <w:t>n = 12 is the locked recruitment target, justified by information power (Malterud et al., 2016). Stopping language uses Naeem et al. (2024) as a decision guide, not a badge that the twelfth interview closed the gap. Guest et al. (2006) is reserved for that stopping discussion only.</w:t>
            </w:r>
          </w:p>
        </w:tc>
      </w:tr>
      <w:tr>
        <w:tc>
          <w:tcPr>
            <w:tcW w:type="dxa" w:w="3120"/>
          </w:tcPr>
          <w:p>
            <w:pPr>
              <w:spacing w:after="40" w:before="40" w:line="240" w:lineRule="auto"/>
            </w:pPr>
            <w:r/>
            <w:r>
              <w:rPr>
                <w:rFonts w:ascii="Times New Roman" w:hAnsi="Times New Roman" w:eastAsia="Times New Roman"/>
                <w:b w:val="0"/>
                <w:i w:val="0"/>
                <w:sz w:val="20"/>
              </w:rPr>
              <w:t>Sampling by Mitchell types</w:t>
            </w:r>
          </w:p>
        </w:tc>
        <w:tc>
          <w:tcPr>
            <w:tcW w:type="dxa" w:w="3120"/>
          </w:tcPr>
          <w:p>
            <w:pPr>
              <w:spacing w:after="40" w:before="40" w:line="240" w:lineRule="auto"/>
            </w:pPr>
            <w:r/>
            <w:r>
              <w:rPr>
                <w:rFonts w:ascii="Times New Roman" w:hAnsi="Times New Roman" w:eastAsia="Times New Roman"/>
                <w:b w:val="0"/>
                <w:i w:val="0"/>
                <w:sz w:val="20"/>
              </w:rPr>
              <w:t>Turns a sensitizing theory into a sampling quota</w:t>
            </w:r>
          </w:p>
        </w:tc>
        <w:tc>
          <w:tcPr>
            <w:tcW w:type="dxa" w:w="3120"/>
          </w:tcPr>
          <w:p>
            <w:pPr>
              <w:spacing w:after="40" w:before="40" w:line="240" w:lineRule="auto"/>
            </w:pPr>
            <w:r/>
            <w:r>
              <w:rPr>
                <w:rFonts w:ascii="Times New Roman" w:hAnsi="Times New Roman" w:eastAsia="Times New Roman"/>
                <w:b w:val="0"/>
                <w:i w:val="0"/>
                <w:sz w:val="20"/>
              </w:rPr>
              <w:t>Participants are selected by role, firm-size band, and a named 36-month platform event. Mitchell types stay in the leverage memo.</w:t>
            </w:r>
          </w:p>
        </w:tc>
      </w:tr>
      <w:tr>
        <w:tc>
          <w:tcPr>
            <w:tcW w:type="dxa" w:w="3120"/>
          </w:tcPr>
          <w:p>
            <w:pPr>
              <w:spacing w:after="40" w:before="40" w:line="240" w:lineRule="auto"/>
            </w:pPr>
            <w:r/>
            <w:r>
              <w:rPr>
                <w:rFonts w:ascii="Times New Roman" w:hAnsi="Times New Roman" w:eastAsia="Times New Roman"/>
                <w:b w:val="0"/>
                <w:i w:val="0"/>
                <w:sz w:val="20"/>
              </w:rPr>
              <w:t>“Analyzed using Delve / NVivo”</w:t>
            </w:r>
          </w:p>
        </w:tc>
        <w:tc>
          <w:tcPr>
            <w:tcW w:type="dxa" w:w="3120"/>
          </w:tcPr>
          <w:p>
            <w:pPr>
              <w:spacing w:after="40" w:before="40" w:line="240" w:lineRule="auto"/>
            </w:pPr>
            <w:r/>
            <w:r>
              <w:rPr>
                <w:rFonts w:ascii="Times New Roman" w:hAnsi="Times New Roman" w:eastAsia="Times New Roman"/>
                <w:b w:val="0"/>
                <w:i w:val="0"/>
                <w:sz w:val="20"/>
              </w:rPr>
              <w:t>Names the store as the method</w:t>
            </w:r>
          </w:p>
        </w:tc>
        <w:tc>
          <w:tcPr>
            <w:tcW w:type="dxa" w:w="3120"/>
          </w:tcPr>
          <w:p>
            <w:pPr>
              <w:spacing w:after="40" w:before="40" w:line="240" w:lineRule="auto"/>
            </w:pPr>
            <w:r/>
            <w:r>
              <w:rPr>
                <w:rFonts w:ascii="Times New Roman" w:hAnsi="Times New Roman" w:eastAsia="Times New Roman"/>
                <w:b w:val="0"/>
                <w:i w:val="0"/>
                <w:sz w:val="20"/>
              </w:rPr>
              <w:t>Method is hybrid codebook thematic analysis (Fereday &amp; Muir-Cochrane, 2006). Delve stores CLEAN transcripts, codes, memos, and snippet URLs.</w:t>
            </w:r>
          </w:p>
        </w:tc>
      </w:tr>
      <w:tr>
        <w:tc>
          <w:tcPr>
            <w:tcW w:type="dxa" w:w="3120"/>
          </w:tcPr>
          <w:p>
            <w:pPr>
              <w:spacing w:after="40" w:before="40" w:line="240" w:lineRule="auto"/>
            </w:pPr>
            <w:r/>
            <w:r>
              <w:rPr>
                <w:rFonts w:ascii="Times New Roman" w:hAnsi="Times New Roman" w:eastAsia="Times New Roman"/>
                <w:b w:val="0"/>
                <w:i w:val="0"/>
                <w:sz w:val="20"/>
              </w:rPr>
              <w:t>Lived experience / essence / voices</w:t>
            </w:r>
          </w:p>
        </w:tc>
        <w:tc>
          <w:tcPr>
            <w:tcW w:type="dxa" w:w="3120"/>
          </w:tcPr>
          <w:p>
            <w:pPr>
              <w:spacing w:after="40" w:before="40" w:line="240" w:lineRule="auto"/>
            </w:pPr>
            <w:r/>
            <w:r>
              <w:rPr>
                <w:rFonts w:ascii="Times New Roman" w:hAnsi="Times New Roman" w:eastAsia="Times New Roman"/>
                <w:b w:val="0"/>
                <w:i w:val="0"/>
                <w:sz w:val="20"/>
              </w:rPr>
              <w:t>Phenomenology language in a GQI</w:t>
            </w:r>
          </w:p>
        </w:tc>
        <w:tc>
          <w:tcPr>
            <w:tcW w:type="dxa" w:w="3120"/>
          </w:tcPr>
          <w:p>
            <w:pPr>
              <w:spacing w:after="40" w:before="40" w:line="240" w:lineRule="auto"/>
            </w:pPr>
            <w:r/>
            <w:r>
              <w:rPr>
                <w:rFonts w:ascii="Times New Roman" w:hAnsi="Times New Roman" w:eastAsia="Times New Roman"/>
                <w:b w:val="0"/>
                <w:i w:val="0"/>
                <w:sz w:val="20"/>
              </w:rPr>
              <w:t>Use managers’ accounts of a named event, decisions, and artifacts (Percy et al., 2015).</w:t>
            </w:r>
          </w:p>
        </w:tc>
      </w:tr>
      <w:tr>
        <w:tc>
          <w:tcPr>
            <w:tcW w:type="dxa" w:w="3120"/>
          </w:tcPr>
          <w:p>
            <w:pPr>
              <w:spacing w:after="40" w:before="40" w:line="240" w:lineRule="auto"/>
            </w:pPr>
            <w:r/>
            <w:r>
              <w:rPr>
                <w:rFonts w:ascii="Times New Roman" w:hAnsi="Times New Roman" w:eastAsia="Times New Roman"/>
                <w:b w:val="0"/>
                <w:i w:val="0"/>
                <w:sz w:val="20"/>
              </w:rPr>
              <w:t>Member check of theme titles</w:t>
            </w:r>
          </w:p>
        </w:tc>
        <w:tc>
          <w:tcPr>
            <w:tcW w:type="dxa" w:w="3120"/>
          </w:tcPr>
          <w:p>
            <w:pPr>
              <w:spacing w:after="40" w:before="40" w:line="240" w:lineRule="auto"/>
            </w:pPr>
            <w:r/>
            <w:r>
              <w:rPr>
                <w:rFonts w:ascii="Times New Roman" w:hAnsi="Times New Roman" w:eastAsia="Times New Roman"/>
                <w:b w:val="0"/>
                <w:i w:val="0"/>
                <w:sz w:val="20"/>
              </w:rPr>
              <w:t>Political sanitizing of contested proof</w:t>
            </w:r>
          </w:p>
        </w:tc>
        <w:tc>
          <w:tcPr>
            <w:tcW w:type="dxa" w:w="3120"/>
          </w:tcPr>
          <w:p>
            <w:pPr>
              <w:spacing w:after="40" w:before="40" w:line="240" w:lineRule="auto"/>
            </w:pPr>
            <w:r/>
            <w:r>
              <w:rPr>
                <w:rFonts w:ascii="Times New Roman" w:hAnsi="Times New Roman" w:eastAsia="Times New Roman"/>
                <w:b w:val="0"/>
                <w:i w:val="0"/>
                <w:sz w:val="20"/>
              </w:rPr>
              <w:t>Seven-day factual check of sequence, roles, and artifact type only.</w:t>
            </w:r>
          </w:p>
        </w:tc>
      </w:tr>
    </w:tbl>
    <w:p/>
    <w:p>
      <w:pPr>
        <w:spacing w:after="160" w:before="240" w:line="480" w:lineRule="auto"/>
      </w:pPr>
      <w:r>
        <w:rPr>
          <w:rFonts w:ascii="Times New Roman" w:hAnsi="Times New Roman" w:eastAsia="Times New Roman"/>
          <w:b/>
          <w:i w:val="0"/>
          <w:color w:val="1F3A5F"/>
          <w:sz w:val="28"/>
        </w:rPr>
        <w:t>3.1 Introduction and chapter overview</w:t>
      </w:r>
    </w:p>
    <w:p>
      <w:pPr>
        <w:spacing w:after="120" w:before="0" w:line="480" w:lineRule="auto"/>
      </w:pPr>
      <w:r>
        <w:rPr>
          <w:rFonts w:ascii="Times New Roman" w:hAnsi="Times New Roman" w:eastAsia="Times New Roman"/>
          <w:b w:val="0"/>
          <w:i w:val="0"/>
          <w:sz w:val="24"/>
        </w:rPr>
        <w:t>Chapter II established the theoretical and empirical background for stakeholder-claim management in IT disaster recovery on external platforms and located the gap: U.S. SME IT and network managers must handle competing restoration claims without a clear account of how authority and proof are enacted under time pressure. Chapter III specifies the operational methods that will collect and analyze managers’ accounts of one named recovery or test event so that Chapter IV can report patterned-meaning findings and Chapter V can interpret them.</w:t>
      </w:r>
    </w:p>
    <w:p>
      <w:pPr>
        <w:spacing w:after="120" w:before="0" w:line="480" w:lineRule="auto"/>
      </w:pPr>
      <w:r>
        <w:rPr>
          <w:rFonts w:ascii="Times New Roman" w:hAnsi="Times New Roman" w:eastAsia="Times New Roman"/>
          <w:b w:val="0"/>
          <w:i w:val="0"/>
          <w:sz w:val="24"/>
        </w:rPr>
        <w:t>The purpose of this generic qualitative inquiry is to describe how those managers account for stakeholder-claim management and salience shifts in one named ITDRPaaS recovery or test event, and how those shifts are enacted as decision rights, escalation, and defensible proof (Caelli et al., 2003; Kahlke, 2014; Percy et al., 2015; Mitchell et al., 1997). This chapter therefore outlines:</w:t>
      </w:r>
    </w:p>
    <w:p>
      <w:pPr>
        <w:pStyle w:val="ListNumber"/>
        <w:spacing w:line="480" w:lineRule="auto"/>
      </w:pPr>
      <w:r>
        <w:rPr>
          <w:rFonts w:ascii="Times New Roman" w:hAnsi="Times New Roman" w:eastAsia="Times New Roman"/>
          <w:b w:val="0"/>
          <w:i w:val="0"/>
          <w:sz w:val="24"/>
        </w:rPr>
        <w:t>The philosophical stance and justification for generic qualitative inquiry with a critical-incident interview stance.</w:t>
      </w:r>
    </w:p>
    <w:p>
      <w:pPr>
        <w:pStyle w:val="ListNumber"/>
        <w:spacing w:line="480" w:lineRule="auto"/>
      </w:pPr>
      <w:r>
        <w:rPr>
          <w:rFonts w:ascii="Times New Roman" w:hAnsi="Times New Roman" w:eastAsia="Times New Roman"/>
          <w:b w:val="0"/>
          <w:i w:val="0"/>
          <w:sz w:val="24"/>
        </w:rPr>
        <w:t>The role of the researcher, positionality, and reflexive memoing.</w:t>
      </w:r>
    </w:p>
    <w:p>
      <w:pPr>
        <w:pStyle w:val="ListNumber"/>
        <w:spacing w:line="480" w:lineRule="auto"/>
      </w:pPr>
      <w:r>
        <w:rPr>
          <w:rFonts w:ascii="Times New Roman" w:hAnsi="Times New Roman" w:eastAsia="Times New Roman"/>
          <w:b w:val="0"/>
          <w:i w:val="0"/>
          <w:sz w:val="24"/>
        </w:rPr>
        <w:t>Criterion-based purposive sampling with a locked sample of 12 participants, justified by information power.</w:t>
      </w:r>
    </w:p>
    <w:p>
      <w:pPr>
        <w:pStyle w:val="ListNumber"/>
        <w:spacing w:line="480" w:lineRule="auto"/>
      </w:pPr>
      <w:r>
        <w:rPr>
          <w:rFonts w:ascii="Times New Roman" w:hAnsi="Times New Roman" w:eastAsia="Times New Roman"/>
          <w:b w:val="0"/>
          <w:i w:val="0"/>
          <w:sz w:val="24"/>
        </w:rPr>
        <w:t xml:space="preserve">The unpublished interview instrument </w:t>
      </w:r>
      <w:r>
        <w:rPr>
          <w:rFonts w:ascii="Times New Roman" w:hAnsi="Times New Roman" w:eastAsia="Times New Roman"/>
          <w:i/>
          <w:sz w:val="24"/>
        </w:rPr>
        <w:t>ITDR-GQI-INT-v0.1.1</w:t>
      </w:r>
      <w:r>
        <w:rPr>
          <w:rFonts w:ascii="Times New Roman" w:hAnsi="Times New Roman" w:eastAsia="Times New Roman"/>
          <w:b w:val="0"/>
          <w:i w:val="0"/>
          <w:sz w:val="24"/>
        </w:rPr>
        <w:t xml:space="preserve"> and the artifact pipeline.</w:t>
      </w:r>
    </w:p>
    <w:p>
      <w:pPr>
        <w:pStyle w:val="ListNumber"/>
        <w:spacing w:line="480" w:lineRule="auto"/>
      </w:pPr>
      <w:r>
        <w:rPr>
          <w:rFonts w:ascii="Times New Roman" w:hAnsi="Times New Roman" w:eastAsia="Times New Roman"/>
          <w:b w:val="0"/>
          <w:i w:val="0"/>
          <w:sz w:val="24"/>
        </w:rPr>
        <w:t>Hybrid codebook thematic analysis, meaning-unit lock, and the Delve audit nest.</w:t>
      </w:r>
    </w:p>
    <w:p>
      <w:pPr>
        <w:pStyle w:val="ListNumber"/>
        <w:spacing w:line="480" w:lineRule="auto"/>
      </w:pPr>
      <w:r>
        <w:rPr>
          <w:rFonts w:ascii="Times New Roman" w:hAnsi="Times New Roman" w:eastAsia="Times New Roman"/>
          <w:b w:val="0"/>
          <w:i w:val="0"/>
          <w:sz w:val="24"/>
        </w:rPr>
        <w:t>Trustworthiness operations (Lincoln &amp; Guba, 1985).</w:t>
      </w:r>
    </w:p>
    <w:p>
      <w:pPr>
        <w:pStyle w:val="ListNumber"/>
        <w:spacing w:line="480" w:lineRule="auto"/>
      </w:pPr>
      <w:r>
        <w:rPr>
          <w:rFonts w:ascii="Times New Roman" w:hAnsi="Times New Roman" w:eastAsia="Times New Roman"/>
          <w:b w:val="0"/>
          <w:i w:val="0"/>
          <w:sz w:val="24"/>
        </w:rPr>
        <w:t>Ethical protections, Capella IRB submission, and data-handling rules.</w:t>
      </w:r>
    </w:p>
    <w:p>
      <w:pPr>
        <w:spacing w:after="120" w:before="0" w:line="480" w:lineRule="auto"/>
      </w:pPr>
      <w:r>
        <w:rPr>
          <w:rFonts w:ascii="Times New Roman" w:hAnsi="Times New Roman" w:eastAsia="Times New Roman"/>
          <w:b w:val="0"/>
          <w:i w:val="0"/>
          <w:sz w:val="24"/>
        </w:rPr>
        <w:t>Official research-question wording has not been locked. Until it is, the two implied project questions are labeled PQ1 and PQ2. Replace those labels with the approved wording without changing the unit of analysis.</w:t>
      </w:r>
    </w:p>
    <w:p>
      <w:pPr>
        <w:spacing w:after="120" w:before="0" w:line="480" w:lineRule="auto"/>
      </w:pPr>
      <w:r>
        <w:rPr>
          <w:rFonts w:ascii="Times New Roman" w:hAnsi="Times New Roman" w:eastAsia="Times New Roman"/>
          <w:b/>
          <w:i w:val="0"/>
          <w:sz w:val="24"/>
        </w:rPr>
        <w:t>Implied project questions</w:t>
      </w:r>
    </w:p>
    <w:p>
      <w:pPr>
        <w:pStyle w:val="ListBullet"/>
        <w:spacing w:line="480" w:lineRule="auto"/>
      </w:pPr>
      <w:r>
        <w:rPr>
          <w:rFonts w:ascii="Times New Roman" w:hAnsi="Times New Roman" w:eastAsia="Times New Roman"/>
          <w:b/>
          <w:i w:val="0"/>
          <w:sz w:val="24"/>
        </w:rPr>
        <w:t>PQ1.</w:t>
      </w:r>
      <w:r>
        <w:rPr>
          <w:rFonts w:ascii="Times New Roman" w:hAnsi="Times New Roman" w:eastAsia="Times New Roman"/>
          <w:b w:val="0"/>
          <w:i w:val="0"/>
          <w:sz w:val="24"/>
        </w:rPr>
        <w:t xml:space="preserve"> How do U.S. SME IT and network managers describe stakeholder-claim management and salience shifts (power, legitimacy, urgency) during ITDRPaaS recovery or testing incidents?</w:t>
      </w:r>
    </w:p>
    <w:p>
      <w:pPr>
        <w:pStyle w:val="ListBullet"/>
        <w:spacing w:line="480" w:lineRule="auto"/>
      </w:pPr>
      <w:r>
        <w:rPr>
          <w:rFonts w:ascii="Times New Roman" w:hAnsi="Times New Roman" w:eastAsia="Times New Roman"/>
          <w:b/>
          <w:i w:val="0"/>
          <w:sz w:val="24"/>
        </w:rPr>
        <w:t>PQ2.</w:t>
      </w:r>
      <w:r>
        <w:rPr>
          <w:rFonts w:ascii="Times New Roman" w:hAnsi="Times New Roman" w:eastAsia="Times New Roman"/>
          <w:b w:val="0"/>
          <w:i w:val="0"/>
          <w:sz w:val="24"/>
        </w:rPr>
        <w:t xml:space="preserve"> How do those shifts get enacted as decision rights, escalation pathways, and evidentiary / recoverability-assurance standards that managers can defend to stakeholders?</w:t>
      </w:r>
    </w:p>
    <w:p>
      <w:pPr>
        <w:spacing w:after="120" w:before="0" w:line="480" w:lineRule="auto"/>
      </w:pPr>
      <w:r>
        <w:rPr>
          <w:rFonts w:ascii="Times New Roman" w:hAnsi="Times New Roman" w:eastAsia="Times New Roman"/>
          <w:b/>
          <w:i w:val="0"/>
          <w:sz w:val="24"/>
        </w:rPr>
        <w:t>Unit of analysis.</w:t>
      </w:r>
      <w:r>
        <w:rPr>
          <w:rFonts w:ascii="Times New Roman" w:hAnsi="Times New Roman" w:eastAsia="Times New Roman"/>
          <w:b w:val="0"/>
          <w:i w:val="0"/>
          <w:sz w:val="24"/>
        </w:rPr>
        <w:t xml:space="preserve"> One U.S. SME IT, network, systems, infrastructure, or operations manager recounting one qualifying disruption, failover, recovery test, or operational recovery in the preceding 36 months in which an external recovery platform or managed recovery service was used.</w:t>
      </w:r>
    </w:p>
    <w:p>
      <w:pPr>
        <w:spacing w:after="120" w:before="0" w:line="480" w:lineRule="auto"/>
      </w:pPr>
      <w:r>
        <w:rPr>
          <w:rFonts w:ascii="Times New Roman" w:hAnsi="Times New Roman" w:eastAsia="Times New Roman"/>
          <w:b w:val="0"/>
          <w:i w:val="0"/>
          <w:sz w:val="24"/>
        </w:rPr>
        <w:t>Chapter III plans that chain. It does not claim final themes. Theme titles, patterned-meaning claims, and answers to PQ1 and PQ2 belong in Chapter IV. Interpretation, implications, and limitations belong in Chapter V.</w:t>
      </w:r>
    </w:p>
    <w:p>
      <w:pPr>
        <w:spacing w:after="160" w:before="240" w:line="480" w:lineRule="auto"/>
      </w:pPr>
      <w:r>
        <w:rPr>
          <w:rFonts w:ascii="Times New Roman" w:hAnsi="Times New Roman" w:eastAsia="Times New Roman"/>
          <w:b/>
          <w:i w:val="0"/>
          <w:color w:val="1F3A5F"/>
          <w:sz w:val="28"/>
        </w:rPr>
        <w:t>3.2 Research design and methodological justification</w:t>
      </w:r>
    </w:p>
    <w:p>
      <w:pPr>
        <w:spacing w:after="160" w:before="240" w:line="480" w:lineRule="auto"/>
      </w:pPr>
      <w:r>
        <w:rPr>
          <w:rFonts w:ascii="Times New Roman" w:hAnsi="Times New Roman" w:eastAsia="Times New Roman"/>
          <w:b/>
          <w:i w:val="0"/>
          <w:color w:val="1F3A5F"/>
          <w:sz w:val="24"/>
        </w:rPr>
        <w:t>3.2.1 Philosophical worldview</w:t>
      </w:r>
    </w:p>
    <w:p>
      <w:pPr>
        <w:spacing w:after="120" w:before="0" w:line="480" w:lineRule="auto"/>
      </w:pPr>
      <w:r>
        <w:rPr>
          <w:rFonts w:ascii="Times New Roman" w:hAnsi="Times New Roman" w:eastAsia="Times New Roman"/>
          <w:b w:val="0"/>
          <w:i w:val="0"/>
          <w:sz w:val="24"/>
        </w:rPr>
        <w:t>The study is situated in an interpretivist / constructivist stance: meaning is produced in managers’ accounts of organizational events, decisions, and artifacts, not measured as a variable (Creswell &amp; Poth, 2018; Percy et al., 2015). That stance does not convert the study into phenomenology. The chapter therefore does not use “lived experience,” “essence,” “epoché as the method,” or “voices” as analytic claims.</w:t>
      </w:r>
    </w:p>
    <w:p>
      <w:pPr>
        <w:spacing w:after="160" w:before="240" w:line="480" w:lineRule="auto"/>
      </w:pPr>
      <w:r>
        <w:rPr>
          <w:rFonts w:ascii="Times New Roman" w:hAnsi="Times New Roman" w:eastAsia="Times New Roman"/>
          <w:b/>
          <w:i w:val="0"/>
          <w:color w:val="1F3A5F"/>
          <w:sz w:val="24"/>
        </w:rPr>
        <w:t>3.2.2 Generic qualitative design rationale</w:t>
      </w:r>
    </w:p>
    <w:p>
      <w:pPr>
        <w:spacing w:after="120" w:before="0" w:line="480" w:lineRule="auto"/>
      </w:pPr>
      <w:r>
        <w:rPr>
          <w:rFonts w:ascii="Times New Roman" w:hAnsi="Times New Roman" w:eastAsia="Times New Roman"/>
          <w:b w:val="0"/>
          <w:i w:val="0"/>
          <w:sz w:val="24"/>
        </w:rPr>
        <w:t>Generic qualitative inquiry is the congruent design because the object of study is managers’ patterned descriptions of external events, decisions, artifacts, and conditions (Caelli et al., 2003; Kahlke, 2014; Percy et al., 2015; Capella University, n.d.-c). GQI permits theoretically informed interview items when those items stay in manager language and when the constructs that informed them are not treated as conclusions (Percy et al., 2015). That permission is why Sets L and A–F can be built from stakeholder-salience and enactment constructs without converting the study into a confirmatory test of Mitchell et al. (1997).</w:t>
      </w:r>
    </w:p>
    <w:p>
      <w:pPr>
        <w:spacing w:after="120" w:before="0" w:line="480" w:lineRule="auto"/>
      </w:pPr>
      <w:r>
        <w:rPr>
          <w:rFonts w:ascii="Times New Roman" w:hAnsi="Times New Roman" w:eastAsia="Times New Roman"/>
          <w:b w:val="0"/>
          <w:i w:val="0"/>
          <w:sz w:val="24"/>
        </w:rPr>
        <w:t>The design is not an audit. NIST, ISO, and BCM materials may appear as industry context, and a manager may name them during an incident account. They are not coding systems. Artifacts are not scored for compliance (Creswell &amp; Poth, 2018).</w:t>
      </w:r>
    </w:p>
    <w:p>
      <w:pPr>
        <w:spacing w:after="160" w:before="240" w:line="480" w:lineRule="auto"/>
      </w:pPr>
      <w:r>
        <w:rPr>
          <w:rFonts w:ascii="Times New Roman" w:hAnsi="Times New Roman" w:eastAsia="Times New Roman"/>
          <w:b/>
          <w:i w:val="0"/>
          <w:color w:val="1F3A5F"/>
          <w:sz w:val="24"/>
        </w:rPr>
        <w:t>3.2.3 Critical-incident interview stance</w:t>
      </w:r>
    </w:p>
    <w:p>
      <w:pPr>
        <w:spacing w:after="120" w:before="0" w:line="480" w:lineRule="auto"/>
      </w:pPr>
      <w:r>
        <w:rPr>
          <w:rFonts w:ascii="Times New Roman" w:hAnsi="Times New Roman" w:eastAsia="Times New Roman"/>
          <w:b w:val="0"/>
          <w:i w:val="0"/>
          <w:sz w:val="24"/>
        </w:rPr>
        <w:t>The interview stance is the critical incident technique, not a saturation-driven interview method (Flanagan, 1954; Chell, 2004; Butterfield et al., 2005). CIT is used because the gap is operational: how competing stakeholder claims were handled when restoration had to be ranked, delayed, or declared done. A named event supplies a bounded story in which salience can shift and in which decision rights, escalation, and proof can be observed as enacted, including when they were not used.</w:t>
      </w:r>
    </w:p>
    <w:p>
      <w:pPr>
        <w:spacing w:after="120" w:before="0" w:line="480" w:lineRule="auto"/>
      </w:pPr>
      <w:r>
        <w:rPr>
          <w:rFonts w:ascii="Times New Roman" w:hAnsi="Times New Roman" w:eastAsia="Times New Roman"/>
          <w:b w:val="0"/>
          <w:i w:val="0"/>
          <w:sz w:val="24"/>
        </w:rPr>
        <w:t>Guest et al. (2006) is not the interview method. That source is reserved for the later stopping discussion only.</w:t>
      </w:r>
    </w:p>
    <w:p>
      <w:pPr>
        <w:spacing w:after="160" w:before="240" w:line="480" w:lineRule="auto"/>
      </w:pPr>
      <w:r>
        <w:rPr>
          <w:rFonts w:ascii="Times New Roman" w:hAnsi="Times New Roman" w:eastAsia="Times New Roman"/>
          <w:b/>
          <w:i w:val="0"/>
          <w:color w:val="1F3A5F"/>
          <w:sz w:val="24"/>
        </w:rPr>
        <w:t>3.2.4 Framework role: sensitizing, not confirmatory</w:t>
      </w:r>
    </w:p>
    <w:p>
      <w:pPr>
        <w:spacing w:after="120" w:before="0" w:line="480" w:lineRule="auto"/>
      </w:pPr>
      <w:r>
        <w:rPr>
          <w:rFonts w:ascii="Times New Roman" w:hAnsi="Times New Roman" w:eastAsia="Times New Roman"/>
          <w:b w:val="0"/>
          <w:i w:val="0"/>
          <w:sz w:val="24"/>
        </w:rPr>
        <w:t>Stakeholder identification and salience theory specifies that managers’ attention to claims is a function of power, legitimacy, and urgency (Mitchell et al., 1997). Subsequent work tested and refined that mechanism and is used as build-on literature, not as a replacement for the original definitions (Agle et al., 1999; Neville et al., 2011; Parent &amp; Deephouse, 2007). Recoverability assurance is treated as decision-relevant, reviewable evidence that prioritized services can be restored within tolerance (Lowry et al., 2025; Park et al., 2023; bibliographic details pending verification).</w:t>
      </w:r>
    </w:p>
    <w:p>
      <w:pPr>
        <w:spacing w:after="120" w:before="0" w:line="480" w:lineRule="auto"/>
      </w:pPr>
      <w:r>
        <w:rPr>
          <w:rFonts w:ascii="Times New Roman" w:hAnsi="Times New Roman" w:eastAsia="Times New Roman"/>
          <w:b w:val="0"/>
          <w:i w:val="0"/>
          <w:sz w:val="24"/>
        </w:rPr>
        <w:t>Those sources sit on the Constructs and What We Know nodes. They do not pre-write Chapter IV themes. In analysis they justify a deductive start-list. Inductive codes are added only after meaning units are locked (Aronson, 1994; Fereday &amp; Muir-Cochrane, 2006; Taylor &amp; Bogdan, 1998).</w:t>
      </w:r>
    </w:p>
    <w:p>
      <w:pPr>
        <w:spacing w:after="120" w:before="0" w:line="480" w:lineRule="auto"/>
      </w:pPr>
      <w:r>
        <w:rPr>
          <w:rFonts w:ascii="Times New Roman" w:hAnsi="Times New Roman" w:eastAsia="Times New Roman"/>
          <w:b w:val="0"/>
          <w:i w:val="0"/>
          <w:sz w:val="24"/>
        </w:rPr>
        <w:t>Leverage (</w:t>
      </w:r>
      <w:r>
        <w:rPr>
          <w:rFonts w:ascii="Times New Roman" w:hAnsi="Times New Roman" w:eastAsia="Times New Roman"/>
          <w:i/>
          <w:sz w:val="24"/>
        </w:rPr>
        <w:t>Lev</w:t>
      </w:r>
      <w:r>
        <w:rPr>
          <w:rFonts w:ascii="Times New Roman" w:hAnsi="Times New Roman" w:eastAsia="Times New Roman"/>
          <w:b w:val="0"/>
          <w:i w:val="0"/>
          <w:sz w:val="24"/>
        </w:rPr>
        <w:t>) is the enacted combination of power, legitimacy, and/or urgency in the named incident. It is not a fourth Mitchell attribute. Mitchell type names (</w:t>
      </w:r>
      <w:r>
        <w:rPr>
          <w:rFonts w:ascii="Times New Roman" w:hAnsi="Times New Roman" w:eastAsia="Times New Roman"/>
          <w:i/>
          <w:sz w:val="24"/>
        </w:rPr>
        <w:t>dormant</w:t>
      </w:r>
      <w:r>
        <w:rPr>
          <w:rFonts w:ascii="Times New Roman" w:hAnsi="Times New Roman" w:eastAsia="Times New Roman"/>
          <w:b w:val="0"/>
          <w:i w:val="0"/>
          <w:sz w:val="24"/>
        </w:rPr>
        <w:t xml:space="preserve">, </w:t>
      </w:r>
      <w:r>
        <w:rPr>
          <w:rFonts w:ascii="Times New Roman" w:hAnsi="Times New Roman" w:eastAsia="Times New Roman"/>
          <w:i/>
          <w:sz w:val="24"/>
        </w:rPr>
        <w:t>discretionary</w:t>
      </w:r>
      <w:r>
        <w:rPr>
          <w:rFonts w:ascii="Times New Roman" w:hAnsi="Times New Roman" w:eastAsia="Times New Roman"/>
          <w:b w:val="0"/>
          <w:i w:val="0"/>
          <w:sz w:val="24"/>
        </w:rPr>
        <w:t xml:space="preserve">, </w:t>
      </w:r>
      <w:r>
        <w:rPr>
          <w:rFonts w:ascii="Times New Roman" w:hAnsi="Times New Roman" w:eastAsia="Times New Roman"/>
          <w:i/>
          <w:sz w:val="24"/>
        </w:rPr>
        <w:t>demanding</w:t>
      </w:r>
      <w:r>
        <w:rPr>
          <w:rFonts w:ascii="Times New Roman" w:hAnsi="Times New Roman" w:eastAsia="Times New Roman"/>
          <w:b w:val="0"/>
          <w:i w:val="0"/>
          <w:sz w:val="24"/>
        </w:rPr>
        <w:t xml:space="preserve">, </w:t>
      </w:r>
      <w:r>
        <w:rPr>
          <w:rFonts w:ascii="Times New Roman" w:hAnsi="Times New Roman" w:eastAsia="Times New Roman"/>
          <w:i/>
          <w:sz w:val="24"/>
        </w:rPr>
        <w:t>dominant</w:t>
      </w:r>
      <w:r>
        <w:rPr>
          <w:rFonts w:ascii="Times New Roman" w:hAnsi="Times New Roman" w:eastAsia="Times New Roman"/>
          <w:b w:val="0"/>
          <w:i w:val="0"/>
          <w:sz w:val="24"/>
        </w:rPr>
        <w:t xml:space="preserve">, </w:t>
      </w:r>
      <w:r>
        <w:rPr>
          <w:rFonts w:ascii="Times New Roman" w:hAnsi="Times New Roman" w:eastAsia="Times New Roman"/>
          <w:i/>
          <w:sz w:val="24"/>
        </w:rPr>
        <w:t>dangerous</w:t>
      </w:r>
      <w:r>
        <w:rPr>
          <w:rFonts w:ascii="Times New Roman" w:hAnsi="Times New Roman" w:eastAsia="Times New Roman"/>
          <w:b w:val="0"/>
          <w:i w:val="0"/>
          <w:sz w:val="24"/>
        </w:rPr>
        <w:t xml:space="preserve">, </w:t>
      </w:r>
      <w:r>
        <w:rPr>
          <w:rFonts w:ascii="Times New Roman" w:hAnsi="Times New Roman" w:eastAsia="Times New Roman"/>
          <w:i/>
          <w:sz w:val="24"/>
        </w:rPr>
        <w:t>dependent</w:t>
      </w:r>
      <w:r>
        <w:rPr>
          <w:rFonts w:ascii="Times New Roman" w:hAnsi="Times New Roman" w:eastAsia="Times New Roman"/>
          <w:b w:val="0"/>
          <w:i w:val="0"/>
          <w:sz w:val="24"/>
        </w:rPr>
        <w:t xml:space="preserve">, </w:t>
      </w:r>
      <w:r>
        <w:rPr>
          <w:rFonts w:ascii="Times New Roman" w:hAnsi="Times New Roman" w:eastAsia="Times New Roman"/>
          <w:i/>
          <w:sz w:val="24"/>
        </w:rPr>
        <w:t>definitive</w:t>
      </w:r>
      <w:r>
        <w:rPr>
          <w:rFonts w:ascii="Times New Roman" w:hAnsi="Times New Roman" w:eastAsia="Times New Roman"/>
          <w:b w:val="0"/>
          <w:i w:val="0"/>
          <w:sz w:val="24"/>
        </w:rPr>
        <w:t>) stay in the researcher-only leverage memo. They are not Delve theme titles and they are not sampling quotas.</w:t>
      </w:r>
    </w:p>
    <w:p>
      <w:pPr>
        <w:spacing w:after="160" w:before="240" w:line="480" w:lineRule="auto"/>
      </w:pPr>
      <w:r>
        <w:rPr>
          <w:rFonts w:ascii="Times New Roman" w:hAnsi="Times New Roman" w:eastAsia="Times New Roman"/>
          <w:b/>
          <w:i w:val="0"/>
          <w:color w:val="1F3A5F"/>
          <w:sz w:val="28"/>
        </w:rPr>
        <w:t>3.3 Role of the researcher, positionality, and reflexivity</w:t>
      </w:r>
    </w:p>
    <w:p>
      <w:pPr>
        <w:spacing w:after="160" w:before="240" w:line="480" w:lineRule="auto"/>
      </w:pPr>
      <w:r>
        <w:rPr>
          <w:rFonts w:ascii="Times New Roman" w:hAnsi="Times New Roman" w:eastAsia="Times New Roman"/>
          <w:b/>
          <w:i w:val="0"/>
          <w:color w:val="1F3A5F"/>
          <w:sz w:val="24"/>
        </w:rPr>
        <w:t>3.3.1 The researcher as the primary instrument</w:t>
      </w:r>
    </w:p>
    <w:p>
      <w:pPr>
        <w:spacing w:after="120" w:before="0" w:line="480" w:lineRule="auto"/>
      </w:pPr>
      <w:r>
        <w:rPr>
          <w:rFonts w:ascii="Times New Roman" w:hAnsi="Times New Roman" w:eastAsia="Times New Roman"/>
          <w:b w:val="0"/>
          <w:i w:val="0"/>
          <w:sz w:val="24"/>
        </w:rPr>
        <w:t>In this single-researcher dissertation, the researcher is the primary instrument of collection, coding, and synthesis (Creswell &amp; Poth, 2018; Pezalla et al., 2012). The researcher conducts the 60–75 minute interviews, produces CLEAN transcripts, applies the imported codebook in Delve, locks meaning units, and writes Chapter IV claims. Delve does not perform the analysis.</w:t>
      </w:r>
    </w:p>
    <w:p>
      <w:pPr>
        <w:spacing w:after="120" w:before="0" w:line="480" w:lineRule="auto"/>
      </w:pPr>
      <w:r>
        <w:rPr>
          <w:rFonts w:ascii="Times New Roman" w:hAnsi="Times New Roman" w:eastAsia="Times New Roman"/>
          <w:b w:val="0"/>
          <w:i w:val="0"/>
          <w:sz w:val="24"/>
        </w:rPr>
        <w:t>That role has two risks that this SOP treats as Gap-data threats: (a) supplying a salience word the participant has not used, and (b) treating a written plan or a vendor name as “real proof” faster than the incident account warrants. The mitigations are a written protocol, skip-if-covered rules, a coverage checklist, a 24-hour reflexive memo, empty EMERGENT until meaning-unit lock, and required boundary cases.</w:t>
      </w:r>
    </w:p>
    <w:p>
      <w:pPr>
        <w:spacing w:after="160" w:before="240" w:line="480" w:lineRule="auto"/>
      </w:pPr>
      <w:r>
        <w:rPr>
          <w:rFonts w:ascii="Times New Roman" w:hAnsi="Times New Roman" w:eastAsia="Times New Roman"/>
          <w:b/>
          <w:i w:val="0"/>
          <w:color w:val="1F3A5F"/>
          <w:sz w:val="24"/>
        </w:rPr>
        <w:t>3.3.2 Positionality</w:t>
      </w:r>
    </w:p>
    <w:p>
      <w:pPr>
        <w:spacing w:after="120" w:before="0" w:line="480" w:lineRule="auto"/>
      </w:pPr>
      <w:r>
        <w:rPr>
          <w:rFonts w:ascii="Times New Roman" w:hAnsi="Times New Roman" w:eastAsia="Times New Roman"/>
          <w:b w:val="0"/>
          <w:i w:val="0"/>
          <w:sz w:val="24"/>
        </w:rPr>
        <w:t>The researcher is a Capella doctoral candidate studying SME IT disaster-recovery governance. Domain fluency (IT operations, recovery platforms, incident talk) is an insider resource for hearing manager language. The researcher does not recruit through a supervisor, an employer’s command chain, or a vendor account manager, and does not hold decision authority over any participant. That outsider constraint is both an ethical protection and a data-quality protection: supervisor-visible invitation would raise the risk that contested authority and failed-proof talk—the exact material PQ2 requires—would be withheld or sanitized.</w:t>
      </w:r>
    </w:p>
    <w:p>
      <w:pPr>
        <w:spacing w:after="120" w:before="0" w:line="480" w:lineRule="auto"/>
      </w:pPr>
      <w:r>
        <w:rPr>
          <w:rFonts w:ascii="Times New Roman" w:hAnsi="Times New Roman" w:eastAsia="Times New Roman"/>
          <w:b w:val="0"/>
          <w:i w:val="0"/>
          <w:sz w:val="24"/>
        </w:rPr>
        <w:t>This SOP does not invent years of service, a named employer, or a completed expert-panel biography. Those details, if used, belong in the researcher’s IRB protocol and personal statement, not as fabricated methods facts.</w:t>
      </w:r>
    </w:p>
    <w:p>
      <w:pPr>
        <w:spacing w:after="160" w:before="240" w:line="480" w:lineRule="auto"/>
      </w:pPr>
      <w:r>
        <w:rPr>
          <w:rFonts w:ascii="Times New Roman" w:hAnsi="Times New Roman" w:eastAsia="Times New Roman"/>
          <w:b/>
          <w:i w:val="0"/>
          <w:color w:val="1F3A5F"/>
          <w:sz w:val="24"/>
        </w:rPr>
        <w:t>3.3.3 Reflexive memo (write within 24 hours)</w:t>
      </w:r>
    </w:p>
    <w:p>
      <w:pPr>
        <w:spacing w:after="120" w:before="0" w:line="480" w:lineRule="auto"/>
      </w:pPr>
      <w:r>
        <w:rPr>
          <w:rFonts w:ascii="Times New Roman" w:hAnsi="Times New Roman" w:eastAsia="Times New Roman"/>
          <w:b w:val="0"/>
          <w:i w:val="0"/>
          <w:sz w:val="24"/>
        </w:rPr>
        <w:t>Bracketing in this GQI is procedural, not a phenomenological epoché (Moustakas is not the method). After each interview the researcher answers five lines:</w:t>
      </w:r>
    </w:p>
    <w:p>
      <w:pPr>
        <w:pStyle w:val="ListNumber"/>
        <w:spacing w:line="480" w:lineRule="auto"/>
      </w:pPr>
      <w:r>
        <w:rPr>
          <w:rFonts w:ascii="Times New Roman" w:hAnsi="Times New Roman" w:eastAsia="Times New Roman"/>
          <w:b w:val="0"/>
          <w:i w:val="0"/>
          <w:sz w:val="24"/>
        </w:rPr>
        <w:t>Where did I almost supply a salience word the participant had not used?</w:t>
      </w:r>
    </w:p>
    <w:p>
      <w:pPr>
        <w:pStyle w:val="ListNumber"/>
        <w:spacing w:line="480" w:lineRule="auto"/>
      </w:pPr>
      <w:r>
        <w:rPr>
          <w:rFonts w:ascii="Times New Roman" w:hAnsi="Times New Roman" w:eastAsia="Times New Roman"/>
          <w:b w:val="0"/>
          <w:i w:val="0"/>
          <w:sz w:val="24"/>
        </w:rPr>
        <w:t>Which claim did I privately prefer (owner, auditor, platform, manager)?</w:t>
      </w:r>
    </w:p>
    <w:p>
      <w:pPr>
        <w:pStyle w:val="ListNumber"/>
        <w:spacing w:line="480" w:lineRule="auto"/>
      </w:pPr>
      <w:r>
        <w:rPr>
          <w:rFonts w:ascii="Times New Roman" w:hAnsi="Times New Roman" w:eastAsia="Times New Roman"/>
          <w:b w:val="0"/>
          <w:i w:val="0"/>
          <w:sz w:val="24"/>
        </w:rPr>
        <w:t>Which artifact did I treat as “real proof” too quickly?</w:t>
      </w:r>
    </w:p>
    <w:p>
      <w:pPr>
        <w:pStyle w:val="ListNumber"/>
        <w:spacing w:line="480" w:lineRule="auto"/>
      </w:pPr>
      <w:r>
        <w:rPr>
          <w:rFonts w:ascii="Times New Roman" w:hAnsi="Times New Roman" w:eastAsia="Times New Roman"/>
          <w:b w:val="0"/>
          <w:i w:val="0"/>
          <w:sz w:val="24"/>
        </w:rPr>
        <w:t>What boundary case did this session add or still lack?</w:t>
      </w:r>
    </w:p>
    <w:p>
      <w:pPr>
        <w:pStyle w:val="ListNumber"/>
        <w:spacing w:line="480" w:lineRule="auto"/>
      </w:pPr>
      <w:r>
        <w:rPr>
          <w:rFonts w:ascii="Times New Roman" w:hAnsi="Times New Roman" w:eastAsia="Times New Roman"/>
          <w:b w:val="0"/>
          <w:i w:val="0"/>
          <w:sz w:val="24"/>
        </w:rPr>
        <w:t>What question did I skip that the coverage checklist still needs?</w:t>
      </w:r>
    </w:p>
    <w:p>
      <w:pPr>
        <w:spacing w:after="160" w:before="240" w:line="480" w:lineRule="auto"/>
      </w:pPr>
      <w:r>
        <w:rPr>
          <w:rFonts w:ascii="Times New Roman" w:hAnsi="Times New Roman" w:eastAsia="Times New Roman"/>
          <w:b/>
          <w:i w:val="0"/>
          <w:color w:val="1F3A5F"/>
          <w:sz w:val="28"/>
        </w:rPr>
        <w:t>3.4 Participant selection, sampling strategy, and information power</w:t>
      </w:r>
    </w:p>
    <w:p>
      <w:pPr>
        <w:spacing w:after="160" w:before="240" w:line="480" w:lineRule="auto"/>
      </w:pPr>
      <w:r>
        <w:rPr>
          <w:rFonts w:ascii="Times New Roman" w:hAnsi="Times New Roman" w:eastAsia="Times New Roman"/>
          <w:b/>
          <w:i w:val="0"/>
          <w:color w:val="1F3A5F"/>
          <w:sz w:val="24"/>
        </w:rPr>
        <w:t>3.4.1 Target population</w:t>
      </w:r>
    </w:p>
    <w:p>
      <w:pPr>
        <w:spacing w:after="120" w:before="0" w:line="480" w:lineRule="auto"/>
      </w:pPr>
      <w:r>
        <w:rPr>
          <w:rFonts w:ascii="Times New Roman" w:hAnsi="Times New Roman" w:eastAsia="Times New Roman"/>
          <w:b w:val="0"/>
          <w:i w:val="0"/>
          <w:sz w:val="24"/>
        </w:rPr>
        <w:t>The population is U.S. IT, network, systems, infrastructure, or operations managers in small and medium enterprises who have a direct role in disaster-recovery coordination that uses an external recovery platform, managed recovery service, ITDRPaaS, or a functionally equivalent cloud-recovery capability. Firm size is bounded at 10 to 200 personnel so that the study stays inside SME governance rather than large-enterprise command structures. The population is not vendor staff whose only role is to operate the platform for clients, and it is not executives with no operational recovery role.</w:t>
      </w:r>
    </w:p>
    <w:p>
      <w:pPr>
        <w:spacing w:after="120" w:before="0" w:line="480" w:lineRule="auto"/>
      </w:pPr>
      <w:r>
        <w:rPr>
          <w:rFonts w:ascii="Times New Roman" w:hAnsi="Times New Roman" w:eastAsia="Times New Roman"/>
          <w:b w:val="0"/>
          <w:i w:val="0"/>
          <w:sz w:val="24"/>
        </w:rPr>
        <w:t>Inclusion requires at least one disruption, failover, recovery test, or operational recovery in the preceding 36 months in which that external platform or managed service was used. That incident is the interview’s unit of talk. A manager who cannot name a qualifying event is not in the sample.</w:t>
      </w:r>
    </w:p>
    <w:p>
      <w:pPr>
        <w:spacing w:after="160" w:before="240" w:line="480" w:lineRule="auto"/>
      </w:pPr>
      <w:r>
        <w:rPr>
          <w:rFonts w:ascii="Times New Roman" w:hAnsi="Times New Roman" w:eastAsia="Times New Roman"/>
          <w:b/>
          <w:i w:val="0"/>
          <w:color w:val="1F3A5F"/>
          <w:sz w:val="24"/>
        </w:rPr>
        <w:t>3.4.2 Sampling strategy: criterion-based purposive sampling</w:t>
      </w:r>
    </w:p>
    <w:p>
      <w:pPr>
        <w:spacing w:after="120" w:before="0" w:line="480" w:lineRule="auto"/>
      </w:pPr>
      <w:r>
        <w:rPr>
          <w:rFonts w:ascii="Times New Roman" w:hAnsi="Times New Roman" w:eastAsia="Times New Roman"/>
          <w:b w:val="0"/>
          <w:i w:val="0"/>
          <w:sz w:val="24"/>
        </w:rPr>
        <w:t>This study uses a nonprobability, criterion-based purposive sampling strategy to select information-rich participants whose roles and recent recovery experience align with the research purpose (Percy et al., 2015; Creswell &amp; Poth, 2018). Criterion-based purposive sampling is appropriate because the aim is a focused account of that phenomenon, not a statistically representative sample.</w:t>
      </w:r>
    </w:p>
    <w:p>
      <w:pPr>
        <w:spacing w:after="120" w:before="0" w:line="480" w:lineRule="auto"/>
      </w:pPr>
      <w:r>
        <w:rPr>
          <w:rFonts w:ascii="Times New Roman" w:hAnsi="Times New Roman" w:eastAsia="Times New Roman"/>
          <w:b w:val="0"/>
          <w:i w:val="0"/>
          <w:sz w:val="24"/>
        </w:rPr>
        <w:t xml:space="preserve">Stakeholder-salience attributes are </w:t>
      </w:r>
      <w:r>
        <w:rPr>
          <w:rFonts w:ascii="Times New Roman" w:hAnsi="Times New Roman" w:eastAsia="Times New Roman"/>
          <w:b/>
          <w:i w:val="0"/>
          <w:sz w:val="24"/>
        </w:rPr>
        <w:t>not</w:t>
      </w:r>
      <w:r>
        <w:rPr>
          <w:rFonts w:ascii="Times New Roman" w:hAnsi="Times New Roman" w:eastAsia="Times New Roman"/>
          <w:b w:val="0"/>
          <w:i w:val="0"/>
          <w:sz w:val="24"/>
        </w:rPr>
        <w:t xml:space="preserve"> used as inclusion screens and are </w:t>
      </w:r>
      <w:r>
        <w:rPr>
          <w:rFonts w:ascii="Times New Roman" w:hAnsi="Times New Roman" w:eastAsia="Times New Roman"/>
          <w:b/>
          <w:i w:val="0"/>
          <w:sz w:val="24"/>
        </w:rPr>
        <w:t>not</w:t>
      </w:r>
      <w:r>
        <w:rPr>
          <w:rFonts w:ascii="Times New Roman" w:hAnsi="Times New Roman" w:eastAsia="Times New Roman"/>
          <w:b w:val="0"/>
          <w:i w:val="0"/>
          <w:sz w:val="24"/>
        </w:rPr>
        <w:t xml:space="preserve"> used to quota latent, expectant, and definitive stakeholder classes. Those typologies remain researcher-only memo values after the interview (Mitchell et al., 1997). Using them as sampling quotas would pre-write the sample as a confirmatory test of the theory.</w:t>
      </w:r>
    </w:p>
    <w:p>
      <w:pPr>
        <w:spacing w:after="160" w:before="240" w:line="480" w:lineRule="auto"/>
      </w:pPr>
      <w:r>
        <w:rPr>
          <w:rFonts w:ascii="Times New Roman" w:hAnsi="Times New Roman" w:eastAsia="Times New Roman"/>
          <w:b/>
          <w:i w:val="0"/>
          <w:color w:val="1F3A5F"/>
          <w:sz w:val="24"/>
        </w:rPr>
        <w:t>3.4.3 Inclusion and exclusion criteria</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line="240" w:lineRule="auto"/>
            </w:pPr>
            <w:r/>
            <w:r>
              <w:rPr>
                <w:rFonts w:ascii="Times New Roman" w:hAnsi="Times New Roman" w:eastAsia="Times New Roman"/>
                <w:b/>
                <w:i w:val="0"/>
                <w:sz w:val="20"/>
              </w:rPr>
              <w:t>Screening category</w:t>
            </w:r>
          </w:p>
        </w:tc>
        <w:tc>
          <w:tcPr>
            <w:tcW w:type="dxa" w:w="3120"/>
          </w:tcPr>
          <w:p>
            <w:pPr>
              <w:spacing w:after="40" w:before="40" w:line="240" w:lineRule="auto"/>
            </w:pPr>
            <w:r/>
            <w:r>
              <w:rPr>
                <w:rFonts w:ascii="Times New Roman" w:hAnsi="Times New Roman" w:eastAsia="Times New Roman"/>
                <w:b/>
                <w:i w:val="0"/>
                <w:sz w:val="20"/>
              </w:rPr>
              <w:t>Operational inclusion</w:t>
            </w:r>
          </w:p>
        </w:tc>
        <w:tc>
          <w:tcPr>
            <w:tcW w:type="dxa" w:w="3120"/>
          </w:tcPr>
          <w:p>
            <w:pPr>
              <w:spacing w:after="40" w:before="40" w:line="240" w:lineRule="auto"/>
            </w:pPr>
            <w:r/>
            <w:r>
              <w:rPr>
                <w:rFonts w:ascii="Times New Roman" w:hAnsi="Times New Roman" w:eastAsia="Times New Roman"/>
                <w:b/>
                <w:i w:val="0"/>
                <w:sz w:val="20"/>
              </w:rPr>
              <w:t>Methodological justification</w:t>
            </w:r>
          </w:p>
        </w:tc>
      </w:tr>
      <w:tr>
        <w:tc>
          <w:tcPr>
            <w:tcW w:type="dxa" w:w="3120"/>
          </w:tcPr>
          <w:p>
            <w:pPr>
              <w:spacing w:after="40" w:before="40" w:line="240" w:lineRule="auto"/>
            </w:pPr>
            <w:r/>
            <w:r>
              <w:rPr>
                <w:rFonts w:ascii="Times New Roman" w:hAnsi="Times New Roman" w:eastAsia="Times New Roman"/>
                <w:b w:val="0"/>
                <w:i w:val="0"/>
                <w:sz w:val="20"/>
              </w:rPr>
              <w:t>Geography and firm size</w:t>
            </w:r>
          </w:p>
        </w:tc>
        <w:tc>
          <w:tcPr>
            <w:tcW w:type="dxa" w:w="3120"/>
          </w:tcPr>
          <w:p>
            <w:pPr>
              <w:spacing w:after="40" w:before="40" w:line="240" w:lineRule="auto"/>
            </w:pPr>
            <w:r/>
            <w:r>
              <w:rPr>
                <w:rFonts w:ascii="Times New Roman" w:hAnsi="Times New Roman" w:eastAsia="Times New Roman"/>
                <w:b w:val="0"/>
                <w:i w:val="0"/>
                <w:sz w:val="20"/>
              </w:rPr>
              <w:t>U.S. enterprise of 10–200 personnel</w:t>
            </w:r>
          </w:p>
        </w:tc>
        <w:tc>
          <w:tcPr>
            <w:tcW w:type="dxa" w:w="3120"/>
          </w:tcPr>
          <w:p>
            <w:pPr>
              <w:spacing w:after="40" w:before="40" w:line="240" w:lineRule="auto"/>
            </w:pPr>
            <w:r/>
            <w:r>
              <w:rPr>
                <w:rFonts w:ascii="Times New Roman" w:hAnsi="Times New Roman" w:eastAsia="Times New Roman"/>
                <w:b w:val="0"/>
                <w:i w:val="0"/>
                <w:sz w:val="20"/>
              </w:rPr>
              <w:t>Keeps the case inside SME governance</w:t>
            </w:r>
          </w:p>
        </w:tc>
      </w:tr>
      <w:tr>
        <w:tc>
          <w:tcPr>
            <w:tcW w:type="dxa" w:w="3120"/>
          </w:tcPr>
          <w:p>
            <w:pPr>
              <w:spacing w:after="40" w:before="40" w:line="240" w:lineRule="auto"/>
            </w:pPr>
            <w:r/>
            <w:r>
              <w:rPr>
                <w:rFonts w:ascii="Times New Roman" w:hAnsi="Times New Roman" w:eastAsia="Times New Roman"/>
                <w:b w:val="0"/>
                <w:i w:val="0"/>
                <w:sz w:val="20"/>
              </w:rPr>
              <w:t>Role</w:t>
            </w:r>
          </w:p>
        </w:tc>
        <w:tc>
          <w:tcPr>
            <w:tcW w:type="dxa" w:w="3120"/>
          </w:tcPr>
          <w:p>
            <w:pPr>
              <w:spacing w:after="40" w:before="40" w:line="240" w:lineRule="auto"/>
            </w:pPr>
            <w:r/>
            <w:r>
              <w:rPr>
                <w:rFonts w:ascii="Times New Roman" w:hAnsi="Times New Roman" w:eastAsia="Times New Roman"/>
                <w:b w:val="0"/>
                <w:i w:val="0"/>
                <w:sz w:val="20"/>
              </w:rPr>
              <w:t>Active IT, network, systems, infrastructure, or operations management role</w:t>
            </w:r>
          </w:p>
        </w:tc>
        <w:tc>
          <w:tcPr>
            <w:tcW w:type="dxa" w:w="3120"/>
          </w:tcPr>
          <w:p>
            <w:pPr>
              <w:spacing w:after="40" w:before="40" w:line="240" w:lineRule="auto"/>
            </w:pPr>
            <w:r/>
            <w:r>
              <w:rPr>
                <w:rFonts w:ascii="Times New Roman" w:hAnsi="Times New Roman" w:eastAsia="Times New Roman"/>
                <w:b w:val="0"/>
                <w:i w:val="0"/>
                <w:sz w:val="20"/>
              </w:rPr>
              <w:t>Direct operational recovery responsibility</w:t>
            </w:r>
          </w:p>
        </w:tc>
      </w:tr>
      <w:tr>
        <w:tc>
          <w:tcPr>
            <w:tcW w:type="dxa" w:w="3120"/>
          </w:tcPr>
          <w:p>
            <w:pPr>
              <w:spacing w:after="40" w:before="40" w:line="240" w:lineRule="auto"/>
            </w:pPr>
            <w:r/>
            <w:r>
              <w:rPr>
                <w:rFonts w:ascii="Times New Roman" w:hAnsi="Times New Roman" w:eastAsia="Times New Roman"/>
                <w:b w:val="0"/>
                <w:i w:val="0"/>
                <w:sz w:val="20"/>
              </w:rPr>
              <w:t>Platform experience</w:t>
            </w:r>
          </w:p>
        </w:tc>
        <w:tc>
          <w:tcPr>
            <w:tcW w:type="dxa" w:w="3120"/>
          </w:tcPr>
          <w:p>
            <w:pPr>
              <w:spacing w:after="40" w:before="40" w:line="240" w:lineRule="auto"/>
            </w:pPr>
            <w:r/>
            <w:r>
              <w:rPr>
                <w:rFonts w:ascii="Times New Roman" w:hAnsi="Times New Roman" w:eastAsia="Times New Roman"/>
                <w:b w:val="0"/>
                <w:i w:val="0"/>
                <w:sz w:val="20"/>
              </w:rPr>
              <w:t>Direct responsibility for, or participation in, IT disaster-recovery coordination that uses an external platform or managed recovery service</w:t>
            </w:r>
          </w:p>
        </w:tc>
        <w:tc>
          <w:tcPr>
            <w:tcW w:type="dxa" w:w="3120"/>
          </w:tcPr>
          <w:p>
            <w:pPr>
              <w:spacing w:after="40" w:before="40" w:line="240" w:lineRule="auto"/>
            </w:pPr>
            <w:r/>
            <w:r>
              <w:rPr>
                <w:rFonts w:ascii="Times New Roman" w:hAnsi="Times New Roman" w:eastAsia="Times New Roman"/>
                <w:b w:val="0"/>
                <w:i w:val="0"/>
                <w:sz w:val="20"/>
              </w:rPr>
              <w:t>Matches the gap (platform-mediated recovery)</w:t>
            </w:r>
          </w:p>
        </w:tc>
      </w:tr>
      <w:tr>
        <w:tc>
          <w:tcPr>
            <w:tcW w:type="dxa" w:w="3120"/>
          </w:tcPr>
          <w:p>
            <w:pPr>
              <w:spacing w:after="40" w:before="40" w:line="240" w:lineRule="auto"/>
            </w:pPr>
            <w:r/>
            <w:r>
              <w:rPr>
                <w:rFonts w:ascii="Times New Roman" w:hAnsi="Times New Roman" w:eastAsia="Times New Roman"/>
                <w:b w:val="0"/>
                <w:i w:val="0"/>
                <w:sz w:val="20"/>
              </w:rPr>
              <w:t>Recency</w:t>
            </w:r>
          </w:p>
        </w:tc>
        <w:tc>
          <w:tcPr>
            <w:tcW w:type="dxa" w:w="3120"/>
          </w:tcPr>
          <w:p>
            <w:pPr>
              <w:spacing w:after="40" w:before="40" w:line="240" w:lineRule="auto"/>
            </w:pPr>
            <w:r/>
            <w:r>
              <w:rPr>
                <w:rFonts w:ascii="Times New Roman" w:hAnsi="Times New Roman" w:eastAsia="Times New Roman"/>
                <w:b w:val="0"/>
                <w:i w:val="0"/>
                <w:sz w:val="20"/>
              </w:rPr>
              <w:t>At least one disruption, failover, recovery test, or operational recovery in the preceding 36 months</w:t>
            </w:r>
          </w:p>
        </w:tc>
        <w:tc>
          <w:tcPr>
            <w:tcW w:type="dxa" w:w="3120"/>
          </w:tcPr>
          <w:p>
            <w:pPr>
              <w:spacing w:after="40" w:before="40" w:line="240" w:lineRule="auto"/>
            </w:pPr>
            <w:r/>
            <w:r>
              <w:rPr>
                <w:rFonts w:ascii="Times New Roman" w:hAnsi="Times New Roman" w:eastAsia="Times New Roman"/>
                <w:b w:val="0"/>
                <w:i w:val="0"/>
                <w:sz w:val="20"/>
              </w:rPr>
              <w:t>Supplies a named CIT event</w:t>
            </w:r>
          </w:p>
        </w:tc>
      </w:tr>
      <w:tr>
        <w:tc>
          <w:tcPr>
            <w:tcW w:type="dxa" w:w="3120"/>
          </w:tcPr>
          <w:p>
            <w:pPr>
              <w:spacing w:after="40" w:before="40" w:line="240" w:lineRule="auto"/>
            </w:pPr>
            <w:r/>
            <w:r>
              <w:rPr>
                <w:rFonts w:ascii="Times New Roman" w:hAnsi="Times New Roman" w:eastAsia="Times New Roman"/>
                <w:b w:val="0"/>
                <w:i w:val="0"/>
                <w:sz w:val="20"/>
              </w:rPr>
              <w:t>Language and format</w:t>
            </w:r>
          </w:p>
        </w:tc>
        <w:tc>
          <w:tcPr>
            <w:tcW w:type="dxa" w:w="3120"/>
          </w:tcPr>
          <w:p>
            <w:pPr>
              <w:spacing w:after="40" w:before="40" w:line="240" w:lineRule="auto"/>
            </w:pPr>
            <w:r/>
            <w:r>
              <w:rPr>
                <w:rFonts w:ascii="Times New Roman" w:hAnsi="Times New Roman" w:eastAsia="Times New Roman"/>
                <w:b w:val="0"/>
                <w:i w:val="0"/>
                <w:sz w:val="20"/>
              </w:rPr>
              <w:t>Willing to complete a 60–75 minute English video interview and a seven-day factual transcript check</w:t>
            </w:r>
          </w:p>
        </w:tc>
        <w:tc>
          <w:tcPr>
            <w:tcW w:type="dxa" w:w="3120"/>
          </w:tcPr>
          <w:p>
            <w:pPr>
              <w:spacing w:after="40" w:before="40" w:line="240" w:lineRule="auto"/>
            </w:pPr>
            <w:r/>
            <w:r>
              <w:rPr>
                <w:rFonts w:ascii="Times New Roman" w:hAnsi="Times New Roman" w:eastAsia="Times New Roman"/>
                <w:b w:val="0"/>
                <w:i w:val="0"/>
                <w:sz w:val="20"/>
              </w:rPr>
              <w:t>Collection depth and dependability</w:t>
            </w:r>
          </w:p>
        </w:tc>
      </w:tr>
      <w:tr>
        <w:tc>
          <w:tcPr>
            <w:tcW w:type="dxa" w:w="3120"/>
          </w:tcPr>
          <w:p>
            <w:pPr>
              <w:spacing w:after="40" w:before="40" w:line="240" w:lineRule="auto"/>
            </w:pPr>
            <w:r/>
            <w:r>
              <w:rPr>
                <w:rFonts w:ascii="Times New Roman" w:hAnsi="Times New Roman" w:eastAsia="Times New Roman"/>
                <w:b w:val="0"/>
                <w:i w:val="0"/>
                <w:sz w:val="20"/>
              </w:rPr>
              <w:t>Exclusion</w:t>
            </w:r>
          </w:p>
        </w:tc>
        <w:tc>
          <w:tcPr>
            <w:tcW w:type="dxa" w:w="3120"/>
          </w:tcPr>
          <w:p>
            <w:pPr>
              <w:spacing w:after="40" w:before="40" w:line="240" w:lineRule="auto"/>
            </w:pPr>
            <w:r/>
            <w:r>
              <w:rPr>
                <w:rFonts w:ascii="Times New Roman" w:hAnsi="Times New Roman" w:eastAsia="Times New Roman"/>
                <w:b w:val="0"/>
                <w:i w:val="0"/>
                <w:sz w:val="20"/>
              </w:rPr>
              <w:t>Vendor-only employed; no platform-mediated recovery experience; no named event in 36 months; supervisor, employer command chain, or vendor account manager as the recruitment path</w:t>
            </w:r>
          </w:p>
        </w:tc>
        <w:tc>
          <w:tcPr>
            <w:tcW w:type="dxa" w:w="3120"/>
          </w:tcPr>
          <w:p>
            <w:pPr>
              <w:spacing w:after="40" w:before="40" w:line="240" w:lineRule="auto"/>
            </w:pPr>
            <w:r/>
            <w:r>
              <w:rPr>
                <w:rFonts w:ascii="Times New Roman" w:hAnsi="Times New Roman" w:eastAsia="Times New Roman"/>
                <w:b w:val="0"/>
                <w:i w:val="0"/>
                <w:sz w:val="20"/>
              </w:rPr>
              <w:t>Protects operational focus and PQ2 data quality</w:t>
            </w:r>
          </w:p>
        </w:tc>
      </w:tr>
    </w:tbl>
    <w:p/>
    <w:p>
      <w:pPr>
        <w:spacing w:after="160" w:before="240" w:line="480" w:lineRule="auto"/>
      </w:pPr>
      <w:r>
        <w:rPr>
          <w:rFonts w:ascii="Times New Roman" w:hAnsi="Times New Roman" w:eastAsia="Times New Roman"/>
          <w:b/>
          <w:i w:val="0"/>
          <w:color w:val="1F3A5F"/>
          <w:sz w:val="24"/>
        </w:rPr>
        <w:t>3.4.4 Sample size determination — n = 12 locked</w:t>
      </w:r>
    </w:p>
    <w:p>
      <w:pPr>
        <w:spacing w:after="120" w:before="0" w:line="480" w:lineRule="auto"/>
      </w:pPr>
      <w:r>
        <w:rPr>
          <w:rFonts w:ascii="Times New Roman" w:hAnsi="Times New Roman" w:eastAsia="Times New Roman"/>
          <w:b w:val="0"/>
          <w:i w:val="0"/>
          <w:sz w:val="24"/>
        </w:rPr>
        <w:t xml:space="preserve">Qualitative sample size is not determined by statistical power calculations (Vasileiou et al., 2018). </w:t>
      </w:r>
      <w:r>
        <w:rPr>
          <w:rFonts w:ascii="Times New Roman" w:hAnsi="Times New Roman" w:eastAsia="Times New Roman"/>
          <w:b/>
          <w:i w:val="0"/>
          <w:sz w:val="24"/>
        </w:rPr>
        <w:t>The sample for this study is locked at 12 participants.</w:t>
      </w:r>
      <w:r>
        <w:rPr>
          <w:rFonts w:ascii="Times New Roman" w:hAnsi="Times New Roman" w:eastAsia="Times New Roman"/>
          <w:b w:val="0"/>
          <w:i w:val="0"/>
          <w:sz w:val="24"/>
        </w:rPr>
        <w:t xml:space="preserve"> Twelve is the planned recruitment target specified for the detailed screening and interview process. It is a starting plan, not a finding that the gap is closed, and it is not a claim that saturation occurs at the twelfth interview.</w:t>
      </w:r>
    </w:p>
    <w:p>
      <w:pPr>
        <w:spacing w:after="120" w:before="0" w:line="480" w:lineRule="auto"/>
      </w:pPr>
      <w:r>
        <w:rPr>
          <w:rFonts w:ascii="Times New Roman" w:hAnsi="Times New Roman" w:eastAsia="Times New Roman"/>
          <w:b w:val="0"/>
          <w:i w:val="0"/>
          <w:sz w:val="24"/>
        </w:rPr>
        <w:t>Sample adequacy is justified by information power (Malterud et al., 2016). Information power is expected to be relatively high on all five dimensions: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line="240" w:lineRule="auto"/>
            </w:pPr>
            <w:r/>
            <w:r>
              <w:rPr>
                <w:rFonts w:ascii="Times New Roman" w:hAnsi="Times New Roman" w:eastAsia="Times New Roman"/>
                <w:b/>
                <w:i w:val="0"/>
                <w:sz w:val="20"/>
              </w:rPr>
              <w:t>Information-power dimension</w:t>
            </w:r>
          </w:p>
        </w:tc>
        <w:tc>
          <w:tcPr>
            <w:tcW w:type="dxa" w:w="3120"/>
          </w:tcPr>
          <w:p>
            <w:pPr>
              <w:spacing w:after="40" w:before="40" w:line="240" w:lineRule="auto"/>
            </w:pPr>
            <w:r/>
            <w:r>
              <w:rPr>
                <w:rFonts w:ascii="Times New Roman" w:hAnsi="Times New Roman" w:eastAsia="Times New Roman"/>
                <w:b/>
                <w:i w:val="0"/>
                <w:sz w:val="20"/>
              </w:rPr>
              <w:t>This study’s evaluation</w:t>
            </w:r>
          </w:p>
        </w:tc>
        <w:tc>
          <w:tcPr>
            <w:tcW w:type="dxa" w:w="3120"/>
          </w:tcPr>
          <w:p>
            <w:pPr>
              <w:spacing w:after="40" w:before="40" w:line="240" w:lineRule="auto"/>
            </w:pPr>
            <w:r/>
            <w:r>
              <w:rPr>
                <w:rFonts w:ascii="Times New Roman" w:hAnsi="Times New Roman" w:eastAsia="Times New Roman"/>
                <w:b/>
                <w:i w:val="0"/>
                <w:sz w:val="20"/>
              </w:rPr>
              <w:t>Implication for n = 12</w:t>
            </w:r>
          </w:p>
        </w:tc>
      </w:tr>
      <w:tr>
        <w:tc>
          <w:tcPr>
            <w:tcW w:type="dxa" w:w="3120"/>
          </w:tcPr>
          <w:p>
            <w:pPr>
              <w:spacing w:after="40" w:before="40" w:line="240" w:lineRule="auto"/>
            </w:pPr>
            <w:r/>
            <w:r>
              <w:rPr>
                <w:rFonts w:ascii="Times New Roman" w:hAnsi="Times New Roman" w:eastAsia="Times New Roman"/>
                <w:b w:val="0"/>
                <w:i w:val="0"/>
                <w:sz w:val="20"/>
              </w:rPr>
              <w:t>Study aim</w:t>
            </w:r>
          </w:p>
        </w:tc>
        <w:tc>
          <w:tcPr>
            <w:tcW w:type="dxa" w:w="3120"/>
          </w:tcPr>
          <w:p>
            <w:pPr>
              <w:spacing w:after="40" w:before="40" w:line="240" w:lineRule="auto"/>
            </w:pPr>
            <w:r/>
            <w:r>
              <w:rPr>
                <w:rFonts w:ascii="Times New Roman" w:hAnsi="Times New Roman" w:eastAsia="Times New Roman"/>
                <w:b w:val="0"/>
                <w:i w:val="0"/>
                <w:sz w:val="20"/>
              </w:rPr>
              <w:t>Narrow: enactment of stakeholder-claim management in one class of SME ITDRPaaS event</w:t>
            </w:r>
          </w:p>
        </w:tc>
        <w:tc>
          <w:tcPr>
            <w:tcW w:type="dxa" w:w="3120"/>
          </w:tcPr>
          <w:p>
            <w:pPr>
              <w:spacing w:after="40" w:before="40" w:line="240" w:lineRule="auto"/>
            </w:pPr>
            <w:r/>
            <w:r>
              <w:rPr>
                <w:rFonts w:ascii="Times New Roman" w:hAnsi="Times New Roman" w:eastAsia="Times New Roman"/>
                <w:b w:val="0"/>
                <w:i w:val="0"/>
                <w:sz w:val="20"/>
              </w:rPr>
              <w:t>A focused aim supports a small, information-rich sample</w:t>
            </w:r>
          </w:p>
        </w:tc>
      </w:tr>
      <w:tr>
        <w:tc>
          <w:tcPr>
            <w:tcW w:type="dxa" w:w="3120"/>
          </w:tcPr>
          <w:p>
            <w:pPr>
              <w:spacing w:after="40" w:before="40" w:line="240" w:lineRule="auto"/>
            </w:pPr>
            <w:r/>
            <w:r>
              <w:rPr>
                <w:rFonts w:ascii="Times New Roman" w:hAnsi="Times New Roman" w:eastAsia="Times New Roman"/>
                <w:b w:val="0"/>
                <w:i w:val="0"/>
                <w:sz w:val="20"/>
              </w:rPr>
              <w:t>Sample specificity</w:t>
            </w:r>
          </w:p>
        </w:tc>
        <w:tc>
          <w:tcPr>
            <w:tcW w:type="dxa" w:w="3120"/>
          </w:tcPr>
          <w:p>
            <w:pPr>
              <w:spacing w:after="40" w:before="40" w:line="240" w:lineRule="auto"/>
            </w:pPr>
            <w:r/>
            <w:r>
              <w:rPr>
                <w:rFonts w:ascii="Times New Roman" w:hAnsi="Times New Roman" w:eastAsia="Times New Roman"/>
                <w:b w:val="0"/>
                <w:i w:val="0"/>
                <w:sz w:val="20"/>
              </w:rPr>
              <w:t>Dense: U.S. SME IT/network (or equivalent) managers with a named 36-month platform event</w:t>
            </w:r>
          </w:p>
        </w:tc>
        <w:tc>
          <w:tcPr>
            <w:tcW w:type="dxa" w:w="3120"/>
          </w:tcPr>
          <w:p>
            <w:pPr>
              <w:spacing w:after="40" w:before="40" w:line="240" w:lineRule="auto"/>
            </w:pPr>
            <w:r/>
            <w:r>
              <w:rPr>
                <w:rFonts w:ascii="Times New Roman" w:hAnsi="Times New Roman" w:eastAsia="Times New Roman"/>
                <w:b w:val="0"/>
                <w:i w:val="0"/>
                <w:sz w:val="20"/>
              </w:rPr>
              <w:t>Specific participants increase information per interview</w:t>
            </w:r>
          </w:p>
        </w:tc>
      </w:tr>
      <w:tr>
        <w:tc>
          <w:tcPr>
            <w:tcW w:type="dxa" w:w="3120"/>
          </w:tcPr>
          <w:p>
            <w:pPr>
              <w:spacing w:after="40" w:before="40" w:line="240" w:lineRule="auto"/>
            </w:pPr>
            <w:r/>
            <w:r>
              <w:rPr>
                <w:rFonts w:ascii="Times New Roman" w:hAnsi="Times New Roman" w:eastAsia="Times New Roman"/>
                <w:b w:val="0"/>
                <w:i w:val="0"/>
                <w:sz w:val="20"/>
              </w:rPr>
              <w:t>Theoretical framework</w:t>
            </w:r>
          </w:p>
        </w:tc>
        <w:tc>
          <w:tcPr>
            <w:tcW w:type="dxa" w:w="3120"/>
          </w:tcPr>
          <w:p>
            <w:pPr>
              <w:spacing w:after="40" w:before="40" w:line="240" w:lineRule="auto"/>
            </w:pPr>
            <w:r/>
            <w:r>
              <w:rPr>
                <w:rFonts w:ascii="Times New Roman" w:hAnsi="Times New Roman" w:eastAsia="Times New Roman"/>
                <w:b w:val="0"/>
                <w:i w:val="0"/>
                <w:sz w:val="20"/>
              </w:rPr>
              <w:t>Established sensitizing lens (Mitchell et al., 1997) plus PQ2 enactment probes</w:t>
            </w:r>
          </w:p>
        </w:tc>
        <w:tc>
          <w:tcPr>
            <w:tcW w:type="dxa" w:w="3120"/>
          </w:tcPr>
          <w:p>
            <w:pPr>
              <w:spacing w:after="40" w:before="40" w:line="240" w:lineRule="auto"/>
            </w:pPr>
            <w:r/>
            <w:r>
              <w:rPr>
                <w:rFonts w:ascii="Times New Roman" w:hAnsi="Times New Roman" w:eastAsia="Times New Roman"/>
                <w:b w:val="0"/>
                <w:i w:val="0"/>
                <w:sz w:val="20"/>
              </w:rPr>
              <w:t>Theory-informed dialogue without a closed questionnaire</w:t>
            </w:r>
          </w:p>
        </w:tc>
      </w:tr>
      <w:tr>
        <w:tc>
          <w:tcPr>
            <w:tcW w:type="dxa" w:w="3120"/>
          </w:tcPr>
          <w:p>
            <w:pPr>
              <w:spacing w:after="40" w:before="40" w:line="240" w:lineRule="auto"/>
            </w:pPr>
            <w:r/>
            <w:r>
              <w:rPr>
                <w:rFonts w:ascii="Times New Roman" w:hAnsi="Times New Roman" w:eastAsia="Times New Roman"/>
                <w:b w:val="0"/>
                <w:i w:val="0"/>
                <w:sz w:val="20"/>
              </w:rPr>
              <w:t>Dialogue quality</w:t>
            </w:r>
          </w:p>
        </w:tc>
        <w:tc>
          <w:tcPr>
            <w:tcW w:type="dxa" w:w="3120"/>
          </w:tcPr>
          <w:p>
            <w:pPr>
              <w:spacing w:after="40" w:before="40" w:line="240" w:lineRule="auto"/>
            </w:pPr>
            <w:r/>
            <w:r>
              <w:rPr>
                <w:rFonts w:ascii="Times New Roman" w:hAnsi="Times New Roman" w:eastAsia="Times New Roman"/>
                <w:b w:val="0"/>
                <w:i w:val="0"/>
                <w:sz w:val="20"/>
              </w:rPr>
              <w:t>Strong: 60–75 minute CIT protocol with skip-if-covered probes</w:t>
            </w:r>
          </w:p>
        </w:tc>
        <w:tc>
          <w:tcPr>
            <w:tcW w:type="dxa" w:w="3120"/>
          </w:tcPr>
          <w:p>
            <w:pPr>
              <w:spacing w:after="40" w:before="40" w:line="240" w:lineRule="auto"/>
            </w:pPr>
            <w:r/>
            <w:r>
              <w:rPr>
                <w:rFonts w:ascii="Times New Roman" w:hAnsi="Times New Roman" w:eastAsia="Times New Roman"/>
                <w:b w:val="0"/>
                <w:i w:val="0"/>
                <w:sz w:val="20"/>
              </w:rPr>
              <w:t>High qualitative density per case</w:t>
            </w:r>
          </w:p>
        </w:tc>
      </w:tr>
      <w:tr>
        <w:tc>
          <w:tcPr>
            <w:tcW w:type="dxa" w:w="3120"/>
          </w:tcPr>
          <w:p>
            <w:pPr>
              <w:spacing w:after="40" w:before="40" w:line="240" w:lineRule="auto"/>
            </w:pPr>
            <w:r/>
            <w:r>
              <w:rPr>
                <w:rFonts w:ascii="Times New Roman" w:hAnsi="Times New Roman" w:eastAsia="Times New Roman"/>
                <w:b w:val="0"/>
                <w:i w:val="0"/>
                <w:sz w:val="20"/>
              </w:rPr>
              <w:t>Analysis strategy</w:t>
            </w:r>
          </w:p>
        </w:tc>
        <w:tc>
          <w:tcPr>
            <w:tcW w:type="dxa" w:w="3120"/>
          </w:tcPr>
          <w:p>
            <w:pPr>
              <w:spacing w:after="40" w:before="40" w:line="240" w:lineRule="auto"/>
            </w:pPr>
            <w:r/>
            <w:r>
              <w:rPr>
                <w:rFonts w:ascii="Times New Roman" w:hAnsi="Times New Roman" w:eastAsia="Times New Roman"/>
                <w:b w:val="0"/>
                <w:i w:val="0"/>
                <w:sz w:val="20"/>
              </w:rPr>
              <w:t>In-depth hybrid codebook TA and cross-case meaning-unit reduction</w:t>
            </w:r>
          </w:p>
        </w:tc>
        <w:tc>
          <w:tcPr>
            <w:tcW w:type="dxa" w:w="3120"/>
          </w:tcPr>
          <w:p>
            <w:pPr>
              <w:spacing w:after="40" w:before="40" w:line="240" w:lineRule="auto"/>
            </w:pPr>
            <w:r/>
            <w:r>
              <w:rPr>
                <w:rFonts w:ascii="Times New Roman" w:hAnsi="Times New Roman" w:eastAsia="Times New Roman"/>
                <w:b w:val="0"/>
                <w:i w:val="0"/>
                <w:sz w:val="20"/>
              </w:rPr>
              <w:t>Intensive analysis favors a manageable corpus</w:t>
            </w:r>
          </w:p>
        </w:tc>
      </w:tr>
    </w:tbl>
    <w:p/>
    <w:p>
      <w:pPr>
        <w:spacing w:after="120" w:before="0" w:line="480" w:lineRule="auto"/>
      </w:pPr>
      <w:r>
        <w:rPr>
          <w:rFonts w:ascii="Times New Roman" w:hAnsi="Times New Roman" w:eastAsia="Times New Roman"/>
          <w:b w:val="0"/>
          <w:i w:val="0"/>
          <w:sz w:val="24"/>
        </w:rPr>
        <w:t>Guest et al. (2006) may be cited only in the stopping discussion, as evidence that some interview studies have observed early code stability in relatively homogeneous samples. It is not used to justify the CIT protocol, the sample size in advance, or a claim that 12 interviews suffice.</w:t>
      </w:r>
    </w:p>
    <w:p>
      <w:pPr>
        <w:spacing w:after="120" w:before="0" w:line="480" w:lineRule="auto"/>
      </w:pPr>
      <w:r>
        <w:rPr>
          <w:rFonts w:ascii="Times New Roman" w:hAnsi="Times New Roman" w:eastAsia="Times New Roman"/>
          <w:b w:val="0"/>
          <w:i w:val="0"/>
          <w:sz w:val="24"/>
        </w:rPr>
        <w:t>Stopping is an analytic decision guide applied to the locked corpus of 12 (Naeem et al., 2024). After each interview the researcher records whether new meaning units, categories, or thematic variations relevant to PQ1 and PQ2 still appeared, and whether at least one boundary case per construct exists across the corpus. If the twelfth interview is still changing the meaning-unit inventory, that fact is documented in the audit trail and treated as a limitation in Chapter V. The locked n is not expanded in this plan. The final participant count (12, or fewer if recruitment fails inclusion) and the rationale for ending recruitment are written into the study audit trail (Carcary, 2020).</w:t>
      </w:r>
    </w:p>
    <w:p>
      <w:pPr>
        <w:spacing w:after="160" w:before="240" w:line="480" w:lineRule="auto"/>
      </w:pPr>
      <w:r>
        <w:rPr>
          <w:rFonts w:ascii="Times New Roman" w:hAnsi="Times New Roman" w:eastAsia="Times New Roman"/>
          <w:b/>
          <w:i w:val="0"/>
          <w:color w:val="1F3A5F"/>
          <w:sz w:val="24"/>
        </w:rPr>
        <w:t>3.4.5 Recruitment and access protocols</w:t>
      </w:r>
    </w:p>
    <w:p>
      <w:pPr>
        <w:spacing w:after="120" w:before="0" w:line="480" w:lineRule="auto"/>
      </w:pPr>
      <w:r>
        <w:rPr>
          <w:rFonts w:ascii="Times New Roman" w:hAnsi="Times New Roman" w:eastAsia="Times New Roman"/>
          <w:b w:val="0"/>
          <w:i w:val="0"/>
          <w:sz w:val="24"/>
        </w:rPr>
        <w:t>Candidates are approached individually through professional networks, practitioner associations, and professional social platforms. The researcher does not recruit through a supervisor, an employer’s command chain, or a vendor account manager. Organizational gatekeeper rosters and supervisor-visible invitation lists are not used.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line="240" w:lineRule="auto"/>
            </w:pPr>
            <w:r/>
            <w:r>
              <w:rPr>
                <w:rFonts w:ascii="Times New Roman" w:hAnsi="Times New Roman" w:eastAsia="Times New Roman"/>
                <w:b/>
                <w:i w:val="0"/>
                <w:sz w:val="20"/>
              </w:rPr>
              <w:t>Phase</w:t>
            </w:r>
          </w:p>
        </w:tc>
        <w:tc>
          <w:tcPr>
            <w:tcW w:type="dxa" w:w="3120"/>
          </w:tcPr>
          <w:p>
            <w:pPr>
              <w:spacing w:after="40" w:before="40" w:line="240" w:lineRule="auto"/>
            </w:pPr>
            <w:r/>
            <w:r>
              <w:rPr>
                <w:rFonts w:ascii="Times New Roman" w:hAnsi="Times New Roman" w:eastAsia="Times New Roman"/>
                <w:b/>
                <w:i w:val="0"/>
                <w:sz w:val="20"/>
              </w:rPr>
              <w:t>Action</w:t>
            </w:r>
          </w:p>
        </w:tc>
        <w:tc>
          <w:tcPr>
            <w:tcW w:type="dxa" w:w="3120"/>
          </w:tcPr>
          <w:p>
            <w:pPr>
              <w:spacing w:after="40" w:before="40" w:line="240" w:lineRule="auto"/>
            </w:pPr>
            <w:r/>
            <w:r>
              <w:rPr>
                <w:rFonts w:ascii="Times New Roman" w:hAnsi="Times New Roman" w:eastAsia="Times New Roman"/>
                <w:b/>
                <w:i w:val="0"/>
                <w:sz w:val="20"/>
              </w:rPr>
              <w:t>Operational procedure</w:t>
            </w:r>
          </w:p>
        </w:tc>
      </w:tr>
      <w:tr>
        <w:tc>
          <w:tcPr>
            <w:tcW w:type="dxa" w:w="3120"/>
          </w:tcPr>
          <w:p>
            <w:pPr>
              <w:spacing w:after="40" w:before="40" w:line="240" w:lineRule="auto"/>
            </w:pPr>
            <w:r/>
            <w:r>
              <w:rPr>
                <w:rFonts w:ascii="Times New Roman" w:hAnsi="Times New Roman" w:eastAsia="Times New Roman"/>
                <w:b w:val="0"/>
                <w:i w:val="0"/>
                <w:sz w:val="20"/>
              </w:rPr>
              <w:t>1</w:t>
            </w:r>
          </w:p>
        </w:tc>
        <w:tc>
          <w:tcPr>
            <w:tcW w:type="dxa" w:w="3120"/>
          </w:tcPr>
          <w:p>
            <w:pPr>
              <w:spacing w:after="40" w:before="40" w:line="240" w:lineRule="auto"/>
            </w:pPr>
            <w:r/>
            <w:r>
              <w:rPr>
                <w:rFonts w:ascii="Times New Roman" w:hAnsi="Times New Roman" w:eastAsia="Times New Roman"/>
                <w:b w:val="0"/>
                <w:i w:val="0"/>
                <w:sz w:val="20"/>
              </w:rPr>
              <w:t>Institutional approval</w:t>
            </w:r>
          </w:p>
        </w:tc>
        <w:tc>
          <w:tcPr>
            <w:tcW w:type="dxa" w:w="3120"/>
          </w:tcPr>
          <w:p>
            <w:pPr>
              <w:spacing w:after="40" w:before="40" w:line="240" w:lineRule="auto"/>
            </w:pPr>
            <w:r/>
            <w:r>
              <w:rPr>
                <w:rFonts w:ascii="Times New Roman" w:hAnsi="Times New Roman" w:eastAsia="Times New Roman"/>
                <w:b w:val="0"/>
                <w:i w:val="0"/>
                <w:sz w:val="20"/>
              </w:rPr>
              <w:t>Submit the protocol to the Capella University IRB. No outreach before written approval.</w:t>
            </w:r>
          </w:p>
        </w:tc>
      </w:tr>
      <w:tr>
        <w:tc>
          <w:tcPr>
            <w:tcW w:type="dxa" w:w="3120"/>
          </w:tcPr>
          <w:p>
            <w:pPr>
              <w:spacing w:after="40" w:before="40" w:line="240" w:lineRule="auto"/>
            </w:pPr>
            <w:r/>
            <w:r>
              <w:rPr>
                <w:rFonts w:ascii="Times New Roman" w:hAnsi="Times New Roman" w:eastAsia="Times New Roman"/>
                <w:b w:val="0"/>
                <w:i w:val="0"/>
                <w:sz w:val="20"/>
              </w:rPr>
              <w:t>2</w:t>
            </w:r>
          </w:p>
        </w:tc>
        <w:tc>
          <w:tcPr>
            <w:tcW w:type="dxa" w:w="3120"/>
          </w:tcPr>
          <w:p>
            <w:pPr>
              <w:spacing w:after="40" w:before="40" w:line="240" w:lineRule="auto"/>
            </w:pPr>
            <w:r/>
            <w:r>
              <w:rPr>
                <w:rFonts w:ascii="Times New Roman" w:hAnsi="Times New Roman" w:eastAsia="Times New Roman"/>
                <w:b w:val="0"/>
                <w:i w:val="0"/>
                <w:sz w:val="20"/>
              </w:rPr>
              <w:t>Individual identification</w:t>
            </w:r>
          </w:p>
        </w:tc>
        <w:tc>
          <w:tcPr>
            <w:tcW w:type="dxa" w:w="3120"/>
          </w:tcPr>
          <w:p>
            <w:pPr>
              <w:spacing w:after="40" w:before="40" w:line="240" w:lineRule="auto"/>
            </w:pPr>
            <w:r/>
            <w:r>
              <w:rPr>
                <w:rFonts w:ascii="Times New Roman" w:hAnsi="Times New Roman" w:eastAsia="Times New Roman"/>
                <w:b w:val="0"/>
                <w:i w:val="0"/>
                <w:sz w:val="20"/>
              </w:rPr>
              <w:t>Approach candidates through professional networks, associations, and professional social platforms.</w:t>
            </w:r>
          </w:p>
        </w:tc>
      </w:tr>
      <w:tr>
        <w:tc>
          <w:tcPr>
            <w:tcW w:type="dxa" w:w="3120"/>
          </w:tcPr>
          <w:p>
            <w:pPr>
              <w:spacing w:after="40" w:before="40" w:line="240" w:lineRule="auto"/>
            </w:pPr>
            <w:r/>
            <w:r>
              <w:rPr>
                <w:rFonts w:ascii="Times New Roman" w:hAnsi="Times New Roman" w:eastAsia="Times New Roman"/>
                <w:b w:val="0"/>
                <w:i w:val="0"/>
                <w:sz w:val="20"/>
              </w:rPr>
              <w:t>3</w:t>
            </w:r>
          </w:p>
        </w:tc>
        <w:tc>
          <w:tcPr>
            <w:tcW w:type="dxa" w:w="3120"/>
          </w:tcPr>
          <w:p>
            <w:pPr>
              <w:spacing w:after="40" w:before="40" w:line="240" w:lineRule="auto"/>
            </w:pPr>
            <w:r/>
            <w:r>
              <w:rPr>
                <w:rFonts w:ascii="Times New Roman" w:hAnsi="Times New Roman" w:eastAsia="Times New Roman"/>
                <w:b w:val="0"/>
                <w:i w:val="0"/>
                <w:sz w:val="20"/>
              </w:rPr>
              <w:t>Eligibility screen</w:t>
            </w:r>
          </w:p>
        </w:tc>
        <w:tc>
          <w:tcPr>
            <w:tcW w:type="dxa" w:w="3120"/>
          </w:tcPr>
          <w:p>
            <w:pPr>
              <w:spacing w:after="40" w:before="40" w:line="240" w:lineRule="auto"/>
            </w:pPr>
            <w:r/>
            <w:r>
              <w:rPr>
                <w:rFonts w:ascii="Times New Roman" w:hAnsi="Times New Roman" w:eastAsia="Times New Roman"/>
                <w:b w:val="0"/>
                <w:i w:val="0"/>
                <w:sz w:val="20"/>
              </w:rPr>
              <w:t>Confirm role, firm-size band, platform role, and a named event in 36 months. Exclude vendor-only staff.</w:t>
            </w:r>
          </w:p>
        </w:tc>
      </w:tr>
      <w:tr>
        <w:tc>
          <w:tcPr>
            <w:tcW w:type="dxa" w:w="3120"/>
          </w:tcPr>
          <w:p>
            <w:pPr>
              <w:spacing w:after="40" w:before="40" w:line="240" w:lineRule="auto"/>
            </w:pPr>
            <w:r/>
            <w:r>
              <w:rPr>
                <w:rFonts w:ascii="Times New Roman" w:hAnsi="Times New Roman" w:eastAsia="Times New Roman"/>
                <w:b w:val="0"/>
                <w:i w:val="0"/>
                <w:sz w:val="20"/>
              </w:rPr>
              <w:t>4</w:t>
            </w:r>
          </w:p>
        </w:tc>
        <w:tc>
          <w:tcPr>
            <w:tcW w:type="dxa" w:w="3120"/>
          </w:tcPr>
          <w:p>
            <w:pPr>
              <w:spacing w:after="40" w:before="40" w:line="240" w:lineRule="auto"/>
            </w:pPr>
            <w:r/>
            <w:r>
              <w:rPr>
                <w:rFonts w:ascii="Times New Roman" w:hAnsi="Times New Roman" w:eastAsia="Times New Roman"/>
                <w:b w:val="0"/>
                <w:i w:val="0"/>
                <w:sz w:val="20"/>
              </w:rPr>
              <w:t>Consent and scheduling</w:t>
            </w:r>
          </w:p>
        </w:tc>
        <w:tc>
          <w:tcPr>
            <w:tcW w:type="dxa" w:w="3120"/>
          </w:tcPr>
          <w:p>
            <w:pPr>
              <w:spacing w:after="40" w:before="40" w:line="240" w:lineRule="auto"/>
            </w:pPr>
            <w:r/>
            <w:r>
              <w:rPr>
                <w:rFonts w:ascii="Times New Roman" w:hAnsi="Times New Roman" w:eastAsia="Times New Roman"/>
                <w:b w:val="0"/>
                <w:i w:val="0"/>
                <w:sz w:val="20"/>
              </w:rPr>
              <w:t xml:space="preserve">Email the informed-consent form. After signed electronic consent, schedule a 60–75 minute English video interview. Assign </w:t>
            </w:r>
            <w:r>
              <w:rPr>
                <w:rFonts w:ascii="Times New Roman" w:hAnsi="Times New Roman" w:eastAsia="Times New Roman"/>
                <w:i/>
                <w:sz w:val="20"/>
              </w:rPr>
              <w:t>P##</w:t>
            </w:r>
            <w:r>
              <w:rPr>
                <w:rFonts w:ascii="Times New Roman" w:hAnsi="Times New Roman" w:eastAsia="Times New Roman"/>
                <w:b w:val="0"/>
                <w:i w:val="0"/>
                <w:sz w:val="20"/>
              </w:rPr>
              <w:t xml:space="preserve"> before the call.</w:t>
            </w:r>
          </w:p>
        </w:tc>
      </w:tr>
      <w:tr>
        <w:tc>
          <w:tcPr>
            <w:tcW w:type="dxa" w:w="3120"/>
          </w:tcPr>
          <w:p>
            <w:pPr>
              <w:spacing w:after="40" w:before="40" w:line="240" w:lineRule="auto"/>
            </w:pPr>
            <w:r/>
            <w:r>
              <w:rPr>
                <w:rFonts w:ascii="Times New Roman" w:hAnsi="Times New Roman" w:eastAsia="Times New Roman"/>
                <w:b w:val="0"/>
                <w:i w:val="0"/>
                <w:sz w:val="20"/>
              </w:rPr>
              <w:t>5</w:t>
            </w:r>
          </w:p>
        </w:tc>
        <w:tc>
          <w:tcPr>
            <w:tcW w:type="dxa" w:w="3120"/>
          </w:tcPr>
          <w:p>
            <w:pPr>
              <w:spacing w:after="40" w:before="40" w:line="240" w:lineRule="auto"/>
            </w:pPr>
            <w:r/>
            <w:r>
              <w:rPr>
                <w:rFonts w:ascii="Times New Roman" w:hAnsi="Times New Roman" w:eastAsia="Times New Roman"/>
                <w:b w:val="0"/>
                <w:i w:val="0"/>
                <w:sz w:val="20"/>
              </w:rPr>
              <w:t>Inclusion fail</w:t>
            </w:r>
          </w:p>
        </w:tc>
        <w:tc>
          <w:tcPr>
            <w:tcW w:type="dxa" w:w="3120"/>
          </w:tcPr>
          <w:p>
            <w:pPr>
              <w:spacing w:after="40" w:before="40" w:line="240" w:lineRule="auto"/>
            </w:pPr>
            <w:r/>
            <w:r>
              <w:rPr>
                <w:rFonts w:ascii="Times New Roman" w:hAnsi="Times New Roman" w:eastAsia="Times New Roman"/>
                <w:b w:val="0"/>
                <w:i w:val="0"/>
                <w:sz w:val="20"/>
              </w:rPr>
              <w:t>If the candidate cannot name a qualifying incident, thank and close. Do not continue from a generic “how we usually recover” account.</w:t>
            </w:r>
          </w:p>
        </w:tc>
      </w:tr>
    </w:tbl>
    <w:p/>
    <w:p>
      <w:pPr>
        <w:spacing w:after="120" w:before="0" w:line="480" w:lineRule="auto"/>
      </w:pPr>
      <w:r>
        <w:rPr>
          <w:rFonts w:ascii="Times New Roman" w:hAnsi="Times New Roman" w:eastAsia="Times New Roman"/>
          <w:b w:val="0"/>
          <w:i w:val="0"/>
          <w:sz w:val="24"/>
        </w:rPr>
        <w:t>Optional confidential peer nomination is permitted only if it does not travel through a supervisor or vendor account manager.</w:t>
      </w:r>
    </w:p>
    <w:p>
      <w:pPr>
        <w:spacing w:after="160" w:before="240" w:line="480" w:lineRule="auto"/>
      </w:pPr>
      <w:r>
        <w:rPr>
          <w:rFonts w:ascii="Times New Roman" w:hAnsi="Times New Roman" w:eastAsia="Times New Roman"/>
          <w:b/>
          <w:i w:val="0"/>
          <w:color w:val="1F3A5F"/>
          <w:sz w:val="28"/>
        </w:rPr>
        <w:t>3.5 Instrumentation, protocol review, and field calibration</w:t>
      </w:r>
    </w:p>
    <w:p>
      <w:pPr>
        <w:spacing w:after="160" w:before="240" w:line="480" w:lineRule="auto"/>
      </w:pPr>
      <w:r>
        <w:rPr>
          <w:rFonts w:ascii="Times New Roman" w:hAnsi="Times New Roman" w:eastAsia="Times New Roman"/>
          <w:b/>
          <w:i w:val="0"/>
          <w:color w:val="1F3A5F"/>
          <w:sz w:val="24"/>
        </w:rPr>
        <w:t>3.5.1 Primary instrument</w:t>
      </w:r>
    </w:p>
    <w:p>
      <w:pPr>
        <w:spacing w:after="120" w:before="0" w:line="480" w:lineRule="auto"/>
      </w:pPr>
      <w:r>
        <w:rPr>
          <w:rFonts w:ascii="Times New Roman" w:hAnsi="Times New Roman" w:eastAsia="Times New Roman"/>
          <w:b w:val="0"/>
          <w:i w:val="0"/>
          <w:sz w:val="24"/>
        </w:rPr>
        <w:t xml:space="preserve">The primary instrument is the unpublished GQI semi-structured interview guide </w:t>
      </w:r>
      <w:r>
        <w:rPr>
          <w:rFonts w:ascii="Times New Roman" w:hAnsi="Times New Roman" w:eastAsia="Times New Roman"/>
          <w:i/>
          <w:sz w:val="24"/>
        </w:rPr>
        <w:t>Where leverage sits</w:t>
      </w:r>
      <w:r>
        <w:rPr>
          <w:rFonts w:ascii="Times New Roman" w:hAnsi="Times New Roman" w:eastAsia="Times New Roman"/>
          <w:b w:val="0"/>
          <w:i w:val="0"/>
          <w:sz w:val="24"/>
        </w:rPr>
        <w:t xml:space="preserve">, instrument ID </w:t>
      </w:r>
      <w:r>
        <w:rPr>
          <w:rFonts w:ascii="Times New Roman" w:hAnsi="Times New Roman" w:eastAsia="Times New Roman"/>
          <w:i/>
          <w:sz w:val="24"/>
        </w:rPr>
        <w:t>ITDR-GQI-INT-v0.1.1</w:t>
      </w:r>
      <w:r>
        <w:rPr>
          <w:rFonts w:ascii="Times New Roman" w:hAnsi="Times New Roman" w:eastAsia="Times New Roman"/>
          <w:b w:val="0"/>
          <w:i w:val="0"/>
          <w:sz w:val="24"/>
        </w:rPr>
        <w:t xml:space="preserve"> (Walker, 2026). It does not create a new theoretical reference and does not displace Mitchell et al. (1997) or CIT sources. Spoken questions use manager language: pull, pressure, right to ask, time-critical, who made the call, what counted as proof. Theoretical labels stay in the researcher codebook and in the leverage memo (Percy et al., 2015; Capella University, n.d.-d).</w:t>
      </w:r>
    </w:p>
    <w:p>
      <w:pPr>
        <w:spacing w:after="120" w:before="0" w:line="480" w:lineRule="auto"/>
      </w:pPr>
      <w:r>
        <w:rPr>
          <w:rFonts w:ascii="Times New Roman" w:hAnsi="Times New Roman" w:eastAsia="Times New Roman"/>
          <w:b w:val="0"/>
          <w:i w:val="0"/>
          <w:sz w:val="24"/>
        </w:rPr>
        <w:t>The session is timed at 60–75 minutes: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line="240" w:lineRule="auto"/>
            </w:pPr>
            <w:r/>
            <w:r>
              <w:rPr>
                <w:rFonts w:ascii="Times New Roman" w:hAnsi="Times New Roman" w:eastAsia="Times New Roman"/>
                <w:b/>
                <w:i w:val="0"/>
                <w:sz w:val="20"/>
              </w:rPr>
              <w:t>Segment</w:t>
            </w:r>
          </w:p>
        </w:tc>
        <w:tc>
          <w:tcPr>
            <w:tcW w:type="dxa" w:w="3120"/>
          </w:tcPr>
          <w:p>
            <w:pPr>
              <w:spacing w:after="40" w:before="40" w:line="240" w:lineRule="auto"/>
            </w:pPr>
            <w:r/>
            <w:r>
              <w:rPr>
                <w:rFonts w:ascii="Times New Roman" w:hAnsi="Times New Roman" w:eastAsia="Times New Roman"/>
                <w:b/>
                <w:i w:val="0"/>
                <w:sz w:val="20"/>
              </w:rPr>
              <w:t>Items</w:t>
            </w:r>
          </w:p>
        </w:tc>
        <w:tc>
          <w:tcPr>
            <w:tcW w:type="dxa" w:w="3120"/>
          </w:tcPr>
          <w:p>
            <w:pPr>
              <w:spacing w:after="40" w:before="40" w:line="240" w:lineRule="auto"/>
            </w:pPr>
            <w:r/>
            <w:r>
              <w:rPr>
                <w:rFonts w:ascii="Times New Roman" w:hAnsi="Times New Roman" w:eastAsia="Times New Roman"/>
                <w:b/>
                <w:i w:val="0"/>
                <w:sz w:val="20"/>
              </w:rPr>
              <w:t>Function</w:t>
            </w:r>
          </w:p>
        </w:tc>
      </w:tr>
      <w:tr>
        <w:tc>
          <w:tcPr>
            <w:tcW w:type="dxa" w:w="3120"/>
          </w:tcPr>
          <w:p>
            <w:pPr>
              <w:spacing w:after="40" w:before="40" w:line="240" w:lineRule="auto"/>
            </w:pPr>
            <w:r/>
            <w:r>
              <w:rPr>
                <w:rFonts w:ascii="Times New Roman" w:hAnsi="Times New Roman" w:eastAsia="Times New Roman"/>
                <w:b w:val="0"/>
                <w:i w:val="0"/>
                <w:sz w:val="20"/>
              </w:rPr>
              <w:t>Minutes 0–3</w:t>
            </w:r>
          </w:p>
        </w:tc>
        <w:tc>
          <w:tcPr>
            <w:tcW w:type="dxa" w:w="3120"/>
          </w:tcPr>
          <w:p>
            <w:pPr>
              <w:spacing w:after="40" w:before="40" w:line="240" w:lineRule="auto"/>
            </w:pPr>
            <w:r/>
            <w:r>
              <w:rPr>
                <w:rFonts w:ascii="Times New Roman" w:hAnsi="Times New Roman" w:eastAsia="Times New Roman"/>
                <w:b w:val="0"/>
                <w:i w:val="0"/>
                <w:sz w:val="20"/>
              </w:rPr>
              <w:t>Ethics script</w:t>
            </w:r>
          </w:p>
        </w:tc>
        <w:tc>
          <w:tcPr>
            <w:tcW w:type="dxa" w:w="3120"/>
          </w:tcPr>
          <w:p>
            <w:pPr>
              <w:spacing w:after="40" w:before="40" w:line="240" w:lineRule="auto"/>
            </w:pPr>
            <w:r/>
            <w:r>
              <w:rPr>
                <w:rFonts w:ascii="Times New Roman" w:hAnsi="Times New Roman" w:eastAsia="Times New Roman"/>
                <w:b w:val="0"/>
                <w:i w:val="0"/>
                <w:sz w:val="20"/>
              </w:rPr>
              <w:t>Consent to record; optional artifacts; factual member check</w:t>
            </w:r>
          </w:p>
        </w:tc>
      </w:tr>
      <w:tr>
        <w:tc>
          <w:tcPr>
            <w:tcW w:type="dxa" w:w="3120"/>
          </w:tcPr>
          <w:p>
            <w:pPr>
              <w:spacing w:after="40" w:before="40" w:line="240" w:lineRule="auto"/>
            </w:pPr>
            <w:r/>
            <w:r>
              <w:rPr>
                <w:rFonts w:ascii="Times New Roman" w:hAnsi="Times New Roman" w:eastAsia="Times New Roman"/>
                <w:b w:val="0"/>
                <w:i w:val="0"/>
                <w:sz w:val="20"/>
              </w:rPr>
              <w:t>Minutes 3–18</w:t>
            </w:r>
          </w:p>
        </w:tc>
        <w:tc>
          <w:tcPr>
            <w:tcW w:type="dxa" w:w="3120"/>
          </w:tcPr>
          <w:p>
            <w:pPr>
              <w:spacing w:after="40" w:before="40" w:line="240" w:lineRule="auto"/>
            </w:pPr>
            <w:r/>
            <w:r>
              <w:rPr>
                <w:rFonts w:ascii="Times New Roman" w:hAnsi="Times New Roman" w:eastAsia="Times New Roman"/>
                <w:b w:val="0"/>
                <w:i w:val="0"/>
                <w:sz w:val="20"/>
              </w:rPr>
              <w:t>Q0 (required)</w:t>
            </w:r>
          </w:p>
        </w:tc>
        <w:tc>
          <w:tcPr>
            <w:tcW w:type="dxa" w:w="3120"/>
          </w:tcPr>
          <w:p>
            <w:pPr>
              <w:spacing w:after="40" w:before="40" w:line="240" w:lineRule="auto"/>
            </w:pPr>
            <w:r/>
            <w:r>
              <w:rPr>
                <w:rFonts w:ascii="Times New Roman" w:hAnsi="Times New Roman" w:eastAsia="Times New Roman"/>
                <w:b w:val="0"/>
                <w:i w:val="0"/>
                <w:sz w:val="20"/>
              </w:rPr>
              <w:t>Critical-incident opening; one named event</w:t>
            </w:r>
          </w:p>
        </w:tc>
      </w:tr>
      <w:tr>
        <w:tc>
          <w:tcPr>
            <w:tcW w:type="dxa" w:w="3120"/>
          </w:tcPr>
          <w:p>
            <w:pPr>
              <w:spacing w:after="40" w:before="40" w:line="240" w:lineRule="auto"/>
            </w:pPr>
            <w:r/>
            <w:r>
              <w:rPr>
                <w:rFonts w:ascii="Times New Roman" w:hAnsi="Times New Roman" w:eastAsia="Times New Roman"/>
                <w:b w:val="0"/>
                <w:i w:val="0"/>
                <w:sz w:val="20"/>
              </w:rPr>
              <w:t>Minutes 18–55</w:t>
            </w:r>
          </w:p>
        </w:tc>
        <w:tc>
          <w:tcPr>
            <w:tcW w:type="dxa" w:w="3120"/>
          </w:tcPr>
          <w:p>
            <w:pPr>
              <w:spacing w:after="40" w:before="40" w:line="240" w:lineRule="auto"/>
            </w:pPr>
            <w:r/>
            <w:r>
              <w:rPr>
                <w:rFonts w:ascii="Times New Roman" w:hAnsi="Times New Roman" w:eastAsia="Times New Roman"/>
                <w:b w:val="0"/>
                <w:i w:val="0"/>
                <w:sz w:val="20"/>
              </w:rPr>
              <w:t>Set L, then Sets A–F</w:t>
            </w:r>
          </w:p>
        </w:tc>
        <w:tc>
          <w:tcPr>
            <w:tcW w:type="dxa" w:w="3120"/>
          </w:tcPr>
          <w:p>
            <w:pPr>
              <w:spacing w:after="40" w:before="40" w:line="240" w:lineRule="auto"/>
            </w:pPr>
            <w:r/>
            <w:r>
              <w:rPr>
                <w:rFonts w:ascii="Times New Roman" w:hAnsi="Times New Roman" w:eastAsia="Times New Roman"/>
                <w:b w:val="0"/>
                <w:i w:val="0"/>
                <w:sz w:val="20"/>
              </w:rPr>
              <w:t>Locate leverage, then power, legitimacy, urgency, decision rights, escalation, proof</w:t>
            </w:r>
          </w:p>
        </w:tc>
      </w:tr>
      <w:tr>
        <w:tc>
          <w:tcPr>
            <w:tcW w:type="dxa" w:w="3120"/>
          </w:tcPr>
          <w:p>
            <w:pPr>
              <w:spacing w:after="40" w:before="40" w:line="240" w:lineRule="auto"/>
            </w:pPr>
            <w:r/>
            <w:r>
              <w:rPr>
                <w:rFonts w:ascii="Times New Roman" w:hAnsi="Times New Roman" w:eastAsia="Times New Roman"/>
                <w:b w:val="0"/>
                <w:i w:val="0"/>
                <w:sz w:val="20"/>
              </w:rPr>
              <w:t>Minutes 55–70</w:t>
            </w:r>
          </w:p>
        </w:tc>
        <w:tc>
          <w:tcPr>
            <w:tcW w:type="dxa" w:w="3120"/>
          </w:tcPr>
          <w:p>
            <w:pPr>
              <w:spacing w:after="40" w:before="40" w:line="240" w:lineRule="auto"/>
            </w:pPr>
            <w:r/>
            <w:r>
              <w:rPr>
                <w:rFonts w:ascii="Times New Roman" w:hAnsi="Times New Roman" w:eastAsia="Times New Roman"/>
                <w:b w:val="0"/>
                <w:i w:val="0"/>
                <w:sz w:val="20"/>
              </w:rPr>
              <w:t>Q-close and artifact request</w:t>
            </w:r>
          </w:p>
        </w:tc>
        <w:tc>
          <w:tcPr>
            <w:tcW w:type="dxa" w:w="3120"/>
          </w:tcPr>
          <w:p>
            <w:pPr>
              <w:spacing w:after="40" w:before="40" w:line="240" w:lineRule="auto"/>
            </w:pPr>
            <w:r/>
            <w:r>
              <w:rPr>
                <w:rFonts w:ascii="Times New Roman" w:hAnsi="Times New Roman" w:eastAsia="Times New Roman"/>
                <w:b w:val="0"/>
                <w:i w:val="0"/>
                <w:sz w:val="20"/>
              </w:rPr>
              <w:t>Who had to be convinced, and with what</w:t>
            </w:r>
          </w:p>
        </w:tc>
      </w:tr>
    </w:tbl>
    <w:p/>
    <w:p>
      <w:pPr>
        <w:spacing w:after="120" w:before="0" w:line="480" w:lineRule="auto"/>
      </w:pPr>
      <w:r>
        <w:rPr>
          <w:rFonts w:ascii="Times New Roman" w:hAnsi="Times New Roman" w:eastAsia="Times New Roman"/>
          <w:b/>
          <w:i w:val="0"/>
          <w:sz w:val="24"/>
        </w:rPr>
        <w:t>Q0.</w:t>
      </w:r>
      <w:r>
        <w:rPr>
          <w:rFonts w:ascii="Times New Roman" w:hAnsi="Times New Roman" w:eastAsia="Times New Roman"/>
          <w:b w:val="0"/>
          <w:i w:val="0"/>
          <w:sz w:val="24"/>
        </w:rPr>
        <w:t xml:space="preserve"> Please walk me through one specific disruption, failover, recovery test, or operational recovery in the last 36 months where an external recovery platform or managed recovery service was used. Power, legitimacy, urgency, leverage, and proof are not introduced in Q0.</w:t>
      </w:r>
    </w:p>
    <w:p>
      <w:pPr>
        <w:spacing w:after="120" w:before="0" w:line="480" w:lineRule="auto"/>
      </w:pPr>
      <w:r>
        <w:rPr>
          <w:rFonts w:ascii="Times New Roman" w:hAnsi="Times New Roman" w:eastAsia="Times New Roman"/>
          <w:b/>
          <w:i w:val="0"/>
          <w:sz w:val="24"/>
        </w:rPr>
        <w:t>Set L.</w:t>
      </w:r>
      <w:r>
        <w:rPr>
          <w:rFonts w:ascii="Times New Roman" w:hAnsi="Times New Roman" w:eastAsia="Times New Roman"/>
          <w:b w:val="0"/>
          <w:i w:val="0"/>
          <w:sz w:val="24"/>
        </w:rPr>
        <w:t xml:space="preserve"> Who actually moved restore order or could have stopped it (L1), what supplied that pull (L2), and what the manager would have done differently without it (L3).</w:t>
      </w:r>
    </w:p>
    <w:p>
      <w:pPr>
        <w:spacing w:after="120" w:before="0" w:line="480" w:lineRule="auto"/>
      </w:pPr>
      <w:r>
        <w:rPr>
          <w:rFonts w:ascii="Times New Roman" w:hAnsi="Times New Roman" w:eastAsia="Times New Roman"/>
          <w:b/>
          <w:i w:val="0"/>
          <w:sz w:val="24"/>
        </w:rPr>
        <w:t>Sets A–C.</w:t>
      </w:r>
      <w:r>
        <w:rPr>
          <w:rFonts w:ascii="Times New Roman" w:hAnsi="Times New Roman" w:eastAsia="Times New Roman"/>
          <w:b w:val="0"/>
          <w:i w:val="0"/>
          <w:sz w:val="24"/>
        </w:rPr>
        <w:t xml:space="preserve"> Power, legitimacy, and urgency examples only if Set L or Q0 did not already supply a concrete example.</w:t>
      </w:r>
    </w:p>
    <w:p>
      <w:pPr>
        <w:spacing w:after="120" w:before="0" w:line="480" w:lineRule="auto"/>
      </w:pPr>
      <w:r>
        <w:rPr>
          <w:rFonts w:ascii="Times New Roman" w:hAnsi="Times New Roman" w:eastAsia="Times New Roman"/>
          <w:b/>
          <w:i w:val="0"/>
          <w:sz w:val="24"/>
        </w:rPr>
        <w:t>Sets D–F.</w:t>
      </w:r>
      <w:r>
        <w:rPr>
          <w:rFonts w:ascii="Times New Roman" w:hAnsi="Times New Roman" w:eastAsia="Times New Roman"/>
          <w:b w:val="0"/>
          <w:i w:val="0"/>
          <w:sz w:val="24"/>
        </w:rPr>
        <w:t xml:space="preserve"> Decision rights, escalation, and evidentiary / recoverability proof (PQ2).</w:t>
      </w:r>
    </w:p>
    <w:p>
      <w:pPr>
        <w:spacing w:after="120" w:before="0" w:line="480" w:lineRule="auto"/>
      </w:pPr>
      <w:r>
        <w:rPr>
          <w:rFonts w:ascii="Times New Roman" w:hAnsi="Times New Roman" w:eastAsia="Times New Roman"/>
          <w:b/>
          <w:i w:val="0"/>
          <w:sz w:val="24"/>
        </w:rPr>
        <w:t>Q-close.</w:t>
      </w:r>
      <w:r>
        <w:rPr>
          <w:rFonts w:ascii="Times New Roman" w:hAnsi="Times New Roman" w:eastAsia="Times New Roman"/>
          <w:b w:val="0"/>
          <w:i w:val="0"/>
          <w:sz w:val="24"/>
        </w:rPr>
        <w:t xml:space="preserve"> Whether anything about who had to be convinced, and with what, remains unasked.</w:t>
      </w:r>
    </w:p>
    <w:p>
      <w:pPr>
        <w:spacing w:after="120" w:before="0" w:line="480" w:lineRule="auto"/>
      </w:pPr>
      <w:r>
        <w:rPr>
          <w:rFonts w:ascii="Times New Roman" w:hAnsi="Times New Roman" w:eastAsia="Times New Roman"/>
          <w:b w:val="0"/>
          <w:i w:val="0"/>
          <w:sz w:val="24"/>
        </w:rPr>
        <w:t>Skip-if-covered is a procedure, not a convenience. After a skip, the coverage checklist is marked “covered in Q0” or “covered in L.” A set is not skipped because the topic feels familiar. It is skipped only when a concrete example already exists in the record.</w:t>
      </w:r>
    </w:p>
    <w:p>
      <w:pPr>
        <w:spacing w:after="120" w:before="0" w:line="480" w:lineRule="auto"/>
      </w:pPr>
      <w:r>
        <w:rPr>
          <w:rFonts w:ascii="Times New Roman" w:hAnsi="Times New Roman" w:eastAsia="Times New Roman"/>
          <w:b w:val="0"/>
          <w:i w:val="0"/>
          <w:sz w:val="24"/>
        </w:rPr>
        <w:t xml:space="preserve">Boundary cases are valid data. Nothing escalated, restoration accepted with no reviewable proof, a low-power claim that still won, and pull that the manager cannot locate are coded as </w:t>
      </w:r>
      <w:r>
        <w:rPr>
          <w:rFonts w:ascii="Times New Roman" w:hAnsi="Times New Roman" w:eastAsia="Times New Roman"/>
          <w:i/>
          <w:sz w:val="24"/>
        </w:rPr>
        <w:t>no_escalation</w:t>
      </w:r>
      <w:r>
        <w:rPr>
          <w:rFonts w:ascii="Times New Roman" w:hAnsi="Times New Roman" w:eastAsia="Times New Roman"/>
          <w:b w:val="0"/>
          <w:i w:val="0"/>
          <w:sz w:val="24"/>
        </w:rPr>
        <w:t xml:space="preserve">, </w:t>
      </w:r>
      <w:r>
        <w:rPr>
          <w:rFonts w:ascii="Times New Roman" w:hAnsi="Times New Roman" w:eastAsia="Times New Roman"/>
          <w:i/>
          <w:sz w:val="24"/>
        </w:rPr>
        <w:t>no_reviewable_proof</w:t>
      </w:r>
      <w:r>
        <w:rPr>
          <w:rFonts w:ascii="Times New Roman" w:hAnsi="Times New Roman" w:eastAsia="Times New Roman"/>
          <w:b w:val="0"/>
          <w:i w:val="0"/>
          <w:sz w:val="24"/>
        </w:rPr>
        <w:t xml:space="preserve">, </w:t>
      </w:r>
      <w:r>
        <w:rPr>
          <w:rFonts w:ascii="Times New Roman" w:hAnsi="Times New Roman" w:eastAsia="Times New Roman"/>
          <w:i/>
          <w:sz w:val="24"/>
        </w:rPr>
        <w:t>low_power_claim_won</w:t>
      </w:r>
      <w:r>
        <w:rPr>
          <w:rFonts w:ascii="Times New Roman" w:hAnsi="Times New Roman" w:eastAsia="Times New Roman"/>
          <w:b w:val="0"/>
          <w:i w:val="0"/>
          <w:sz w:val="24"/>
        </w:rPr>
        <w:t xml:space="preserve">, and </w:t>
      </w:r>
      <w:r>
        <w:rPr>
          <w:rFonts w:ascii="Times New Roman" w:hAnsi="Times New Roman" w:eastAsia="Times New Roman"/>
          <w:i/>
          <w:sz w:val="24"/>
        </w:rPr>
        <w:t>pull_unlocated</w:t>
      </w:r>
      <w:r>
        <w:rPr>
          <w:rFonts w:ascii="Times New Roman" w:hAnsi="Times New Roman" w:eastAsia="Times New Roman"/>
          <w:b w:val="0"/>
          <w:i w:val="0"/>
          <w:sz w:val="24"/>
        </w:rPr>
        <w:t>. They are not failed interviews.</w:t>
      </w:r>
    </w:p>
    <w:p>
      <w:pPr>
        <w:spacing w:after="120" w:before="0" w:line="480" w:lineRule="auto"/>
      </w:pPr>
      <w:r>
        <w:rPr>
          <w:rFonts w:ascii="Times New Roman" w:hAnsi="Times New Roman" w:eastAsia="Times New Roman"/>
          <w:b w:val="0"/>
          <w:i w:val="0"/>
          <w:sz w:val="24"/>
        </w:rPr>
        <w:t xml:space="preserve">Allowed probes only: </w:t>
      </w:r>
      <w:r>
        <w:rPr>
          <w:rFonts w:ascii="Times New Roman" w:hAnsi="Times New Roman" w:eastAsia="Times New Roman"/>
          <w:i/>
          <w:sz w:val="24"/>
        </w:rPr>
        <w:t>What would be an example of that?</w:t>
      </w:r>
      <w:r>
        <w:rPr>
          <w:rFonts w:ascii="Times New Roman" w:hAnsi="Times New Roman" w:eastAsia="Times New Roman"/>
          <w:b w:val="0"/>
          <w:i w:val="0"/>
          <w:sz w:val="24"/>
        </w:rPr>
        <w:t xml:space="preserve"> </w:t>
      </w:r>
      <w:r>
        <w:rPr>
          <w:rFonts w:ascii="Times New Roman" w:hAnsi="Times New Roman" w:eastAsia="Times New Roman"/>
          <w:i/>
          <w:sz w:val="24"/>
        </w:rPr>
        <w:t>Please say more about that moment.</w:t>
      </w:r>
      <w:r>
        <w:rPr>
          <w:rFonts w:ascii="Times New Roman" w:hAnsi="Times New Roman" w:eastAsia="Times New Roman"/>
          <w:b w:val="0"/>
          <w:i w:val="0"/>
          <w:sz w:val="24"/>
        </w:rPr>
        <w:t xml:space="preserve"> </w:t>
      </w:r>
      <w:r>
        <w:rPr>
          <w:rFonts w:ascii="Times New Roman" w:hAnsi="Times New Roman" w:eastAsia="Times New Roman"/>
          <w:i/>
          <w:sz w:val="24"/>
        </w:rPr>
        <w:t>Who else was in that conversation?</w:t>
      </w:r>
      <w:r>
        <w:rPr>
          <w:rFonts w:ascii="Times New Roman" w:hAnsi="Times New Roman" w:eastAsia="Times New Roman"/>
          <w:b w:val="0"/>
          <w:i w:val="0"/>
          <w:sz w:val="24"/>
        </w:rPr>
        <w:t xml:space="preserve"> </w:t>
      </w:r>
      <w:r>
        <w:rPr>
          <w:rFonts w:ascii="Times New Roman" w:hAnsi="Times New Roman" w:eastAsia="Times New Roman"/>
          <w:i/>
          <w:sz w:val="24"/>
        </w:rPr>
        <w:t>What did you do next?</w:t>
      </w:r>
      <w:r>
        <w:rPr>
          <w:rFonts w:ascii="Times New Roman" w:hAnsi="Times New Roman" w:eastAsia="Times New Roman"/>
          <w:b w:val="0"/>
          <w:i w:val="0"/>
          <w:sz w:val="24"/>
        </w:rPr>
        <w:t xml:space="preserve"> Silence after a thin answer. Forced choices are not offered (“power or legitimacy,” “NIST or BCM,” yes/no theory labels).</w:t>
      </w:r>
    </w:p>
    <w:p>
      <w:pPr>
        <w:spacing w:after="160" w:before="240" w:line="480" w:lineRule="auto"/>
      </w:pPr>
      <w:r>
        <w:rPr>
          <w:rFonts w:ascii="Times New Roman" w:hAnsi="Times New Roman" w:eastAsia="Times New Roman"/>
          <w:b/>
          <w:i w:val="0"/>
          <w:color w:val="1F3A5F"/>
          <w:sz w:val="24"/>
        </w:rPr>
        <w:t>3.5.2 Alignment of implied questions to protocol items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line="240" w:lineRule="auto"/>
            </w:pPr>
            <w:r/>
            <w:r>
              <w:rPr>
                <w:rFonts w:ascii="Times New Roman" w:hAnsi="Times New Roman" w:eastAsia="Times New Roman"/>
                <w:b/>
                <w:i w:val="0"/>
                <w:sz w:val="20"/>
              </w:rPr>
              <w:t>Question</w:t>
            </w:r>
          </w:p>
        </w:tc>
        <w:tc>
          <w:tcPr>
            <w:tcW w:type="dxa" w:w="3120"/>
          </w:tcPr>
          <w:p>
            <w:pPr>
              <w:spacing w:after="40" w:before="40" w:line="240" w:lineRule="auto"/>
            </w:pPr>
            <w:r/>
            <w:r>
              <w:rPr>
                <w:rFonts w:ascii="Times New Roman" w:hAnsi="Times New Roman" w:eastAsia="Times New Roman"/>
                <w:b/>
                <w:i w:val="0"/>
                <w:sz w:val="20"/>
              </w:rPr>
              <w:t>Protocol items</w:t>
            </w:r>
          </w:p>
        </w:tc>
        <w:tc>
          <w:tcPr>
            <w:tcW w:type="dxa" w:w="3120"/>
          </w:tcPr>
          <w:p>
            <w:pPr>
              <w:spacing w:after="40" w:before="40" w:line="240" w:lineRule="auto"/>
            </w:pPr>
            <w:r/>
            <w:r>
              <w:rPr>
                <w:rFonts w:ascii="Times New Roman" w:hAnsi="Times New Roman" w:eastAsia="Times New Roman"/>
                <w:b/>
                <w:i w:val="0"/>
                <w:sz w:val="20"/>
              </w:rPr>
              <w:t>Construct role</w:t>
            </w:r>
          </w:p>
        </w:tc>
      </w:tr>
      <w:tr>
        <w:tc>
          <w:tcPr>
            <w:tcW w:type="dxa" w:w="3120"/>
          </w:tcPr>
          <w:p>
            <w:pPr>
              <w:spacing w:after="40" w:before="40" w:line="240" w:lineRule="auto"/>
            </w:pPr>
            <w:r/>
            <w:r>
              <w:rPr>
                <w:rFonts w:ascii="Times New Roman" w:hAnsi="Times New Roman" w:eastAsia="Times New Roman"/>
                <w:b w:val="0"/>
                <w:i w:val="0"/>
                <w:sz w:val="20"/>
              </w:rPr>
              <w:t>PQ1</w:t>
            </w:r>
          </w:p>
        </w:tc>
        <w:tc>
          <w:tcPr>
            <w:tcW w:type="dxa" w:w="3120"/>
          </w:tcPr>
          <w:p>
            <w:pPr>
              <w:spacing w:after="40" w:before="40" w:line="240" w:lineRule="auto"/>
            </w:pPr>
            <w:r/>
            <w:r>
              <w:rPr>
                <w:rFonts w:ascii="Times New Roman" w:hAnsi="Times New Roman" w:eastAsia="Times New Roman"/>
                <w:b w:val="0"/>
                <w:i w:val="0"/>
                <w:sz w:val="20"/>
              </w:rPr>
              <w:t>Q0, L1–L3, A1–A3, B1–B2, C1–C2</w:t>
            </w:r>
          </w:p>
        </w:tc>
        <w:tc>
          <w:tcPr>
            <w:tcW w:type="dxa" w:w="3120"/>
          </w:tcPr>
          <w:p>
            <w:pPr>
              <w:spacing w:after="40" w:before="40" w:line="240" w:lineRule="auto"/>
            </w:pPr>
            <w:r/>
            <w:r>
              <w:rPr>
                <w:rFonts w:ascii="Times New Roman" w:hAnsi="Times New Roman" w:eastAsia="Times New Roman"/>
                <w:b w:val="0"/>
                <w:i w:val="0"/>
                <w:sz w:val="20"/>
              </w:rPr>
              <w:t>Claim attention and salience shifts; leverage location</w:t>
            </w:r>
          </w:p>
        </w:tc>
      </w:tr>
      <w:tr>
        <w:tc>
          <w:tcPr>
            <w:tcW w:type="dxa" w:w="3120"/>
          </w:tcPr>
          <w:p>
            <w:pPr>
              <w:spacing w:after="40" w:before="40" w:line="240" w:lineRule="auto"/>
            </w:pPr>
            <w:r/>
            <w:r>
              <w:rPr>
                <w:rFonts w:ascii="Times New Roman" w:hAnsi="Times New Roman" w:eastAsia="Times New Roman"/>
                <w:b w:val="0"/>
                <w:i w:val="0"/>
                <w:sz w:val="20"/>
              </w:rPr>
              <w:t>PQ2</w:t>
            </w:r>
          </w:p>
        </w:tc>
        <w:tc>
          <w:tcPr>
            <w:tcW w:type="dxa" w:w="3120"/>
          </w:tcPr>
          <w:p>
            <w:pPr>
              <w:spacing w:after="40" w:before="40" w:line="240" w:lineRule="auto"/>
            </w:pPr>
            <w:r/>
            <w:r>
              <w:rPr>
                <w:rFonts w:ascii="Times New Roman" w:hAnsi="Times New Roman" w:eastAsia="Times New Roman"/>
                <w:b w:val="0"/>
                <w:i w:val="0"/>
                <w:sz w:val="20"/>
              </w:rPr>
              <w:t>D1–D2, E1–E2, F1–F3, Q-close</w:t>
            </w:r>
          </w:p>
        </w:tc>
        <w:tc>
          <w:tcPr>
            <w:tcW w:type="dxa" w:w="3120"/>
          </w:tcPr>
          <w:p>
            <w:pPr>
              <w:spacing w:after="40" w:before="40" w:line="240" w:lineRule="auto"/>
            </w:pPr>
            <w:r/>
            <w:r>
              <w:rPr>
                <w:rFonts w:ascii="Times New Roman" w:hAnsi="Times New Roman" w:eastAsia="Times New Roman"/>
                <w:b w:val="0"/>
                <w:i w:val="0"/>
                <w:sz w:val="20"/>
              </w:rPr>
              <w:t>Decision rights, escalation, evidentiary standards, recoverability assurance</w:t>
            </w:r>
          </w:p>
        </w:tc>
      </w:tr>
      <w:tr>
        <w:tc>
          <w:tcPr>
            <w:tcW w:type="dxa" w:w="3120"/>
          </w:tcPr>
          <w:p>
            <w:pPr>
              <w:spacing w:after="40" w:before="40" w:line="240" w:lineRule="auto"/>
            </w:pPr>
            <w:r/>
            <w:r>
              <w:rPr>
                <w:rFonts w:ascii="Times New Roman" w:hAnsi="Times New Roman" w:eastAsia="Times New Roman"/>
                <w:b w:val="0"/>
                <w:i w:val="0"/>
                <w:sz w:val="20"/>
              </w:rPr>
              <w:t>Both</w:t>
            </w:r>
          </w:p>
        </w:tc>
        <w:tc>
          <w:tcPr>
            <w:tcW w:type="dxa" w:w="3120"/>
          </w:tcPr>
          <w:p>
            <w:pPr>
              <w:spacing w:after="40" w:before="40" w:line="240" w:lineRule="auto"/>
            </w:pPr>
            <w:r/>
            <w:r>
              <w:rPr>
                <w:rFonts w:ascii="Times New Roman" w:hAnsi="Times New Roman" w:eastAsia="Times New Roman"/>
                <w:b w:val="0"/>
                <w:i w:val="0"/>
                <w:sz w:val="20"/>
              </w:rPr>
              <w:t>Artifact Paths A/B/C; coverage checklist</w:t>
            </w:r>
          </w:p>
        </w:tc>
        <w:tc>
          <w:tcPr>
            <w:tcW w:type="dxa" w:w="3120"/>
          </w:tcPr>
          <w:p>
            <w:pPr>
              <w:spacing w:after="40" w:before="40" w:line="240" w:lineRule="auto"/>
            </w:pPr>
            <w:r/>
            <w:r>
              <w:rPr>
                <w:rFonts w:ascii="Times New Roman" w:hAnsi="Times New Roman" w:eastAsia="Times New Roman"/>
                <w:b w:val="0"/>
                <w:i w:val="0"/>
                <w:sz w:val="20"/>
              </w:rPr>
              <w:t>Formal intent versus enacted proof</w:t>
            </w:r>
          </w:p>
        </w:tc>
      </w:tr>
    </w:tbl>
    <w:p/>
    <w:p>
      <w:pPr>
        <w:spacing w:after="120" w:before="0" w:line="480" w:lineRule="auto"/>
      </w:pPr>
      <w:r>
        <w:rPr>
          <w:rFonts w:ascii="Times New Roman" w:hAnsi="Times New Roman" w:eastAsia="Times New Roman"/>
          <w:b w:val="0"/>
          <w:i w:val="0"/>
          <w:sz w:val="24"/>
        </w:rPr>
        <w:t>The seven labels (power, legitimacy, urgency, decision rights, escalation, evidentiary standards, recoverability assurance) plus leverage are sensitizing constructs. They are not predetermined theme titles.</w:t>
      </w:r>
    </w:p>
    <w:p>
      <w:pPr>
        <w:spacing w:after="160" w:before="240" w:line="480" w:lineRule="auto"/>
      </w:pPr>
      <w:r>
        <w:rPr>
          <w:rFonts w:ascii="Times New Roman" w:hAnsi="Times New Roman" w:eastAsia="Times New Roman"/>
          <w:b/>
          <w:i w:val="0"/>
          <w:color w:val="1F3A5F"/>
          <w:sz w:val="24"/>
        </w:rPr>
        <w:t>3.5.3 Secondary instrument: artifacts as context</w:t>
      </w:r>
    </w:p>
    <w:p>
      <w:pPr>
        <w:spacing w:after="120" w:before="0" w:line="480" w:lineRule="auto"/>
      </w:pPr>
      <w:r>
        <w:rPr>
          <w:rFonts w:ascii="Times New Roman" w:hAnsi="Times New Roman" w:eastAsia="Times New Roman"/>
          <w:b w:val="0"/>
          <w:i w:val="0"/>
          <w:sz w:val="24"/>
        </w:rPr>
        <w:t>Eligible objects include an internal disaster-recovery plan, escalation matrix, recovery-test record, ticket, integrity check, or authorization action. External frameworks such as NIST or BCM are recorded only when the manager names them, and only as context.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line="240" w:lineRule="auto"/>
            </w:pPr>
            <w:r/>
            <w:r>
              <w:rPr>
                <w:rFonts w:ascii="Times New Roman" w:hAnsi="Times New Roman" w:eastAsia="Times New Roman"/>
                <w:b/>
                <w:i w:val="0"/>
                <w:sz w:val="20"/>
              </w:rPr>
              <w:t>Path</w:t>
            </w:r>
          </w:p>
        </w:tc>
        <w:tc>
          <w:tcPr>
            <w:tcW w:type="dxa" w:w="2340"/>
          </w:tcPr>
          <w:p>
            <w:pPr>
              <w:spacing w:after="40" w:before="40" w:line="240" w:lineRule="auto"/>
            </w:pPr>
            <w:r/>
            <w:r>
              <w:rPr>
                <w:rFonts w:ascii="Times New Roman" w:hAnsi="Times New Roman" w:eastAsia="Times New Roman"/>
                <w:b/>
                <w:i w:val="0"/>
                <w:sz w:val="20"/>
              </w:rPr>
              <w:t>When</w:t>
            </w:r>
          </w:p>
        </w:tc>
        <w:tc>
          <w:tcPr>
            <w:tcW w:type="dxa" w:w="2340"/>
          </w:tcPr>
          <w:p>
            <w:pPr>
              <w:spacing w:after="40" w:before="40" w:line="240" w:lineRule="auto"/>
            </w:pPr>
            <w:r/>
            <w:r>
              <w:rPr>
                <w:rFonts w:ascii="Times New Roman" w:hAnsi="Times New Roman" w:eastAsia="Times New Roman"/>
                <w:b/>
                <w:i w:val="0"/>
                <w:sz w:val="20"/>
              </w:rPr>
              <w:t>Capture</w:t>
            </w:r>
          </w:p>
        </w:tc>
        <w:tc>
          <w:tcPr>
            <w:tcW w:type="dxa" w:w="2340"/>
          </w:tcPr>
          <w:p>
            <w:pPr>
              <w:spacing w:after="40" w:before="40" w:line="240" w:lineRule="auto"/>
            </w:pPr>
            <w:r/>
            <w:r>
              <w:rPr>
                <w:rFonts w:ascii="Times New Roman" w:hAnsi="Times New Roman" w:eastAsia="Times New Roman"/>
                <w:b/>
                <w:i w:val="0"/>
                <w:sz w:val="20"/>
              </w:rPr>
              <w:t>Do not</w:t>
            </w:r>
          </w:p>
        </w:tc>
      </w:tr>
      <w:tr>
        <w:tc>
          <w:tcPr>
            <w:tcW w:type="dxa" w:w="2340"/>
          </w:tcPr>
          <w:p>
            <w:pPr>
              <w:spacing w:after="40" w:before="40" w:line="240" w:lineRule="auto"/>
            </w:pPr>
            <w:r/>
            <w:r>
              <w:rPr>
                <w:rFonts w:ascii="Times New Roman" w:hAnsi="Times New Roman" w:eastAsia="Times New Roman"/>
                <w:b w:val="0"/>
                <w:i w:val="0"/>
                <w:sz w:val="20"/>
              </w:rPr>
              <w:t>A. Redacted share</w:t>
            </w:r>
          </w:p>
        </w:tc>
        <w:tc>
          <w:tcPr>
            <w:tcW w:type="dxa" w:w="2340"/>
          </w:tcPr>
          <w:p>
            <w:pPr>
              <w:spacing w:after="40" w:before="40" w:line="240" w:lineRule="auto"/>
            </w:pPr>
            <w:r/>
            <w:r>
              <w:rPr>
                <w:rFonts w:ascii="Times New Roman" w:hAnsi="Times New Roman" w:eastAsia="Times New Roman"/>
                <w:b w:val="0"/>
                <w:i w:val="0"/>
                <w:sz w:val="20"/>
              </w:rPr>
              <w:t>Participant can send a screenshot, PDF excerpt, or ticket print</w:t>
            </w:r>
          </w:p>
        </w:tc>
        <w:tc>
          <w:tcPr>
            <w:tcW w:type="dxa" w:w="2340"/>
          </w:tcPr>
          <w:p>
            <w:pPr>
              <w:spacing w:after="40" w:before="40" w:line="240" w:lineRule="auto"/>
            </w:pPr>
            <w:r/>
            <w:r>
              <w:rPr>
                <w:rFonts w:ascii="Times New Roman" w:hAnsi="Times New Roman" w:eastAsia="Times New Roman"/>
                <w:b w:val="0"/>
                <w:i w:val="0"/>
                <w:sz w:val="20"/>
              </w:rPr>
              <w:t xml:space="preserve">File as </w:t>
            </w:r>
            <w:r>
              <w:rPr>
                <w:rFonts w:ascii="Times New Roman" w:hAnsi="Times New Roman" w:eastAsia="Times New Roman"/>
                <w:i/>
                <w:sz w:val="20"/>
              </w:rPr>
              <w:t>P##_ART##</w:t>
            </w:r>
            <w:r>
              <w:rPr>
                <w:rFonts w:ascii="Times New Roman" w:hAnsi="Times New Roman" w:eastAsia="Times New Roman"/>
                <w:b w:val="0"/>
                <w:i w:val="0"/>
                <w:sz w:val="20"/>
              </w:rPr>
              <w:t>; strip identifiers on receipt</w:t>
            </w:r>
          </w:p>
        </w:tc>
        <w:tc>
          <w:tcPr>
            <w:tcW w:type="dxa" w:w="2340"/>
          </w:tcPr>
          <w:p>
            <w:pPr>
              <w:spacing w:after="40" w:before="40" w:line="240" w:lineRule="auto"/>
            </w:pPr>
            <w:r/>
            <w:r>
              <w:rPr>
                <w:rFonts w:ascii="Times New Roman" w:hAnsi="Times New Roman" w:eastAsia="Times New Roman"/>
                <w:b w:val="0"/>
                <w:i w:val="0"/>
                <w:sz w:val="20"/>
              </w:rPr>
              <w:t>Score against NIST/ISO/BCM</w:t>
            </w:r>
          </w:p>
        </w:tc>
      </w:tr>
      <w:tr>
        <w:tc>
          <w:tcPr>
            <w:tcW w:type="dxa" w:w="2340"/>
          </w:tcPr>
          <w:p>
            <w:pPr>
              <w:spacing w:after="40" w:before="40" w:line="240" w:lineRule="auto"/>
            </w:pPr>
            <w:r/>
            <w:r>
              <w:rPr>
                <w:rFonts w:ascii="Times New Roman" w:hAnsi="Times New Roman" w:eastAsia="Times New Roman"/>
                <w:b w:val="0"/>
                <w:i w:val="0"/>
                <w:sz w:val="20"/>
              </w:rPr>
              <w:t>B. Verbal reconstruction</w:t>
            </w:r>
          </w:p>
        </w:tc>
        <w:tc>
          <w:tcPr>
            <w:tcW w:type="dxa" w:w="2340"/>
          </w:tcPr>
          <w:p>
            <w:pPr>
              <w:spacing w:after="40" w:before="40" w:line="240" w:lineRule="auto"/>
            </w:pPr>
            <w:r/>
            <w:r>
              <w:rPr>
                <w:rFonts w:ascii="Times New Roman" w:hAnsi="Times New Roman" w:eastAsia="Times New Roman"/>
                <w:b w:val="0"/>
                <w:i w:val="0"/>
                <w:sz w:val="20"/>
              </w:rPr>
              <w:t>Participant cannot share the file</w:t>
            </w:r>
          </w:p>
        </w:tc>
        <w:tc>
          <w:tcPr>
            <w:tcW w:type="dxa" w:w="2340"/>
          </w:tcPr>
          <w:p>
            <w:pPr>
              <w:spacing w:after="40" w:before="40" w:line="240" w:lineRule="auto"/>
            </w:pPr>
            <w:r/>
            <w:r>
              <w:rPr>
                <w:rFonts w:ascii="Times New Roman" w:hAnsi="Times New Roman" w:eastAsia="Times New Roman"/>
                <w:b w:val="0"/>
                <w:i w:val="0"/>
                <w:sz w:val="20"/>
              </w:rPr>
              <w:t>Type, who used it, who ignored it, whether it counted as proof</w:t>
            </w:r>
          </w:p>
        </w:tc>
        <w:tc>
          <w:tcPr>
            <w:tcW w:type="dxa" w:w="2340"/>
          </w:tcPr>
          <w:p>
            <w:pPr>
              <w:spacing w:after="40" w:before="40" w:line="240" w:lineRule="auto"/>
            </w:pPr>
            <w:r/>
            <w:r>
              <w:rPr>
                <w:rFonts w:ascii="Times New Roman" w:hAnsi="Times New Roman" w:eastAsia="Times New Roman"/>
                <w:b w:val="0"/>
                <w:i w:val="0"/>
                <w:sz w:val="20"/>
              </w:rPr>
              <w:t>Invent contents the participant did not state</w:t>
            </w:r>
          </w:p>
        </w:tc>
      </w:tr>
      <w:tr>
        <w:tc>
          <w:tcPr>
            <w:tcW w:type="dxa" w:w="2340"/>
          </w:tcPr>
          <w:p>
            <w:pPr>
              <w:spacing w:after="40" w:before="40" w:line="240" w:lineRule="auto"/>
            </w:pPr>
            <w:r/>
            <w:r>
              <w:rPr>
                <w:rFonts w:ascii="Times New Roman" w:hAnsi="Times New Roman" w:eastAsia="Times New Roman"/>
                <w:b w:val="0"/>
                <w:i w:val="0"/>
                <w:sz w:val="20"/>
              </w:rPr>
              <w:t>C. No artifact</w:t>
            </w:r>
          </w:p>
        </w:tc>
        <w:tc>
          <w:tcPr>
            <w:tcW w:type="dxa" w:w="2340"/>
          </w:tcPr>
          <w:p>
            <w:pPr>
              <w:spacing w:after="40" w:before="40" w:line="240" w:lineRule="auto"/>
            </w:pPr>
            <w:r/>
            <w:r>
              <w:rPr>
                <w:rFonts w:ascii="Times New Roman" w:hAnsi="Times New Roman" w:eastAsia="Times New Roman"/>
                <w:b w:val="0"/>
                <w:i w:val="0"/>
                <w:sz w:val="20"/>
              </w:rPr>
              <w:t>Participant names none</w:t>
            </w:r>
          </w:p>
        </w:tc>
        <w:tc>
          <w:tcPr>
            <w:tcW w:type="dxa" w:w="2340"/>
          </w:tcPr>
          <w:p>
            <w:pPr>
              <w:spacing w:after="40" w:before="40" w:line="240" w:lineRule="auto"/>
            </w:pPr>
            <w:r/>
            <w:r>
              <w:rPr>
                <w:rFonts w:ascii="Times New Roman" w:hAnsi="Times New Roman" w:eastAsia="Times New Roman"/>
                <w:b w:val="0"/>
                <w:i w:val="0"/>
                <w:sz w:val="20"/>
              </w:rPr>
              <w:t>Record “no reviewable artifact named” as a recoverability-assurance boundary</w:t>
            </w:r>
          </w:p>
        </w:tc>
        <w:tc>
          <w:tcPr>
            <w:tcW w:type="dxa" w:w="2340"/>
          </w:tcPr>
          <w:p>
            <w:pPr>
              <w:spacing w:after="40" w:before="40" w:line="240" w:lineRule="auto"/>
            </w:pPr>
            <w:r/>
            <w:r>
              <w:rPr>
                <w:rFonts w:ascii="Times New Roman" w:hAnsi="Times New Roman" w:eastAsia="Times New Roman"/>
                <w:b w:val="0"/>
                <w:i w:val="0"/>
                <w:sz w:val="20"/>
              </w:rPr>
              <w:t>Treat as missing data that invalidates the interview</w:t>
            </w:r>
          </w:p>
        </w:tc>
      </w:tr>
    </w:tbl>
    <w:p/>
    <w:p>
      <w:pPr>
        <w:spacing w:after="120" w:before="0" w:line="480" w:lineRule="auto"/>
      </w:pPr>
      <w:r>
        <w:rPr>
          <w:rFonts w:ascii="Times New Roman" w:hAnsi="Times New Roman" w:eastAsia="Times New Roman"/>
          <w:b w:val="0"/>
          <w:i w:val="0"/>
          <w:sz w:val="24"/>
        </w:rPr>
        <w:t>Path A has a 14-calendar-day window. If nothing arrives, the row is recoded as Path B from session notes. Refusing to share a document does not end the interview.</w:t>
      </w:r>
    </w:p>
    <w:p>
      <w:pPr>
        <w:spacing w:after="160" w:before="240" w:line="480" w:lineRule="auto"/>
      </w:pPr>
      <w:r>
        <w:rPr>
          <w:rFonts w:ascii="Times New Roman" w:hAnsi="Times New Roman" w:eastAsia="Times New Roman"/>
          <w:b/>
          <w:i w:val="0"/>
          <w:color w:val="1F3A5F"/>
          <w:sz w:val="24"/>
        </w:rPr>
        <w:t>3.5.4 Protocol review and field calibration</w:t>
      </w:r>
    </w:p>
    <w:p>
      <w:pPr>
        <w:spacing w:after="120" w:before="0" w:line="480" w:lineRule="auto"/>
      </w:pPr>
      <w:r>
        <w:rPr>
          <w:rFonts w:ascii="Times New Roman" w:hAnsi="Times New Roman" w:eastAsia="Times New Roman"/>
          <w:b w:val="0"/>
          <w:i w:val="0"/>
          <w:sz w:val="24"/>
        </w:rPr>
        <w:t xml:space="preserve">This protocol was refined through the BMGT-8044 Data Analysis Practice 2 rehearsal and the Alignment Map revision packet. A separate three-person faculty “expert panel” and a completed two-person pilot are </w:t>
      </w:r>
      <w:r>
        <w:rPr>
          <w:rFonts w:ascii="Times New Roman" w:hAnsi="Times New Roman" w:eastAsia="Times New Roman"/>
          <w:b/>
          <w:i w:val="0"/>
          <w:sz w:val="24"/>
        </w:rPr>
        <w:t>not</w:t>
      </w:r>
      <w:r>
        <w:rPr>
          <w:rFonts w:ascii="Times New Roman" w:hAnsi="Times New Roman" w:eastAsia="Times New Roman"/>
          <w:b w:val="0"/>
          <w:i w:val="0"/>
          <w:sz w:val="24"/>
        </w:rPr>
        <w:t xml:space="preserve"> claimed as finished facts in this SOP.</w:t>
      </w:r>
    </w:p>
    <w:p>
      <w:pPr>
        <w:spacing w:after="120" w:before="0" w:line="480" w:lineRule="auto"/>
      </w:pPr>
      <w:r>
        <w:rPr>
          <w:rFonts w:ascii="Times New Roman" w:hAnsi="Times New Roman" w:eastAsia="Times New Roman"/>
          <w:b w:val="0"/>
          <w:i w:val="0"/>
          <w:sz w:val="24"/>
        </w:rPr>
        <w:t>If the supervisory committee or IRB requires a formal pilot, one or two individuals who meet inclusion criteria will be interviewed and excluded from the locked n = 12 corpus. The pilot would test timing (60–75 minutes), comprehension of manager-language stems, recorder backup, and whether Q0 stays on one named event. Pilot transcripts would not be imported into the Chapter IV meaning-unit table.</w:t>
      </w:r>
    </w:p>
    <w:p>
      <w:pPr>
        <w:spacing w:after="160" w:before="240" w:line="480" w:lineRule="auto"/>
      </w:pPr>
      <w:r>
        <w:rPr>
          <w:rFonts w:ascii="Times New Roman" w:hAnsi="Times New Roman" w:eastAsia="Times New Roman"/>
          <w:b/>
          <w:i w:val="0"/>
          <w:color w:val="1F3A5F"/>
          <w:sz w:val="28"/>
        </w:rPr>
        <w:t>3.6 Data collection procedures and field administration</w:t>
      </w:r>
    </w:p>
    <w:p>
      <w:pPr>
        <w:spacing w:after="120" w:before="0" w:line="480" w:lineRule="auto"/>
      </w:pPr>
      <w:r>
        <w:rPr>
          <w:rFonts w:ascii="Times New Roman" w:hAnsi="Times New Roman" w:eastAsia="Times New Roman"/>
          <w:b w:val="0"/>
          <w:i w:val="0"/>
          <w:sz w:val="24"/>
        </w:rPr>
        <w:t>Each of the 12 interviews is one-to-one video, in English, audio- and video-recorded, with a running-notes backup. If the recorder fails, the session is stopped and rescheduled. The interview is not continued from memory.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line="240" w:lineRule="auto"/>
            </w:pPr>
            <w:r/>
            <w:r>
              <w:rPr>
                <w:rFonts w:ascii="Times New Roman" w:hAnsi="Times New Roman" w:eastAsia="Times New Roman"/>
                <w:b/>
                <w:i w:val="0"/>
                <w:sz w:val="20"/>
              </w:rPr>
              <w:t>Phase</w:t>
            </w:r>
          </w:p>
        </w:tc>
        <w:tc>
          <w:tcPr>
            <w:tcW w:type="dxa" w:w="3120"/>
          </w:tcPr>
          <w:p>
            <w:pPr>
              <w:spacing w:after="40" w:before="40" w:line="240" w:lineRule="auto"/>
            </w:pPr>
            <w:r/>
            <w:r>
              <w:rPr>
                <w:rFonts w:ascii="Times New Roman" w:hAnsi="Times New Roman" w:eastAsia="Times New Roman"/>
                <w:b/>
                <w:i w:val="0"/>
                <w:sz w:val="20"/>
              </w:rPr>
              <w:t>Timeline</w:t>
            </w:r>
          </w:p>
        </w:tc>
        <w:tc>
          <w:tcPr>
            <w:tcW w:type="dxa" w:w="3120"/>
          </w:tcPr>
          <w:p>
            <w:pPr>
              <w:spacing w:after="40" w:before="40" w:line="240" w:lineRule="auto"/>
            </w:pPr>
            <w:r/>
            <w:r>
              <w:rPr>
                <w:rFonts w:ascii="Times New Roman" w:hAnsi="Times New Roman" w:eastAsia="Times New Roman"/>
                <w:b/>
                <w:i w:val="0"/>
                <w:sz w:val="20"/>
              </w:rPr>
              <w:t>Actions</w:t>
            </w:r>
          </w:p>
        </w:tc>
      </w:tr>
      <w:tr>
        <w:tc>
          <w:tcPr>
            <w:tcW w:type="dxa" w:w="3120"/>
          </w:tcPr>
          <w:p>
            <w:pPr>
              <w:spacing w:after="40" w:before="40" w:line="240" w:lineRule="auto"/>
            </w:pPr>
            <w:r/>
            <w:r>
              <w:rPr>
                <w:rFonts w:ascii="Times New Roman" w:hAnsi="Times New Roman" w:eastAsia="Times New Roman"/>
                <w:b w:val="0"/>
                <w:i w:val="0"/>
                <w:sz w:val="20"/>
              </w:rPr>
              <w:t>Pre-session</w:t>
            </w:r>
          </w:p>
        </w:tc>
        <w:tc>
          <w:tcPr>
            <w:tcW w:type="dxa" w:w="3120"/>
          </w:tcPr>
          <w:p>
            <w:pPr>
              <w:spacing w:after="40" w:before="40" w:line="240" w:lineRule="auto"/>
            </w:pPr>
            <w:r/>
            <w:r>
              <w:rPr>
                <w:rFonts w:ascii="Times New Roman" w:hAnsi="Times New Roman" w:eastAsia="Times New Roman"/>
                <w:b w:val="0"/>
                <w:i w:val="0"/>
                <w:sz w:val="20"/>
              </w:rPr>
              <w:t>Before the call</w:t>
            </w:r>
          </w:p>
        </w:tc>
        <w:tc>
          <w:tcPr>
            <w:tcW w:type="dxa" w:w="3120"/>
          </w:tcPr>
          <w:p>
            <w:pPr>
              <w:spacing w:after="40" w:before="40" w:line="240" w:lineRule="auto"/>
            </w:pPr>
            <w:r/>
            <w:r>
              <w:rPr>
                <w:rFonts w:ascii="Times New Roman" w:hAnsi="Times New Roman" w:eastAsia="Times New Roman"/>
                <w:b w:val="0"/>
                <w:i w:val="0"/>
                <w:sz w:val="20"/>
              </w:rPr>
              <w:t xml:space="preserve">Confirm signed consent; confirm inclusion; assign </w:t>
            </w:r>
            <w:r>
              <w:rPr>
                <w:rFonts w:ascii="Times New Roman" w:hAnsi="Times New Roman" w:eastAsia="Times New Roman"/>
                <w:i/>
                <w:sz w:val="20"/>
              </w:rPr>
              <w:t>P##</w:t>
            </w:r>
            <w:r>
              <w:rPr>
                <w:rFonts w:ascii="Times New Roman" w:hAnsi="Times New Roman" w:eastAsia="Times New Roman"/>
                <w:b w:val="0"/>
                <w:i w:val="0"/>
                <w:sz w:val="20"/>
              </w:rPr>
              <w:t>; open blank coverage checklist, leverage-memo row, and artifact-map row; test recorder</w:t>
            </w:r>
          </w:p>
        </w:tc>
      </w:tr>
      <w:tr>
        <w:tc>
          <w:tcPr>
            <w:tcW w:type="dxa" w:w="3120"/>
          </w:tcPr>
          <w:p>
            <w:pPr>
              <w:spacing w:after="40" w:before="40" w:line="240" w:lineRule="auto"/>
            </w:pPr>
            <w:r/>
            <w:r>
              <w:rPr>
                <w:rFonts w:ascii="Times New Roman" w:hAnsi="Times New Roman" w:eastAsia="Times New Roman"/>
                <w:b w:val="0"/>
                <w:i w:val="0"/>
                <w:sz w:val="20"/>
              </w:rPr>
              <w:t>Rapport and ethics</w:t>
            </w:r>
          </w:p>
        </w:tc>
        <w:tc>
          <w:tcPr>
            <w:tcW w:type="dxa" w:w="3120"/>
          </w:tcPr>
          <w:p>
            <w:pPr>
              <w:spacing w:after="40" w:before="40" w:line="240" w:lineRule="auto"/>
            </w:pPr>
            <w:r/>
            <w:r>
              <w:rPr>
                <w:rFonts w:ascii="Times New Roman" w:hAnsi="Times New Roman" w:eastAsia="Times New Roman"/>
                <w:b w:val="0"/>
                <w:i w:val="0"/>
                <w:sz w:val="20"/>
              </w:rPr>
              <w:t>Minutes 0–3</w:t>
            </w:r>
          </w:p>
        </w:tc>
        <w:tc>
          <w:tcPr>
            <w:tcW w:type="dxa" w:w="3120"/>
          </w:tcPr>
          <w:p>
            <w:pPr>
              <w:spacing w:after="40" w:before="40" w:line="240" w:lineRule="auto"/>
            </w:pPr>
            <w:r/>
            <w:r>
              <w:rPr>
                <w:rFonts w:ascii="Times New Roman" w:hAnsi="Times New Roman" w:eastAsia="Times New Roman"/>
                <w:b w:val="0"/>
                <w:i w:val="0"/>
                <w:sz w:val="20"/>
              </w:rPr>
              <w:t>Read the ethics script. If permission to record is refused, stop and destroy any partial file.</w:t>
            </w:r>
          </w:p>
        </w:tc>
      </w:tr>
      <w:tr>
        <w:tc>
          <w:tcPr>
            <w:tcW w:type="dxa" w:w="3120"/>
          </w:tcPr>
          <w:p>
            <w:pPr>
              <w:spacing w:after="40" w:before="40" w:line="240" w:lineRule="auto"/>
            </w:pPr>
            <w:r/>
            <w:r>
              <w:rPr>
                <w:rFonts w:ascii="Times New Roman" w:hAnsi="Times New Roman" w:eastAsia="Times New Roman"/>
                <w:b w:val="0"/>
                <w:i w:val="0"/>
                <w:sz w:val="20"/>
              </w:rPr>
              <w:t>CIT opening</w:t>
            </w:r>
          </w:p>
        </w:tc>
        <w:tc>
          <w:tcPr>
            <w:tcW w:type="dxa" w:w="3120"/>
          </w:tcPr>
          <w:p>
            <w:pPr>
              <w:spacing w:after="40" w:before="40" w:line="240" w:lineRule="auto"/>
            </w:pPr>
            <w:r/>
            <w:r>
              <w:rPr>
                <w:rFonts w:ascii="Times New Roman" w:hAnsi="Times New Roman" w:eastAsia="Times New Roman"/>
                <w:b w:val="0"/>
                <w:i w:val="0"/>
                <w:sz w:val="20"/>
              </w:rPr>
              <w:t>Minutes 3–18</w:t>
            </w:r>
          </w:p>
        </w:tc>
        <w:tc>
          <w:tcPr>
            <w:tcW w:type="dxa" w:w="3120"/>
          </w:tcPr>
          <w:p>
            <w:pPr>
              <w:spacing w:after="40" w:before="40" w:line="240" w:lineRule="auto"/>
            </w:pPr>
            <w:r/>
            <w:r>
              <w:rPr>
                <w:rFonts w:ascii="Times New Roman" w:hAnsi="Times New Roman" w:eastAsia="Times New Roman"/>
                <w:b w:val="0"/>
                <w:i w:val="0"/>
                <w:sz w:val="20"/>
              </w:rPr>
              <w:t>Q0. If the participant stays with “how we usually recover,” ask them to remain with one event. If several events are named, ask for the most vivid or the one in which the recovery decision was hardest.</w:t>
            </w:r>
          </w:p>
        </w:tc>
      </w:tr>
      <w:tr>
        <w:tc>
          <w:tcPr>
            <w:tcW w:type="dxa" w:w="3120"/>
          </w:tcPr>
          <w:p>
            <w:pPr>
              <w:spacing w:after="40" w:before="40" w:line="240" w:lineRule="auto"/>
            </w:pPr>
            <w:r/>
            <w:r>
              <w:rPr>
                <w:rFonts w:ascii="Times New Roman" w:hAnsi="Times New Roman" w:eastAsia="Times New Roman"/>
                <w:b w:val="0"/>
                <w:i w:val="0"/>
                <w:sz w:val="20"/>
              </w:rPr>
              <w:t>Topical sets</w:t>
            </w:r>
          </w:p>
        </w:tc>
        <w:tc>
          <w:tcPr>
            <w:tcW w:type="dxa" w:w="3120"/>
          </w:tcPr>
          <w:p>
            <w:pPr>
              <w:spacing w:after="40" w:before="40" w:line="240" w:lineRule="auto"/>
            </w:pPr>
            <w:r/>
            <w:r>
              <w:rPr>
                <w:rFonts w:ascii="Times New Roman" w:hAnsi="Times New Roman" w:eastAsia="Times New Roman"/>
                <w:b w:val="0"/>
                <w:i w:val="0"/>
                <w:sz w:val="20"/>
              </w:rPr>
              <w:t>Minutes 18–55</w:t>
            </w:r>
          </w:p>
        </w:tc>
        <w:tc>
          <w:tcPr>
            <w:tcW w:type="dxa" w:w="3120"/>
          </w:tcPr>
          <w:p>
            <w:pPr>
              <w:spacing w:after="40" w:before="40" w:line="240" w:lineRule="auto"/>
            </w:pPr>
            <w:r/>
            <w:r>
              <w:rPr>
                <w:rFonts w:ascii="Times New Roman" w:hAnsi="Times New Roman" w:eastAsia="Times New Roman"/>
                <w:b w:val="0"/>
                <w:i w:val="0"/>
                <w:sz w:val="20"/>
              </w:rPr>
              <w:t>Set L, then A–F only if a concrete example is still missing. Mark skip-if-covered.</w:t>
            </w:r>
          </w:p>
        </w:tc>
      </w:tr>
      <w:tr>
        <w:tc>
          <w:tcPr>
            <w:tcW w:type="dxa" w:w="3120"/>
          </w:tcPr>
          <w:p>
            <w:pPr>
              <w:spacing w:after="40" w:before="40" w:line="240" w:lineRule="auto"/>
            </w:pPr>
            <w:r/>
            <w:r>
              <w:rPr>
                <w:rFonts w:ascii="Times New Roman" w:hAnsi="Times New Roman" w:eastAsia="Times New Roman"/>
                <w:b w:val="0"/>
                <w:i w:val="0"/>
                <w:sz w:val="20"/>
              </w:rPr>
              <w:t>Close</w:t>
            </w:r>
          </w:p>
        </w:tc>
        <w:tc>
          <w:tcPr>
            <w:tcW w:type="dxa" w:w="3120"/>
          </w:tcPr>
          <w:p>
            <w:pPr>
              <w:spacing w:after="40" w:before="40" w:line="240" w:lineRule="auto"/>
            </w:pPr>
            <w:r/>
            <w:r>
              <w:rPr>
                <w:rFonts w:ascii="Times New Roman" w:hAnsi="Times New Roman" w:eastAsia="Times New Roman"/>
                <w:b w:val="0"/>
                <w:i w:val="0"/>
                <w:sz w:val="20"/>
              </w:rPr>
              <w:t>Minutes 55–70</w:t>
            </w:r>
          </w:p>
        </w:tc>
        <w:tc>
          <w:tcPr>
            <w:tcW w:type="dxa" w:w="3120"/>
          </w:tcPr>
          <w:p>
            <w:pPr>
              <w:spacing w:after="40" w:before="40" w:line="240" w:lineRule="auto"/>
            </w:pPr>
            <w:r/>
            <w:r>
              <w:rPr>
                <w:rFonts w:ascii="Times New Roman" w:hAnsi="Times New Roman" w:eastAsia="Times New Roman"/>
                <w:b w:val="0"/>
                <w:i w:val="0"/>
                <w:sz w:val="20"/>
              </w:rPr>
              <w:t>Q-close; artifact request; remind of the seven-day factual check.</w:t>
            </w:r>
          </w:p>
        </w:tc>
      </w:tr>
      <w:tr>
        <w:tc>
          <w:tcPr>
            <w:tcW w:type="dxa" w:w="3120"/>
          </w:tcPr>
          <w:p>
            <w:pPr>
              <w:spacing w:after="40" w:before="40" w:line="240" w:lineRule="auto"/>
            </w:pPr>
            <w:r/>
            <w:r>
              <w:rPr>
                <w:rFonts w:ascii="Times New Roman" w:hAnsi="Times New Roman" w:eastAsia="Times New Roman"/>
                <w:b w:val="0"/>
                <w:i w:val="0"/>
                <w:sz w:val="20"/>
              </w:rPr>
              <w:t>Post-session</w:t>
            </w:r>
          </w:p>
        </w:tc>
        <w:tc>
          <w:tcPr>
            <w:tcW w:type="dxa" w:w="3120"/>
          </w:tcPr>
          <w:p>
            <w:pPr>
              <w:spacing w:after="40" w:before="40" w:line="240" w:lineRule="auto"/>
            </w:pPr>
            <w:r/>
            <w:r>
              <w:rPr>
                <w:rFonts w:ascii="Times New Roman" w:hAnsi="Times New Roman" w:eastAsia="Times New Roman"/>
                <w:b w:val="0"/>
                <w:i w:val="0"/>
                <w:sz w:val="20"/>
              </w:rPr>
              <w:t>Within 24 hours</w:t>
            </w:r>
          </w:p>
        </w:tc>
        <w:tc>
          <w:tcPr>
            <w:tcW w:type="dxa" w:w="3120"/>
          </w:tcPr>
          <w:p>
            <w:pPr>
              <w:spacing w:after="40" w:before="40" w:line="240" w:lineRule="auto"/>
            </w:pPr>
            <w:r/>
            <w:r>
              <w:rPr>
                <w:rFonts w:ascii="Times New Roman" w:hAnsi="Times New Roman" w:eastAsia="Times New Roman"/>
                <w:b w:val="0"/>
                <w:i w:val="0"/>
                <w:sz w:val="20"/>
              </w:rPr>
              <w:t>Export recording to encrypted RAW storage; complete reflexive memo; start transcription path.</w:t>
            </w:r>
          </w:p>
        </w:tc>
      </w:tr>
    </w:tbl>
    <w:p/>
    <w:p>
      <w:pPr>
        <w:spacing w:after="120" w:before="0" w:line="480" w:lineRule="auto"/>
      </w:pPr>
      <w:r>
        <w:rPr>
          <w:rFonts w:ascii="Times New Roman" w:hAnsi="Times New Roman" w:eastAsia="Times New Roman"/>
          <w:b w:val="0"/>
          <w:i w:val="0"/>
          <w:sz w:val="24"/>
        </w:rPr>
        <w:t>A session is complete for Alignment Tracking only when each construct row on the coverage checklist has a concrete example or a documented skip-plus-boundary. Completeness is a collection standard. It is not a finding.</w:t>
      </w:r>
    </w:p>
    <w:p>
      <w:pPr>
        <w:spacing w:after="120" w:before="0" w:line="480" w:lineRule="auto"/>
      </w:pPr>
      <w:r>
        <w:rPr>
          <w:rFonts w:ascii="Times New Roman" w:hAnsi="Times New Roman" w:eastAsia="Times New Roman"/>
          <w:b w:val="0"/>
          <w:i w:val="0"/>
          <w:sz w:val="24"/>
        </w:rPr>
        <w:t>If the participant becomes distressed, the researcher pauses, offers to skip or stop, and does not press for graphic incident detail.</w:t>
      </w:r>
    </w:p>
    <w:p>
      <w:pPr>
        <w:spacing w:after="160" w:before="240" w:line="480" w:lineRule="auto"/>
      </w:pPr>
      <w:r>
        <w:rPr>
          <w:rFonts w:ascii="Times New Roman" w:hAnsi="Times New Roman" w:eastAsia="Times New Roman"/>
          <w:b/>
          <w:i w:val="0"/>
          <w:color w:val="1F3A5F"/>
          <w:sz w:val="28"/>
        </w:rPr>
        <w:t>3.7 Qualitative data analysis plan and coding taxonomy</w:t>
      </w:r>
    </w:p>
    <w:p>
      <w:pPr>
        <w:spacing w:after="160" w:before="240" w:line="480" w:lineRule="auto"/>
      </w:pPr>
      <w:r>
        <w:rPr>
          <w:rFonts w:ascii="Times New Roman" w:hAnsi="Times New Roman" w:eastAsia="Times New Roman"/>
          <w:b/>
          <w:i w:val="0"/>
          <w:color w:val="1F3A5F"/>
          <w:sz w:val="24"/>
        </w:rPr>
        <w:t>3.7.1 Declaration of method</w:t>
      </w:r>
    </w:p>
    <w:p>
      <w:pPr>
        <w:spacing w:after="120" w:before="0" w:line="480" w:lineRule="auto"/>
      </w:pPr>
      <w:r>
        <w:rPr>
          <w:rFonts w:ascii="Times New Roman" w:hAnsi="Times New Roman" w:eastAsia="Times New Roman"/>
          <w:b w:val="0"/>
          <w:i w:val="0"/>
          <w:sz w:val="24"/>
        </w:rPr>
        <w:t xml:space="preserve">The analytic method is </w:t>
      </w:r>
      <w:r>
        <w:rPr>
          <w:rFonts w:ascii="Times New Roman" w:hAnsi="Times New Roman" w:eastAsia="Times New Roman"/>
          <w:b/>
          <w:i w:val="0"/>
          <w:sz w:val="24"/>
        </w:rPr>
        <w:t>hybrid deductive–inductive codebook thematic analysis</w:t>
      </w:r>
      <w:r>
        <w:rPr>
          <w:rFonts w:ascii="Times New Roman" w:hAnsi="Times New Roman" w:eastAsia="Times New Roman"/>
          <w:b w:val="0"/>
          <w:i w:val="0"/>
          <w:sz w:val="24"/>
        </w:rPr>
        <w:t xml:space="preserve"> (Fereday &amp; Muir-Cochrane, 2006). That method is required because this study’s Alignment Map spine needs (a) a map from implied PQ1 and PQ2 onto instrument items, (b) a versioned codebook that another reader can inspect, and (c) an auditable chain from excerpt to code to category to theme. Fereday and Muir-Cochrane integrated a theory-informed template of codes with data-driven inductive codes. This study uses the same hybrid logic: FRAMEWORK_DEDUCTIVE and BOUNDARY codes are the template; EMERGENT child codes are added only after meaning units are locked.</w:t>
      </w:r>
    </w:p>
    <w:p>
      <w:pPr>
        <w:spacing w:after="120" w:before="0" w:line="480" w:lineRule="auto"/>
      </w:pPr>
      <w:r>
        <w:rPr>
          <w:rFonts w:ascii="Times New Roman" w:hAnsi="Times New Roman" w:eastAsia="Times New Roman"/>
          <w:b w:val="0"/>
          <w:i w:val="0"/>
          <w:sz w:val="24"/>
        </w:rPr>
        <w:t xml:space="preserve">This is a </w:t>
      </w:r>
      <w:r>
        <w:rPr>
          <w:rFonts w:ascii="Times New Roman" w:hAnsi="Times New Roman" w:eastAsia="Times New Roman"/>
          <w:b/>
          <w:i w:val="0"/>
          <w:sz w:val="24"/>
        </w:rPr>
        <w:t>single-researcher dissertation</w:t>
      </w:r>
      <w:r>
        <w:rPr>
          <w:rFonts w:ascii="Times New Roman" w:hAnsi="Times New Roman" w:eastAsia="Times New Roman"/>
          <w:b w:val="0"/>
          <w:i w:val="0"/>
          <w:sz w:val="24"/>
        </w:rPr>
        <w:t>. Default trustworthiness tactics are an audit trail, codebook versioning, negative and boundary cases, reflexive memos, and referential adequacy (Lincoln &amp; Guba, 1985; Nowell et al., 2017). Cohen’s kappa and other intercoder reliability statistics are not part of the default design. If the committee later requires a second coder, ICR is reported as a codebook-communication check only (O’Connor &amp; Joffe, 2020). ICR will not be mixed with a claim that the study is doing Braun and Clarke’s reflexive thematic analysis.</w:t>
      </w:r>
    </w:p>
    <w:p>
      <w:pPr>
        <w:spacing w:after="120" w:before="0" w:line="480" w:lineRule="auto"/>
      </w:pPr>
      <w:r>
        <w:rPr>
          <w:rFonts w:ascii="Times New Roman" w:hAnsi="Times New Roman" w:eastAsia="Times New Roman"/>
          <w:b w:val="0"/>
          <w:i w:val="0"/>
          <w:sz w:val="24"/>
        </w:rPr>
        <w:t>Braun and Clarke (2019, 2021, 2022) are cited for quality of thematic practice, not as the analytic method:</w:t>
      </w:r>
    </w:p>
    <w:p>
      <w:pPr>
        <w:pStyle w:val="ListBullet"/>
        <w:spacing w:line="480" w:lineRule="auto"/>
      </w:pPr>
      <w:r>
        <w:rPr>
          <w:rFonts w:ascii="Times New Roman" w:hAnsi="Times New Roman" w:eastAsia="Times New Roman"/>
          <w:b w:val="0"/>
          <w:i w:val="0"/>
          <w:sz w:val="24"/>
        </w:rPr>
        <w:t>Codes are not themes.</w:t>
      </w:r>
    </w:p>
    <w:p>
      <w:pPr>
        <w:pStyle w:val="ListBullet"/>
        <w:spacing w:line="480" w:lineRule="auto"/>
      </w:pPr>
      <w:r>
        <w:rPr>
          <w:rFonts w:ascii="Times New Roman" w:hAnsi="Times New Roman" w:eastAsia="Times New Roman"/>
          <w:b w:val="0"/>
          <w:i w:val="0"/>
          <w:sz w:val="24"/>
        </w:rPr>
        <w:t>Themes are patterned meanings, not topic headings such as “Governance” or “Power.”</w:t>
      </w:r>
    </w:p>
    <w:p>
      <w:pPr>
        <w:pStyle w:val="ListBullet"/>
        <w:spacing w:line="480" w:lineRule="auto"/>
      </w:pPr>
      <w:r>
        <w:rPr>
          <w:rFonts w:ascii="Times New Roman" w:hAnsi="Times New Roman" w:eastAsia="Times New Roman"/>
          <w:b w:val="0"/>
          <w:i w:val="0"/>
          <w:sz w:val="24"/>
        </w:rPr>
        <w:t>The write-up does not say that themes “emerged.”</w:t>
      </w:r>
    </w:p>
    <w:p>
      <w:pPr>
        <w:pStyle w:val="ListBullet"/>
        <w:spacing w:line="480" w:lineRule="auto"/>
      </w:pPr>
      <w:r>
        <w:rPr>
          <w:rFonts w:ascii="Times New Roman" w:hAnsi="Times New Roman" w:eastAsia="Times New Roman"/>
          <w:b w:val="0"/>
          <w:i w:val="0"/>
          <w:sz w:val="24"/>
        </w:rPr>
        <w:t>Frequency of a code is not evidence of importance.</w:t>
      </w:r>
    </w:p>
    <w:p>
      <w:pPr>
        <w:spacing w:after="120" w:before="0" w:line="480" w:lineRule="auto"/>
      </w:pPr>
      <w:r>
        <w:rPr>
          <w:rFonts w:ascii="Times New Roman" w:hAnsi="Times New Roman" w:eastAsia="Times New Roman"/>
          <w:b w:val="0"/>
          <w:i w:val="0"/>
          <w:sz w:val="24"/>
        </w:rPr>
        <w:t>Practice 2 from the BMGT-8044 sequence still governs theme naming: lock meaning units that state a practice claim before any theme name is written (Aronson, 1994; Taylor &amp; Bogdan, 1998; Walker, 2026).</w:t>
      </w:r>
    </w:p>
    <w:p>
      <w:pPr>
        <w:spacing w:after="160" w:before="240" w:line="480" w:lineRule="auto"/>
      </w:pPr>
      <w:r>
        <w:rPr>
          <w:rFonts w:ascii="Times New Roman" w:hAnsi="Times New Roman" w:eastAsia="Times New Roman"/>
          <w:b/>
          <w:i w:val="0"/>
          <w:color w:val="1F3A5F"/>
          <w:sz w:val="24"/>
        </w:rPr>
        <w:t>3.7.2 Why this method and not the adjacent alternatives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before="40" w:line="240" w:lineRule="auto"/>
            </w:pPr>
            <w:r/>
            <w:r>
              <w:rPr>
                <w:rFonts w:ascii="Times New Roman" w:hAnsi="Times New Roman" w:eastAsia="Times New Roman"/>
                <w:b/>
                <w:i w:val="0"/>
                <w:sz w:val="20"/>
              </w:rPr>
              <w:t>Adjacent choice</w:t>
            </w:r>
          </w:p>
        </w:tc>
        <w:tc>
          <w:tcPr>
            <w:tcW w:type="dxa" w:w="4680"/>
          </w:tcPr>
          <w:p>
            <w:pPr>
              <w:spacing w:after="40" w:before="40" w:line="240" w:lineRule="auto"/>
            </w:pPr>
            <w:r/>
            <w:r>
              <w:rPr>
                <w:rFonts w:ascii="Times New Roman" w:hAnsi="Times New Roman" w:eastAsia="Times New Roman"/>
                <w:b/>
                <w:i w:val="0"/>
                <w:sz w:val="20"/>
              </w:rPr>
              <w:t>Why it is not the method</w:t>
            </w:r>
          </w:p>
        </w:tc>
      </w:tr>
      <w:tr>
        <w:tc>
          <w:tcPr>
            <w:tcW w:type="dxa" w:w="4680"/>
          </w:tcPr>
          <w:p>
            <w:pPr>
              <w:spacing w:after="40" w:before="40" w:line="240" w:lineRule="auto"/>
            </w:pPr>
            <w:r/>
            <w:r>
              <w:rPr>
                <w:rFonts w:ascii="Times New Roman" w:hAnsi="Times New Roman" w:eastAsia="Times New Roman"/>
                <w:b w:val="0"/>
                <w:i w:val="0"/>
                <w:sz w:val="20"/>
              </w:rPr>
              <w:t>Reflexive thematic analysis (Braun &amp; Clarke, 2019, 2021, 2022)</w:t>
            </w:r>
          </w:p>
        </w:tc>
        <w:tc>
          <w:tcPr>
            <w:tcW w:type="dxa" w:w="4680"/>
          </w:tcPr>
          <w:p>
            <w:pPr>
              <w:spacing w:after="40" w:before="40" w:line="240" w:lineRule="auto"/>
            </w:pPr>
            <w:r/>
            <w:r>
              <w:rPr>
                <w:rFonts w:ascii="Times New Roman" w:hAnsi="Times New Roman" w:eastAsia="Times New Roman"/>
                <w:b w:val="0"/>
                <w:i w:val="0"/>
                <w:sz w:val="20"/>
              </w:rPr>
              <w:t>Reflexive TA does not use a start-list codebook as the spine, and it is incompatible with ICR as a quality claim. This study needs RQ mapping and a versioned codebook.</w:t>
            </w:r>
          </w:p>
        </w:tc>
      </w:tr>
      <w:tr>
        <w:tc>
          <w:tcPr>
            <w:tcW w:type="dxa" w:w="4680"/>
          </w:tcPr>
          <w:p>
            <w:pPr>
              <w:spacing w:after="40" w:before="40" w:line="240" w:lineRule="auto"/>
            </w:pPr>
            <w:r/>
            <w:r>
              <w:rPr>
                <w:rFonts w:ascii="Times New Roman" w:hAnsi="Times New Roman" w:eastAsia="Times New Roman"/>
                <w:b w:val="0"/>
                <w:i w:val="0"/>
                <w:sz w:val="20"/>
              </w:rPr>
              <w:t>Purely inductive TA with no template</w:t>
            </w:r>
          </w:p>
        </w:tc>
        <w:tc>
          <w:tcPr>
            <w:tcW w:type="dxa" w:w="4680"/>
          </w:tcPr>
          <w:p>
            <w:pPr>
              <w:spacing w:after="40" w:before="40" w:line="240" w:lineRule="auto"/>
            </w:pPr>
            <w:r/>
            <w:r>
              <w:rPr>
                <w:rFonts w:ascii="Times New Roman" w:hAnsi="Times New Roman" w:eastAsia="Times New Roman"/>
                <w:b w:val="0"/>
                <w:i w:val="0"/>
                <w:sz w:val="20"/>
              </w:rPr>
              <w:t>Would hide the theoretically informed instrument and would not give an auditable PQ1/PQ2 map.</w:t>
            </w:r>
          </w:p>
        </w:tc>
      </w:tr>
      <w:tr>
        <w:tc>
          <w:tcPr>
            <w:tcW w:type="dxa" w:w="4680"/>
          </w:tcPr>
          <w:p>
            <w:pPr>
              <w:spacing w:after="40" w:before="40" w:line="240" w:lineRule="auto"/>
            </w:pPr>
            <w:r/>
            <w:r>
              <w:rPr>
                <w:rFonts w:ascii="Times New Roman" w:hAnsi="Times New Roman" w:eastAsia="Times New Roman"/>
                <w:b w:val="0"/>
                <w:i w:val="0"/>
                <w:sz w:val="20"/>
              </w:rPr>
              <w:t>Purely deductive coding that “confirms” Mitchell et al. (1997)</w:t>
            </w:r>
          </w:p>
        </w:tc>
        <w:tc>
          <w:tcPr>
            <w:tcW w:type="dxa" w:w="4680"/>
          </w:tcPr>
          <w:p>
            <w:pPr>
              <w:spacing w:after="40" w:before="40" w:line="240" w:lineRule="auto"/>
            </w:pPr>
            <w:r/>
            <w:r>
              <w:rPr>
                <w:rFonts w:ascii="Times New Roman" w:hAnsi="Times New Roman" w:eastAsia="Times New Roman"/>
                <w:b w:val="0"/>
                <w:i w:val="0"/>
                <w:sz w:val="20"/>
              </w:rPr>
              <w:t>Would pre-write findings and would violate Practice 2.</w:t>
            </w:r>
          </w:p>
        </w:tc>
      </w:tr>
      <w:tr>
        <w:tc>
          <w:tcPr>
            <w:tcW w:type="dxa" w:w="4680"/>
          </w:tcPr>
          <w:p>
            <w:pPr>
              <w:spacing w:after="40" w:before="40" w:line="240" w:lineRule="auto"/>
            </w:pPr>
            <w:r/>
            <w:r>
              <w:rPr>
                <w:rFonts w:ascii="Times New Roman" w:hAnsi="Times New Roman" w:eastAsia="Times New Roman"/>
                <w:b w:val="0"/>
                <w:i w:val="0"/>
                <w:sz w:val="20"/>
              </w:rPr>
              <w:t>Content analysis / NIST–ISO–BCM scoring</w:t>
            </w:r>
          </w:p>
        </w:tc>
        <w:tc>
          <w:tcPr>
            <w:tcW w:type="dxa" w:w="4680"/>
          </w:tcPr>
          <w:p>
            <w:pPr>
              <w:spacing w:after="40" w:before="40" w:line="240" w:lineRule="auto"/>
            </w:pPr>
            <w:r/>
            <w:r>
              <w:rPr>
                <w:rFonts w:ascii="Times New Roman" w:hAnsi="Times New Roman" w:eastAsia="Times New Roman"/>
                <w:b w:val="0"/>
                <w:i w:val="0"/>
                <w:sz w:val="20"/>
              </w:rPr>
              <w:t>Would convert GQI accounts into an audit.</w:t>
            </w:r>
          </w:p>
        </w:tc>
      </w:tr>
      <w:tr>
        <w:tc>
          <w:tcPr>
            <w:tcW w:type="dxa" w:w="4680"/>
          </w:tcPr>
          <w:p>
            <w:pPr>
              <w:spacing w:after="40" w:before="40" w:line="240" w:lineRule="auto"/>
            </w:pPr>
            <w:r/>
            <w:r>
              <w:rPr>
                <w:rFonts w:ascii="Times New Roman" w:hAnsi="Times New Roman" w:eastAsia="Times New Roman"/>
                <w:b w:val="0"/>
                <w:i w:val="0"/>
                <w:sz w:val="20"/>
              </w:rPr>
              <w:t>“Analyzed using Delve” or “analyzed using NVivo”</w:t>
            </w:r>
          </w:p>
        </w:tc>
        <w:tc>
          <w:tcPr>
            <w:tcW w:type="dxa" w:w="4680"/>
          </w:tcPr>
          <w:p>
            <w:pPr>
              <w:spacing w:after="40" w:before="40" w:line="240" w:lineRule="auto"/>
            </w:pPr>
            <w:r/>
            <w:r>
              <w:rPr>
                <w:rFonts w:ascii="Times New Roman" w:hAnsi="Times New Roman" w:eastAsia="Times New Roman"/>
                <w:b w:val="0"/>
                <w:i w:val="0"/>
                <w:sz w:val="20"/>
              </w:rPr>
              <w:t>Names the store as if it were the method.</w:t>
            </w:r>
          </w:p>
        </w:tc>
      </w:tr>
    </w:tbl>
    <w:p/>
    <w:p>
      <w:pPr>
        <w:spacing w:after="160" w:before="240" w:line="480" w:lineRule="auto"/>
      </w:pPr>
      <w:r>
        <w:rPr>
          <w:rFonts w:ascii="Times New Roman" w:hAnsi="Times New Roman" w:eastAsia="Times New Roman"/>
          <w:b/>
          <w:i w:val="0"/>
          <w:color w:val="1F3A5F"/>
          <w:sz w:val="24"/>
        </w:rPr>
        <w:t>3.7.3 Data preparation, transcription, and CAQDAS management</w:t>
      </w:r>
    </w:p>
    <w:p>
      <w:pPr>
        <w:spacing w:after="120" w:before="0" w:line="480" w:lineRule="auto"/>
      </w:pPr>
      <w:r>
        <w:rPr>
          <w:rFonts w:ascii="Times New Roman" w:hAnsi="Times New Roman" w:eastAsia="Times New Roman"/>
          <w:b w:val="0"/>
          <w:i w:val="0"/>
          <w:sz w:val="24"/>
        </w:rPr>
        <w:t>Preparation follows a three-state path. Delve is the store for the CLEAN and ANALYTIC states. It is not the analytic method.</w:t>
      </w:r>
    </w:p>
    <w:p>
      <w:pPr>
        <w:spacing w:after="120" w:before="0" w:line="480" w:lineRule="auto"/>
      </w:pPr>
      <w:r>
        <w:rPr>
          <w:rFonts w:ascii="Times New Roman" w:hAnsi="Times New Roman" w:eastAsia="Times New Roman"/>
          <w:b/>
          <w:i w:val="0"/>
          <w:sz w:val="24"/>
        </w:rPr>
        <w:t>RAW.</w:t>
      </w:r>
      <w:r>
        <w:rPr>
          <w:rFonts w:ascii="Times New Roman" w:hAnsi="Times New Roman" w:eastAsia="Times New Roman"/>
          <w:b w:val="0"/>
          <w:i w:val="0"/>
          <w:sz w:val="24"/>
        </w:rPr>
        <w:t xml:space="preserve"> The recording, running notes, and any artifact files as received. RAW files contain identifiers. They are stored in an encrypted, password-protected directory that is not copied into the public repository or into the Notion CSV nest.</w:t>
      </w:r>
    </w:p>
    <w:p>
      <w:pPr>
        <w:spacing w:after="120" w:before="0" w:line="480" w:lineRule="auto"/>
      </w:pPr>
      <w:r>
        <w:rPr>
          <w:rFonts w:ascii="Times New Roman" w:hAnsi="Times New Roman" w:eastAsia="Times New Roman"/>
          <w:b/>
          <w:i w:val="0"/>
          <w:sz w:val="24"/>
        </w:rPr>
        <w:t>CLEAN.</w:t>
      </w:r>
      <w:r>
        <w:rPr>
          <w:rFonts w:ascii="Times New Roman" w:hAnsi="Times New Roman" w:eastAsia="Times New Roman"/>
          <w:b w:val="0"/>
          <w:i w:val="0"/>
          <w:sz w:val="24"/>
        </w:rPr>
        <w:t xml:space="preserve"> A verbatim transcript is produced from the recording. The researcher audits the transcript against the audio (Poland, 2002). Person names, employer names, vendor names, and product names are replaced with </w:t>
      </w:r>
      <w:r>
        <w:rPr>
          <w:rFonts w:ascii="Times New Roman" w:hAnsi="Times New Roman" w:eastAsia="Times New Roman"/>
          <w:i/>
          <w:sz w:val="24"/>
        </w:rPr>
        <w:t>P##</w:t>
      </w:r>
      <w:r>
        <w:rPr>
          <w:rFonts w:ascii="Times New Roman" w:hAnsi="Times New Roman" w:eastAsia="Times New Roman"/>
          <w:b w:val="0"/>
          <w:i w:val="0"/>
          <w:sz w:val="24"/>
        </w:rPr>
        <w:t xml:space="preserve">, role only, </w:t>
      </w:r>
      <w:r>
        <w:rPr>
          <w:rFonts w:ascii="Times New Roman" w:hAnsi="Times New Roman" w:eastAsia="Times New Roman"/>
          <w:i/>
          <w:sz w:val="24"/>
        </w:rPr>
        <w:t>SME-A</w:t>
      </w:r>
      <w:r>
        <w:rPr>
          <w:rFonts w:ascii="Times New Roman" w:hAnsi="Times New Roman" w:eastAsia="Times New Roman"/>
          <w:b w:val="0"/>
          <w:i w:val="0"/>
          <w:sz w:val="24"/>
        </w:rPr>
        <w:t xml:space="preserve">, and </w:t>
      </w:r>
      <w:r>
        <w:rPr>
          <w:rFonts w:ascii="Times New Roman" w:hAnsi="Times New Roman" w:eastAsia="Times New Roman"/>
          <w:i/>
          <w:sz w:val="24"/>
        </w:rPr>
        <w:t>Platform-1</w:t>
      </w:r>
      <w:r>
        <w:rPr>
          <w:rFonts w:ascii="Times New Roman" w:hAnsi="Times New Roman" w:eastAsia="Times New Roman"/>
          <w:b w:val="0"/>
          <w:i w:val="0"/>
          <w:sz w:val="24"/>
        </w:rPr>
        <w:t xml:space="preserve">. Speaker labels are inserted so Delve can split speakers. The CLEAN transcript is the file imported to Delve. Descriptors set at import are </w:t>
      </w:r>
      <w:r>
        <w:rPr>
          <w:rFonts w:ascii="Times New Roman" w:hAnsi="Times New Roman" w:eastAsia="Times New Roman"/>
          <w:i/>
          <w:sz w:val="24"/>
        </w:rPr>
        <w:t>participant_id</w:t>
      </w:r>
      <w:r>
        <w:rPr>
          <w:rFonts w:ascii="Times New Roman" w:hAnsi="Times New Roman" w:eastAsia="Times New Roman"/>
          <w:b w:val="0"/>
          <w:i w:val="0"/>
          <w:sz w:val="24"/>
        </w:rPr>
        <w:t xml:space="preserve">, </w:t>
      </w:r>
      <w:r>
        <w:rPr>
          <w:rFonts w:ascii="Times New Roman" w:hAnsi="Times New Roman" w:eastAsia="Times New Roman"/>
          <w:i/>
          <w:sz w:val="24"/>
        </w:rPr>
        <w:t>role_band</w:t>
      </w:r>
      <w:r>
        <w:rPr>
          <w:rFonts w:ascii="Times New Roman" w:hAnsi="Times New Roman" w:eastAsia="Times New Roman"/>
          <w:b w:val="0"/>
          <w:i w:val="0"/>
          <w:sz w:val="24"/>
        </w:rPr>
        <w:t xml:space="preserve">, </w:t>
      </w:r>
      <w:r>
        <w:rPr>
          <w:rFonts w:ascii="Times New Roman" w:hAnsi="Times New Roman" w:eastAsia="Times New Roman"/>
          <w:i/>
          <w:sz w:val="24"/>
        </w:rPr>
        <w:t>incident_type</w:t>
      </w:r>
      <w:r>
        <w:rPr>
          <w:rFonts w:ascii="Times New Roman" w:hAnsi="Times New Roman" w:eastAsia="Times New Roman"/>
          <w:b w:val="0"/>
          <w:i w:val="0"/>
          <w:sz w:val="24"/>
        </w:rPr>
        <w:t xml:space="preserve">, </w:t>
      </w:r>
      <w:r>
        <w:rPr>
          <w:rFonts w:ascii="Times New Roman" w:hAnsi="Times New Roman" w:eastAsia="Times New Roman"/>
          <w:i/>
          <w:sz w:val="24"/>
        </w:rPr>
        <w:t>firm_size_band</w:t>
      </w:r>
      <w:r>
        <w:rPr>
          <w:rFonts w:ascii="Times New Roman" w:hAnsi="Times New Roman" w:eastAsia="Times New Roman"/>
          <w:b w:val="0"/>
          <w:i w:val="0"/>
          <w:sz w:val="24"/>
        </w:rPr>
        <w:t xml:space="preserve">, and </w:t>
      </w:r>
      <w:r>
        <w:rPr>
          <w:rFonts w:ascii="Times New Roman" w:hAnsi="Times New Roman" w:eastAsia="Times New Roman"/>
          <w:i/>
          <w:sz w:val="24"/>
        </w:rPr>
        <w:t>instrument_version</w:t>
      </w:r>
      <w:r>
        <w:rPr>
          <w:rFonts w:ascii="Times New Roman" w:hAnsi="Times New Roman" w:eastAsia="Times New Roman"/>
          <w:b w:val="0"/>
          <w:i w:val="0"/>
          <w:sz w:val="24"/>
        </w:rPr>
        <w:t>. Descriptors are filters. They are not findings.</w:t>
      </w:r>
    </w:p>
    <w:p>
      <w:pPr>
        <w:spacing w:after="120" w:before="0" w:line="480" w:lineRule="auto"/>
      </w:pPr>
      <w:r>
        <w:rPr>
          <w:rFonts w:ascii="Times New Roman" w:hAnsi="Times New Roman" w:eastAsia="Times New Roman"/>
          <w:b/>
          <w:i w:val="0"/>
          <w:sz w:val="24"/>
        </w:rPr>
        <w:t>ANALYTIC.</w:t>
      </w:r>
      <w:r>
        <w:rPr>
          <w:rFonts w:ascii="Times New Roman" w:hAnsi="Times New Roman" w:eastAsia="Times New Roman"/>
          <w:b w:val="0"/>
          <w:i w:val="0"/>
          <w:sz w:val="24"/>
        </w:rPr>
        <w:t xml:space="preserve"> Codes, memos, and snippet URLs are applied inside Delve on the CLEAN transcript. The leverage diagnostic, skip reasons, boundary flags, and reflexive notes are memos linked to snippets. Interval exports of Codes and Snippets are dropped into </w:t>
      </w:r>
      <w:r>
        <w:rPr>
          <w:rFonts w:ascii="Times New Roman" w:hAnsi="Times New Roman" w:eastAsia="Times New Roman"/>
          <w:i/>
          <w:sz w:val="24"/>
        </w:rPr>
        <w:t>docs/notion/interval-backups/YYYY-MM-DD/</w:t>
      </w:r>
      <w:r>
        <w:rPr>
          <w:rFonts w:ascii="Times New Roman" w:hAnsi="Times New Roman" w:eastAsia="Times New Roman"/>
          <w:b w:val="0"/>
          <w:i w:val="0"/>
          <w:sz w:val="24"/>
        </w:rPr>
        <w:t xml:space="preserve"> with an append-only </w:t>
      </w:r>
      <w:r>
        <w:rPr>
          <w:rFonts w:ascii="Times New Roman" w:hAnsi="Times New Roman" w:eastAsia="Times New Roman"/>
          <w:i/>
          <w:sz w:val="24"/>
        </w:rPr>
        <w:t>update-log.csv</w:t>
      </w:r>
      <w:r>
        <w:rPr>
          <w:rFonts w:ascii="Times New Roman" w:hAnsi="Times New Roman" w:eastAsia="Times New Roman"/>
          <w:b w:val="0"/>
          <w:i w:val="0"/>
          <w:sz w:val="24"/>
        </w:rPr>
        <w:t xml:space="preserve"> row (Carcary, 2020).</w:t>
      </w:r>
    </w:p>
    <w:p>
      <w:pPr>
        <w:spacing w:after="120" w:before="0" w:line="480" w:lineRule="auto"/>
      </w:pPr>
      <w:r>
        <w:rPr>
          <w:rFonts w:ascii="Times New Roman" w:hAnsi="Times New Roman" w:eastAsia="Times New Roman"/>
          <w:b w:val="0"/>
          <w:i w:val="0"/>
          <w:sz w:val="24"/>
        </w:rPr>
        <w:t>Member checking occurs on the CLEAN transcript, not on ANALYTIC theme names. The de-identified transcript is sent within ten days. The participant has seven calendar days to mark factual corrections of sequence, roles, and artifact type. Participants may not delete a de-identified contested recovery decision from the analytic file. Non-response after seven days is recorded as “no factual corrections returned,” and analysis proceeds.</w:t>
      </w:r>
    </w:p>
    <w:p>
      <w:pPr>
        <w:spacing w:after="160" w:before="240" w:line="480" w:lineRule="auto"/>
      </w:pPr>
      <w:r>
        <w:rPr>
          <w:rFonts w:ascii="Times New Roman" w:hAnsi="Times New Roman" w:eastAsia="Times New Roman"/>
          <w:b/>
          <w:i w:val="0"/>
          <w:color w:val="1F3A5F"/>
          <w:sz w:val="24"/>
        </w:rPr>
        <w:t>3.7.4 Analytic steps (adapted hybrid codebook TA)</w:t>
      </w:r>
    </w:p>
    <w:p>
      <w:pPr>
        <w:spacing w:after="120" w:before="0" w:line="480" w:lineRule="auto"/>
      </w:pPr>
      <w:r>
        <w:rPr>
          <w:rFonts w:ascii="Times New Roman" w:hAnsi="Times New Roman" w:eastAsia="Times New Roman"/>
          <w:b w:val="0"/>
          <w:i w:val="0"/>
          <w:sz w:val="24"/>
        </w:rPr>
        <w:t>The steps adapt Fereday and Muir-Cochrane (2006) to a single-researcher GQI with a CIT corpus of 12 interviews. Dual-coder “code reliability” is not Stage 2 of the default design.</w:t>
      </w:r>
    </w:p>
    <w:p>
      <w:pPr>
        <w:pStyle w:val="ListNumber"/>
        <w:spacing w:line="480" w:lineRule="auto"/>
      </w:pPr>
      <w:r>
        <w:rPr>
          <w:rFonts w:ascii="Times New Roman" w:hAnsi="Times New Roman" w:eastAsia="Times New Roman"/>
          <w:b/>
          <w:i w:val="0"/>
          <w:sz w:val="24"/>
        </w:rPr>
        <w:t>Develop the code manual.</w:t>
      </w:r>
      <w:r>
        <w:rPr>
          <w:rFonts w:ascii="Times New Roman" w:hAnsi="Times New Roman" w:eastAsia="Times New Roman"/>
          <w:b w:val="0"/>
          <w:i w:val="0"/>
          <w:sz w:val="24"/>
        </w:rPr>
        <w:t xml:space="preserve"> Import the nested start-list in [notion/templates/codebook.csv](notion/templates/codebook.csv). Each FRAMEWORK_DEDUCTIVE and BOUNDARY code already states what it means, what it is not, an example type, and that it is not a theme title.</w:t>
      </w:r>
    </w:p>
    <w:p>
      <w:pPr>
        <w:pStyle w:val="ListNumber"/>
        <w:spacing w:line="480" w:lineRule="auto"/>
      </w:pPr>
      <w:r>
        <w:rPr>
          <w:rFonts w:ascii="Times New Roman" w:hAnsi="Times New Roman" w:eastAsia="Times New Roman"/>
          <w:b/>
          <w:i w:val="0"/>
          <w:sz w:val="24"/>
        </w:rPr>
        <w:t>Apply STRUCTURAL and FRAMEWORK_DEDUCTIVE codes to CLEAN transcripts.</w:t>
      </w:r>
      <w:r>
        <w:rPr>
          <w:rFonts w:ascii="Times New Roman" w:hAnsi="Times New Roman" w:eastAsia="Times New Roman"/>
          <w:b w:val="0"/>
          <w:i w:val="0"/>
          <w:sz w:val="24"/>
        </w:rPr>
        <w:t xml:space="preserve"> Tag excerpts by PQ1/PQ2, context, and unanticipated content, then apply sensitizing probes where a concrete example or a documented boundary exists. Co-occurrence is not used to name themes.</w:t>
      </w:r>
    </w:p>
    <w:p>
      <w:pPr>
        <w:pStyle w:val="ListNumber"/>
        <w:spacing w:line="480" w:lineRule="auto"/>
      </w:pPr>
      <w:r>
        <w:rPr>
          <w:rFonts w:ascii="Times New Roman" w:hAnsi="Times New Roman" w:eastAsia="Times New Roman"/>
          <w:b/>
          <w:i w:val="0"/>
          <w:sz w:val="24"/>
        </w:rPr>
        <w:t>Lock meaning units before any EMERGENT code or theme name.</w:t>
      </w:r>
      <w:r>
        <w:rPr>
          <w:rFonts w:ascii="Times New Roman" w:hAnsi="Times New Roman" w:eastAsia="Times New Roman"/>
          <w:b w:val="0"/>
          <w:i w:val="0"/>
          <w:sz w:val="24"/>
        </w:rPr>
        <w:t xml:space="preserve"> A meaning unit is a practice-claim sentence grounded in a named excerpt (Aronson, 1994; Taylor &amp; Bogdan, 1998). Until that sentence exists, the EMERGENT parent stays empty.</w:t>
      </w:r>
    </w:p>
    <w:p>
      <w:pPr>
        <w:pStyle w:val="ListNumber"/>
        <w:spacing w:line="480" w:lineRule="auto"/>
      </w:pPr>
      <w:r>
        <w:rPr>
          <w:rFonts w:ascii="Times New Roman" w:hAnsi="Times New Roman" w:eastAsia="Times New Roman"/>
          <w:b/>
          <w:i w:val="0"/>
          <w:sz w:val="24"/>
        </w:rPr>
        <w:t>Add inductive (EMERGENT) codes</w:t>
      </w:r>
      <w:r>
        <w:rPr>
          <w:rFonts w:ascii="Times New Roman" w:hAnsi="Times New Roman" w:eastAsia="Times New Roman"/>
          <w:b w:val="0"/>
          <w:i w:val="0"/>
          <w:sz w:val="24"/>
        </w:rPr>
        <w:t xml:space="preserve"> for patterned claims that the template does not already name. Do not copy </w:t>
      </w:r>
      <w:r>
        <w:rPr>
          <w:rFonts w:ascii="Times New Roman" w:hAnsi="Times New Roman" w:eastAsia="Times New Roman"/>
          <w:i/>
          <w:sz w:val="24"/>
        </w:rPr>
        <w:t>power</w:t>
      </w:r>
      <w:r>
        <w:rPr>
          <w:rFonts w:ascii="Times New Roman" w:hAnsi="Times New Roman" w:eastAsia="Times New Roman"/>
          <w:b w:val="0"/>
          <w:i w:val="0"/>
          <w:sz w:val="24"/>
        </w:rPr>
        <w:t xml:space="preserve">, </w:t>
      </w:r>
      <w:r>
        <w:rPr>
          <w:rFonts w:ascii="Times New Roman" w:hAnsi="Times New Roman" w:eastAsia="Times New Roman"/>
          <w:i/>
          <w:sz w:val="24"/>
        </w:rPr>
        <w:t>legitimacy</w:t>
      </w:r>
      <w:r>
        <w:rPr>
          <w:rFonts w:ascii="Times New Roman" w:hAnsi="Times New Roman" w:eastAsia="Times New Roman"/>
          <w:b w:val="0"/>
          <w:i w:val="0"/>
          <w:sz w:val="24"/>
        </w:rPr>
        <w:t xml:space="preserve">, </w:t>
      </w:r>
      <w:r>
        <w:rPr>
          <w:rFonts w:ascii="Times New Roman" w:hAnsi="Times New Roman" w:eastAsia="Times New Roman"/>
          <w:i/>
          <w:sz w:val="24"/>
        </w:rPr>
        <w:t>urgency</w:t>
      </w:r>
      <w:r>
        <w:rPr>
          <w:rFonts w:ascii="Times New Roman" w:hAnsi="Times New Roman" w:eastAsia="Times New Roman"/>
          <w:b w:val="0"/>
          <w:i w:val="0"/>
          <w:sz w:val="24"/>
        </w:rPr>
        <w:t xml:space="preserve">, or </w:t>
      </w:r>
      <w:r>
        <w:rPr>
          <w:rFonts w:ascii="Times New Roman" w:hAnsi="Times New Roman" w:eastAsia="Times New Roman"/>
          <w:i/>
          <w:sz w:val="24"/>
        </w:rPr>
        <w:t>leverage_location</w:t>
      </w:r>
      <w:r>
        <w:rPr>
          <w:rFonts w:ascii="Times New Roman" w:hAnsi="Times New Roman" w:eastAsia="Times New Roman"/>
          <w:b w:val="0"/>
          <w:i w:val="0"/>
          <w:sz w:val="24"/>
        </w:rPr>
        <w:t xml:space="preserve"> into EMERGENT.</w:t>
      </w:r>
    </w:p>
    <w:p>
      <w:pPr>
        <w:pStyle w:val="ListNumber"/>
        <w:spacing w:line="480" w:lineRule="auto"/>
      </w:pPr>
      <w:r>
        <w:rPr>
          <w:rFonts w:ascii="Times New Roman" w:hAnsi="Times New Roman" w:eastAsia="Times New Roman"/>
          <w:b/>
          <w:i w:val="0"/>
          <w:sz w:val="24"/>
        </w:rPr>
        <w:t>Group related meaning units into categories</w:t>
      </w:r>
      <w:r>
        <w:rPr>
          <w:rFonts w:ascii="Times New Roman" w:hAnsi="Times New Roman" w:eastAsia="Times New Roman"/>
          <w:b w:val="0"/>
          <w:i w:val="0"/>
          <w:sz w:val="24"/>
        </w:rPr>
        <w:t xml:space="preserve"> only when they describe the same salience-to-assurance bargain, not merely the same recovery topic.</w:t>
      </w:r>
    </w:p>
    <w:p>
      <w:pPr>
        <w:pStyle w:val="ListNumber"/>
        <w:spacing w:line="480" w:lineRule="auto"/>
      </w:pPr>
      <w:r>
        <w:rPr>
          <w:rFonts w:ascii="Times New Roman" w:hAnsi="Times New Roman" w:eastAsia="Times New Roman"/>
          <w:b/>
          <w:i w:val="0"/>
          <w:sz w:val="24"/>
        </w:rPr>
        <w:t>Name themes as claims.</w:t>
      </w:r>
      <w:r>
        <w:rPr>
          <w:rFonts w:ascii="Times New Roman" w:hAnsi="Times New Roman" w:eastAsia="Times New Roman"/>
          <w:b w:val="0"/>
          <w:i w:val="0"/>
          <w:sz w:val="24"/>
        </w:rPr>
        <w:t xml:space="preserve"> A theme is a patterned-meaning sentence that can be evidenced with excerpts and limited by at least one negative or boundary case across the 12-interview corpus (Braun &amp; Clarke, 2021; Nowell et al., 2017).</w:t>
      </w:r>
    </w:p>
    <w:p>
      <w:pPr>
        <w:pStyle w:val="ListNumber"/>
        <w:spacing w:line="480" w:lineRule="auto"/>
      </w:pPr>
      <w:r>
        <w:rPr>
          <w:rFonts w:ascii="Times New Roman" w:hAnsi="Times New Roman" w:eastAsia="Times New Roman"/>
          <w:b/>
          <w:i w:val="0"/>
          <w:sz w:val="24"/>
        </w:rPr>
        <w:t>Synthesize two separate answers.</w:t>
      </w:r>
      <w:r>
        <w:rPr>
          <w:rFonts w:ascii="Times New Roman" w:hAnsi="Times New Roman" w:eastAsia="Times New Roman"/>
          <w:b w:val="0"/>
          <w:i w:val="0"/>
          <w:sz w:val="24"/>
        </w:rPr>
        <w:t xml:space="preserve"> One answer addresses PQ1 (claim attention and salience shifts). The other addresses PQ2 (enactment as decision rights, escalation, and proof). A single “governance” theme is not an answer to either question.</w:t>
      </w:r>
    </w:p>
    <w:p>
      <w:pPr>
        <w:pStyle w:val="ListNumber"/>
        <w:spacing w:line="480" w:lineRule="auto"/>
      </w:pPr>
      <w:r>
        <w:rPr>
          <w:rFonts w:ascii="Times New Roman" w:hAnsi="Times New Roman" w:eastAsia="Times New Roman"/>
          <w:b/>
          <w:i w:val="0"/>
          <w:sz w:val="24"/>
        </w:rPr>
        <w:t>Export and backup.</w:t>
      </w:r>
      <w:r>
        <w:rPr>
          <w:rFonts w:ascii="Times New Roman" w:hAnsi="Times New Roman" w:eastAsia="Times New Roman"/>
          <w:b w:val="0"/>
          <w:i w:val="0"/>
          <w:sz w:val="24"/>
        </w:rPr>
        <w:t xml:space="preserve"> Codes, snippets, and memos are exported to the dated CSV nest. Code renames, merges, and drops are memoed the same day.</w:t>
      </w:r>
    </w:p>
    <w:p>
      <w:pPr>
        <w:spacing w:after="160" w:before="240" w:line="480" w:lineRule="auto"/>
      </w:pPr>
      <w:r>
        <w:rPr>
          <w:rFonts w:ascii="Times New Roman" w:hAnsi="Times New Roman" w:eastAsia="Times New Roman"/>
          <w:b/>
          <w:i w:val="0"/>
          <w:color w:val="1F3A5F"/>
          <w:sz w:val="24"/>
        </w:rPr>
        <w:t>3.7.5 Delve nested start-list (import; do not treat as themes)</w:t>
      </w:r>
    </w:p>
    <w:p>
      <w:pPr>
        <w:spacing w:after="160" w:before="240" w:line="480" w:lineRule="auto"/>
      </w:pPr>
      <w:r>
        <w:rPr>
          <w:rFonts w:ascii="Times New Roman" w:hAnsi="Times New Roman" w:eastAsia="Times New Roman"/>
          <w:b/>
          <w:i w:val="0"/>
          <w:color w:val="1F3A5F"/>
          <w:sz w:val="24"/>
        </w:rPr>
        <w:t>3.7.6 Meaning-unit table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before="40" w:line="240" w:lineRule="auto"/>
            </w:pPr>
            <w:r/>
            <w:r>
              <w:rPr>
                <w:rFonts w:ascii="Times New Roman" w:hAnsi="Times New Roman" w:eastAsia="Times New Roman"/>
                <w:b/>
                <w:i w:val="0"/>
                <w:sz w:val="20"/>
              </w:rPr>
              <w:t>MU</w:t>
            </w:r>
          </w:p>
        </w:tc>
        <w:tc>
          <w:tcPr>
            <w:tcW w:type="dxa" w:w="1337"/>
          </w:tcPr>
          <w:p>
            <w:pPr>
              <w:spacing w:after="40" w:before="40" w:line="240" w:lineRule="auto"/>
            </w:pPr>
            <w:r/>
            <w:r>
              <w:rPr>
                <w:rFonts w:ascii="Times New Roman" w:hAnsi="Times New Roman" w:eastAsia="Times New Roman"/>
                <w:b/>
                <w:i w:val="0"/>
                <w:sz w:val="20"/>
              </w:rPr>
              <w:t>Meaning-claim (practice sentence, not a noun)</w:t>
            </w:r>
          </w:p>
        </w:tc>
        <w:tc>
          <w:tcPr>
            <w:tcW w:type="dxa" w:w="1337"/>
          </w:tcPr>
          <w:p>
            <w:pPr>
              <w:spacing w:after="40" w:before="40" w:line="240" w:lineRule="auto"/>
            </w:pPr>
            <w:r/>
            <w:r>
              <w:rPr>
                <w:rFonts w:ascii="Times New Roman" w:hAnsi="Times New Roman" w:eastAsia="Times New Roman"/>
                <w:b/>
                <w:i w:val="0"/>
                <w:sz w:val="20"/>
              </w:rPr>
              <w:t>Inclusion bound</w:t>
            </w:r>
          </w:p>
        </w:tc>
        <w:tc>
          <w:tcPr>
            <w:tcW w:type="dxa" w:w="1337"/>
          </w:tcPr>
          <w:p>
            <w:pPr>
              <w:spacing w:after="40" w:before="40" w:line="240" w:lineRule="auto"/>
            </w:pPr>
            <w:r/>
            <w:r>
              <w:rPr>
                <w:rFonts w:ascii="Times New Roman" w:hAnsi="Times New Roman" w:eastAsia="Times New Roman"/>
                <w:b/>
                <w:i w:val="0"/>
                <w:sz w:val="20"/>
              </w:rPr>
              <w:t>Confirming excerpt (</w:t>
            </w:r>
            <w:r>
              <w:rPr>
                <w:rFonts w:ascii="Times New Roman" w:hAnsi="Times New Roman" w:eastAsia="Times New Roman"/>
                <w:i/>
                <w:sz w:val="20"/>
              </w:rPr>
              <w:t>P##</w:t>
            </w:r>
            <w:r>
              <w:rPr>
                <w:rFonts w:ascii="Times New Roman" w:hAnsi="Times New Roman" w:eastAsia="Times New Roman"/>
                <w:b/>
                <w:i w:val="0"/>
                <w:sz w:val="20"/>
              </w:rPr>
              <w:t xml:space="preserve"> + role band + incident type — no firm name)</w:t>
            </w:r>
          </w:p>
        </w:tc>
        <w:tc>
          <w:tcPr>
            <w:tcW w:type="dxa" w:w="1337"/>
          </w:tcPr>
          <w:p>
            <w:pPr>
              <w:spacing w:after="40" w:before="40" w:line="240" w:lineRule="auto"/>
            </w:pPr>
            <w:r/>
            <w:r>
              <w:rPr>
                <w:rFonts w:ascii="Times New Roman" w:hAnsi="Times New Roman" w:eastAsia="Times New Roman"/>
                <w:b/>
                <w:i w:val="0"/>
                <w:sz w:val="20"/>
              </w:rPr>
              <w:t>Artifact row (if any)</w:t>
            </w:r>
          </w:p>
        </w:tc>
        <w:tc>
          <w:tcPr>
            <w:tcW w:type="dxa" w:w="1337"/>
          </w:tcPr>
          <w:p>
            <w:pPr>
              <w:spacing w:after="40" w:before="40" w:line="240" w:lineRule="auto"/>
            </w:pPr>
            <w:r/>
            <w:r>
              <w:rPr>
                <w:rFonts w:ascii="Times New Roman" w:hAnsi="Times New Roman" w:eastAsia="Times New Roman"/>
                <w:b/>
                <w:i w:val="0"/>
                <w:sz w:val="20"/>
              </w:rPr>
              <w:t>Negative / boundary case</w:t>
            </w:r>
          </w:p>
        </w:tc>
        <w:tc>
          <w:tcPr>
            <w:tcW w:type="dxa" w:w="1337"/>
          </w:tcPr>
          <w:p>
            <w:pPr>
              <w:spacing w:after="40" w:before="40" w:line="240" w:lineRule="auto"/>
            </w:pPr>
            <w:r/>
            <w:r>
              <w:rPr>
                <w:rFonts w:ascii="Times New Roman" w:hAnsi="Times New Roman" w:eastAsia="Times New Roman"/>
                <w:b/>
                <w:i w:val="0"/>
                <w:sz w:val="20"/>
              </w:rPr>
              <w:t>Later theme (filled in Step 6 only)</w:t>
            </w:r>
          </w:p>
        </w:tc>
      </w:tr>
      <w:tr>
        <w:tc>
          <w:tcPr>
            <w:tcW w:type="dxa" w:w="1337"/>
          </w:tcPr>
          <w:p>
            <w:pPr>
              <w:spacing w:after="40" w:before="40" w:line="240" w:lineRule="auto"/>
            </w:pPr>
            <w:r/>
            <w:r>
              <w:rPr>
                <w:rFonts w:ascii="Times New Roman" w:hAnsi="Times New Roman" w:eastAsia="Times New Roman"/>
                <w:b w:val="0"/>
                <w:i w:val="0"/>
                <w:sz w:val="20"/>
              </w:rPr>
              <w:t>MU1</w:t>
            </w:r>
          </w:p>
        </w:tc>
        <w:tc>
          <w:tcPr>
            <w:tcW w:type="dxa" w:w="1337"/>
          </w:tcPr>
          <w:p>
            <w:pPr>
              <w:spacing w:after="40" w:before="40" w:line="240" w:lineRule="auto"/>
            </w:pPr>
            <w:r/>
          </w:p>
        </w:tc>
        <w:tc>
          <w:tcPr>
            <w:tcW w:type="dxa" w:w="1337"/>
          </w:tcPr>
          <w:p>
            <w:pPr>
              <w:spacing w:after="40" w:before="40" w:line="240" w:lineRule="auto"/>
            </w:pPr>
            <w:r/>
          </w:p>
        </w:tc>
        <w:tc>
          <w:tcPr>
            <w:tcW w:type="dxa" w:w="1337"/>
          </w:tcPr>
          <w:p>
            <w:pPr>
              <w:spacing w:after="40" w:before="40" w:line="240" w:lineRule="auto"/>
            </w:pPr>
            <w:r/>
          </w:p>
        </w:tc>
        <w:tc>
          <w:tcPr>
            <w:tcW w:type="dxa" w:w="1337"/>
          </w:tcPr>
          <w:p>
            <w:pPr>
              <w:spacing w:after="40" w:before="40" w:line="240" w:lineRule="auto"/>
            </w:pPr>
            <w:r/>
          </w:p>
        </w:tc>
        <w:tc>
          <w:tcPr>
            <w:tcW w:type="dxa" w:w="1337"/>
          </w:tcPr>
          <w:p>
            <w:pPr>
              <w:spacing w:after="40" w:before="40" w:line="240" w:lineRule="auto"/>
            </w:pPr>
            <w:r/>
          </w:p>
        </w:tc>
        <w:tc>
          <w:tcPr>
            <w:tcW w:type="dxa" w:w="1337"/>
          </w:tcPr>
          <w:p>
            <w:pPr>
              <w:spacing w:after="40" w:before="40" w:line="240" w:lineRule="auto"/>
            </w:pPr>
            <w:r/>
            <w:r>
              <w:rPr>
                <w:rFonts w:ascii="Times New Roman" w:hAnsi="Times New Roman" w:eastAsia="Times New Roman"/>
                <w:b w:val="0"/>
                <w:i w:val="0"/>
                <w:sz w:val="20"/>
              </w:rPr>
              <w:t>—</w:t>
            </w:r>
          </w:p>
        </w:tc>
      </w:tr>
    </w:tbl>
    <w:p/>
    <w:p>
      <w:pPr>
        <w:spacing w:after="120" w:before="0" w:line="480" w:lineRule="auto"/>
      </w:pPr>
      <w:r>
        <w:rPr>
          <w:rFonts w:ascii="Times New Roman" w:hAnsi="Times New Roman" w:eastAsia="Times New Roman"/>
          <w:b w:val="0"/>
          <w:i w:val="0"/>
          <w:sz w:val="24"/>
        </w:rPr>
        <w:t>Required: at least one boundary case per sensitizing construct across the 12-interview corpus (for example, a manager who never escalated; a restoration accepted with no reviewable proof; a low-power stakeholder whose claim still won).</w:t>
      </w:r>
    </w:p>
    <w:p>
      <w:pPr>
        <w:spacing w:after="120" w:before="0" w:line="480" w:lineRule="auto"/>
      </w:pPr>
      <w:r>
        <w:rPr>
          <w:rFonts w:ascii="Times New Roman" w:hAnsi="Times New Roman" w:eastAsia="Times New Roman"/>
          <w:b w:val="0"/>
          <w:i w:val="0"/>
          <w:sz w:val="24"/>
        </w:rPr>
        <w:t xml:space="preserve">Relatedness test for every proposed grouping: </w:t>
      </w:r>
      <w:r>
        <w:rPr>
          <w:rFonts w:ascii="Times New Roman" w:hAnsi="Times New Roman" w:eastAsia="Times New Roman"/>
          <w:i/>
          <w:sz w:val="24"/>
        </w:rPr>
        <w:t>Do these units describe the same bargain?</w:t>
      </w:r>
      <w:r>
        <w:rPr>
          <w:rFonts w:ascii="Times New Roman" w:hAnsi="Times New Roman" w:eastAsia="Times New Roman"/>
          <w:b w:val="0"/>
          <w:i w:val="0"/>
          <w:sz w:val="24"/>
        </w:rPr>
        <w:t xml:space="preserve"> Same bargain example: executive pressure reordered restore priority </w:t>
      </w:r>
      <w:r>
        <w:rPr>
          <w:rFonts w:ascii="Times New Roman" w:hAnsi="Times New Roman" w:eastAsia="Times New Roman"/>
          <w:b/>
          <w:i w:val="0"/>
          <w:sz w:val="24"/>
        </w:rPr>
        <w:t>and</w:t>
      </w:r>
      <w:r>
        <w:rPr>
          <w:rFonts w:ascii="Times New Roman" w:hAnsi="Times New Roman" w:eastAsia="Times New Roman"/>
          <w:b w:val="0"/>
          <w:i w:val="0"/>
          <w:sz w:val="24"/>
        </w:rPr>
        <w:t xml:space="preserve"> the written RTO was ignored </w:t>
      </w:r>
      <w:r>
        <w:rPr>
          <w:rFonts w:ascii="Times New Roman" w:hAnsi="Times New Roman" w:eastAsia="Times New Roman"/>
          <w:b/>
          <w:i w:val="0"/>
          <w:sz w:val="24"/>
        </w:rPr>
        <w:t>and</w:t>
      </w:r>
      <w:r>
        <w:rPr>
          <w:rFonts w:ascii="Times New Roman" w:hAnsi="Times New Roman" w:eastAsia="Times New Roman"/>
          <w:b w:val="0"/>
          <w:i w:val="0"/>
          <w:sz w:val="24"/>
        </w:rPr>
        <w:t xml:space="preserve"> “up” was declared without an integrity check. Same topic, not same bargain: “we used the cloud failover tool” and “we had a DR plan.”</w:t>
      </w:r>
    </w:p>
    <w:p>
      <w:pPr>
        <w:spacing w:after="160" w:before="240" w:line="480" w:lineRule="auto"/>
      </w:pPr>
      <w:r>
        <w:rPr>
          <w:rFonts w:ascii="Times New Roman" w:hAnsi="Times New Roman" w:eastAsia="Times New Roman"/>
          <w:b/>
          <w:i w:val="0"/>
          <w:color w:val="1F3A5F"/>
          <w:sz w:val="24"/>
        </w:rPr>
        <w:t>3.7.7 Ten control rules</w:t>
      </w:r>
    </w:p>
    <w:p>
      <w:pPr>
        <w:pStyle w:val="ListNumber"/>
        <w:spacing w:line="480" w:lineRule="auto"/>
      </w:pPr>
      <w:r>
        <w:rPr>
          <w:rFonts w:ascii="Times New Roman" w:hAnsi="Times New Roman" w:eastAsia="Times New Roman"/>
          <w:b/>
          <w:i w:val="0"/>
          <w:sz w:val="24"/>
        </w:rPr>
        <w:t>Method first, software second.</w:t>
      </w:r>
      <w:r>
        <w:rPr>
          <w:rFonts w:ascii="Times New Roman" w:hAnsi="Times New Roman" w:eastAsia="Times New Roman"/>
          <w:b w:val="0"/>
          <w:i w:val="0"/>
          <w:sz w:val="24"/>
        </w:rPr>
        <w:t xml:space="preserve"> Name hybrid codebook thematic analysis, then name Delve as CAQDAS storage and audit support.</w:t>
      </w:r>
    </w:p>
    <w:p>
      <w:pPr>
        <w:pStyle w:val="ListNumber"/>
        <w:spacing w:line="480" w:lineRule="auto"/>
      </w:pPr>
      <w:r>
        <w:rPr>
          <w:rFonts w:ascii="Times New Roman" w:hAnsi="Times New Roman" w:eastAsia="Times New Roman"/>
          <w:b/>
          <w:i w:val="0"/>
          <w:sz w:val="24"/>
        </w:rPr>
        <w:t>Codes are not themes.</w:t>
      </w:r>
    </w:p>
    <w:p>
      <w:pPr>
        <w:pStyle w:val="ListNumber"/>
        <w:spacing w:line="480" w:lineRule="auto"/>
      </w:pPr>
      <w:r>
        <w:rPr>
          <w:rFonts w:ascii="Times New Roman" w:hAnsi="Times New Roman" w:eastAsia="Times New Roman"/>
          <w:b/>
          <w:i w:val="0"/>
          <w:sz w:val="24"/>
        </w:rPr>
        <w:t>Themes are claims.</w:t>
      </w:r>
    </w:p>
    <w:p>
      <w:pPr>
        <w:pStyle w:val="ListNumber"/>
        <w:spacing w:line="480" w:lineRule="auto"/>
      </w:pPr>
      <w:r>
        <w:rPr>
          <w:rFonts w:ascii="Times New Roman" w:hAnsi="Times New Roman" w:eastAsia="Times New Roman"/>
          <w:b/>
          <w:i w:val="0"/>
          <w:sz w:val="24"/>
        </w:rPr>
        <w:t>Do not write that themes “emerged.”</w:t>
      </w:r>
    </w:p>
    <w:p>
      <w:pPr>
        <w:pStyle w:val="ListNumber"/>
        <w:spacing w:line="480" w:lineRule="auto"/>
      </w:pPr>
      <w:r>
        <w:rPr>
          <w:rFonts w:ascii="Times New Roman" w:hAnsi="Times New Roman" w:eastAsia="Times New Roman"/>
          <w:b/>
          <w:i w:val="0"/>
          <w:sz w:val="24"/>
        </w:rPr>
        <w:t>Frequency is not importance.</w:t>
      </w:r>
    </w:p>
    <w:p>
      <w:pPr>
        <w:pStyle w:val="ListNumber"/>
        <w:spacing w:line="480" w:lineRule="auto"/>
      </w:pPr>
      <w:r>
        <w:rPr>
          <w:rFonts w:ascii="Times New Roman" w:hAnsi="Times New Roman" w:eastAsia="Times New Roman"/>
          <w:b/>
          <w:i w:val="0"/>
          <w:sz w:val="24"/>
        </w:rPr>
        <w:t>Lock meaning units before theme names.</w:t>
      </w:r>
    </w:p>
    <w:p>
      <w:pPr>
        <w:pStyle w:val="ListNumber"/>
        <w:spacing w:line="480" w:lineRule="auto"/>
      </w:pPr>
      <w:r>
        <w:rPr>
          <w:rFonts w:ascii="Times New Roman" w:hAnsi="Times New Roman" w:eastAsia="Times New Roman"/>
          <w:b/>
          <w:i w:val="0"/>
          <w:sz w:val="24"/>
        </w:rPr>
        <w:t>Leverage is not a fourth salience attribute.</w:t>
      </w:r>
    </w:p>
    <w:p>
      <w:pPr>
        <w:pStyle w:val="ListNumber"/>
        <w:spacing w:line="480" w:lineRule="auto"/>
      </w:pPr>
      <w:r>
        <w:rPr>
          <w:rFonts w:ascii="Times New Roman" w:hAnsi="Times New Roman" w:eastAsia="Times New Roman"/>
          <w:b/>
          <w:i w:val="0"/>
          <w:sz w:val="24"/>
        </w:rPr>
        <w:t>Mitchell type names stay in memos.</w:t>
      </w:r>
    </w:p>
    <w:p>
      <w:pPr>
        <w:pStyle w:val="ListNumber"/>
        <w:spacing w:line="480" w:lineRule="auto"/>
      </w:pPr>
      <w:r>
        <w:rPr>
          <w:rFonts w:ascii="Times New Roman" w:hAnsi="Times New Roman" w:eastAsia="Times New Roman"/>
          <w:b/>
          <w:i w:val="0"/>
          <w:sz w:val="24"/>
        </w:rPr>
        <w:t>NIST, ISO, and BCM are context.</w:t>
      </w:r>
    </w:p>
    <w:p>
      <w:pPr>
        <w:pStyle w:val="ListNumber"/>
        <w:spacing w:line="480" w:lineRule="auto"/>
      </w:pPr>
      <w:r>
        <w:rPr>
          <w:rFonts w:ascii="Times New Roman" w:hAnsi="Times New Roman" w:eastAsia="Times New Roman"/>
          <w:b/>
          <w:i w:val="0"/>
          <w:sz w:val="24"/>
        </w:rPr>
        <w:t>Chapter III plans; Chapter IV reports; Chapter V interprets.</w:t>
      </w:r>
      <w:r>
        <w:rPr>
          <w:rFonts w:ascii="Times New Roman" w:hAnsi="Times New Roman" w:eastAsia="Times New Roman"/>
          <w:b w:val="0"/>
          <w:i w:val="0"/>
          <w:sz w:val="24"/>
        </w:rPr>
        <w:t xml:space="preserve"> Guest et al. (2006) is not the interview method. The locked n is 12.</w:t>
      </w:r>
    </w:p>
    <w:p>
      <w:pPr>
        <w:spacing w:after="160" w:before="240" w:line="480" w:lineRule="auto"/>
      </w:pPr>
      <w:r>
        <w:rPr>
          <w:rFonts w:ascii="Times New Roman" w:hAnsi="Times New Roman" w:eastAsia="Times New Roman"/>
          <w:b/>
          <w:i w:val="0"/>
          <w:color w:val="1F3A5F"/>
          <w:sz w:val="24"/>
        </w:rPr>
        <w:t>3.7.8 Operational determination of stopping (not automatic saturation at 12)</w:t>
      </w:r>
    </w:p>
    <w:p>
      <w:pPr>
        <w:spacing w:after="120" w:before="0" w:line="480" w:lineRule="auto"/>
      </w:pPr>
      <w:r>
        <w:rPr>
          <w:rFonts w:ascii="Times New Roman" w:hAnsi="Times New Roman" w:eastAsia="Times New Roman"/>
          <w:b w:val="0"/>
          <w:i w:val="0"/>
          <w:sz w:val="24"/>
        </w:rPr>
        <w:t>Data collection is planned for 12 interviews. Saturation is not treated as a trustworthiness badge that 12 interviews automatically earn (Malterud et al., 2016; Naeem et al., 2024). After each interview the researcher updates a stopping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before="40" w:line="240" w:lineRule="auto"/>
            </w:pPr>
            <w:r/>
            <w:r>
              <w:rPr>
                <w:rFonts w:ascii="Times New Roman" w:hAnsi="Times New Roman" w:eastAsia="Times New Roman"/>
                <w:b/>
                <w:i w:val="0"/>
                <w:sz w:val="20"/>
              </w:rPr>
              <w:t>Interview (</w:t>
            </w:r>
            <w:r>
              <w:rPr>
                <w:rFonts w:ascii="Times New Roman" w:hAnsi="Times New Roman" w:eastAsia="Times New Roman"/>
                <w:i/>
                <w:sz w:val="20"/>
              </w:rPr>
              <w:t>P##</w:t>
            </w:r>
            <w:r>
              <w:rPr>
                <w:rFonts w:ascii="Times New Roman" w:hAnsi="Times New Roman" w:eastAsia="Times New Roman"/>
                <w:b/>
                <w:i w:val="0"/>
                <w:sz w:val="20"/>
              </w:rPr>
              <w:t>)</w:t>
            </w:r>
          </w:p>
        </w:tc>
        <w:tc>
          <w:tcPr>
            <w:tcW w:type="dxa" w:w="1872"/>
          </w:tcPr>
          <w:p>
            <w:pPr>
              <w:spacing w:after="40" w:before="40" w:line="240" w:lineRule="auto"/>
            </w:pPr>
            <w:r/>
            <w:r>
              <w:rPr>
                <w:rFonts w:ascii="Times New Roman" w:hAnsi="Times New Roman" w:eastAsia="Times New Roman"/>
                <w:b/>
                <w:i w:val="0"/>
                <w:sz w:val="20"/>
              </w:rPr>
              <w:t>New meaning units on the salience-to-assurance bargain?</w:t>
            </w:r>
          </w:p>
        </w:tc>
        <w:tc>
          <w:tcPr>
            <w:tcW w:type="dxa" w:w="1872"/>
          </w:tcPr>
          <w:p>
            <w:pPr>
              <w:spacing w:after="40" w:before="40" w:line="240" w:lineRule="auto"/>
            </w:pPr>
            <w:r/>
            <w:r>
              <w:rPr>
                <w:rFonts w:ascii="Times New Roman" w:hAnsi="Times New Roman" w:eastAsia="Times New Roman"/>
                <w:b/>
                <w:i w:val="0"/>
                <w:sz w:val="20"/>
              </w:rPr>
              <w:t>New BOUNDARY flags?</w:t>
            </w:r>
          </w:p>
        </w:tc>
        <w:tc>
          <w:tcPr>
            <w:tcW w:type="dxa" w:w="1872"/>
          </w:tcPr>
          <w:p>
            <w:pPr>
              <w:spacing w:after="40" w:before="40" w:line="240" w:lineRule="auto"/>
            </w:pPr>
            <w:r/>
            <w:r>
              <w:rPr>
                <w:rFonts w:ascii="Times New Roman" w:hAnsi="Times New Roman" w:eastAsia="Times New Roman"/>
                <w:b/>
                <w:i w:val="0"/>
                <w:sz w:val="20"/>
              </w:rPr>
              <w:t>Codebook change the same day?</w:t>
            </w:r>
          </w:p>
        </w:tc>
        <w:tc>
          <w:tcPr>
            <w:tcW w:type="dxa" w:w="1872"/>
          </w:tcPr>
          <w:p>
            <w:pPr>
              <w:spacing w:after="40" w:before="40" w:line="240" w:lineRule="auto"/>
            </w:pPr>
            <w:r/>
            <w:r>
              <w:rPr>
                <w:rFonts w:ascii="Times New Roman" w:hAnsi="Times New Roman" w:eastAsia="Times New Roman"/>
                <w:b/>
                <w:i w:val="0"/>
                <w:sz w:val="20"/>
              </w:rPr>
              <w:t>Notes</w:t>
            </w:r>
          </w:p>
        </w:tc>
      </w:tr>
      <w:tr>
        <w:tc>
          <w:tcPr>
            <w:tcW w:type="dxa" w:w="1872"/>
          </w:tcPr>
          <w:p>
            <w:pPr>
              <w:spacing w:after="40" w:before="40" w:line="240" w:lineRule="auto"/>
            </w:pPr>
            <w:r/>
            <w:r>
              <w:rPr>
                <w:rFonts w:ascii="Times New Roman" w:hAnsi="Times New Roman" w:eastAsia="Times New Roman"/>
                <w:b w:val="0"/>
                <w:i w:val="0"/>
                <w:sz w:val="20"/>
              </w:rPr>
              <w:t>P01</w:t>
            </w:r>
          </w:p>
        </w:tc>
        <w:tc>
          <w:tcPr>
            <w:tcW w:type="dxa" w:w="1872"/>
          </w:tcPr>
          <w:p>
            <w:pPr>
              <w:spacing w:after="40" w:before="40" w:line="240" w:lineRule="auto"/>
            </w:pPr>
            <w:r/>
            <w:r>
              <w:rPr>
                <w:rFonts w:ascii="Times New Roman" w:hAnsi="Times New Roman" w:eastAsia="Times New Roman"/>
                <w:b w:val="0"/>
                <w:i w:val="0"/>
                <w:sz w:val="20"/>
              </w:rPr>
              <w:t>Y/N</w:t>
            </w:r>
          </w:p>
        </w:tc>
        <w:tc>
          <w:tcPr>
            <w:tcW w:type="dxa" w:w="1872"/>
          </w:tcPr>
          <w:p>
            <w:pPr>
              <w:spacing w:after="40" w:before="40" w:line="240" w:lineRule="auto"/>
            </w:pPr>
            <w:r/>
            <w:r>
              <w:rPr>
                <w:rFonts w:ascii="Times New Roman" w:hAnsi="Times New Roman" w:eastAsia="Times New Roman"/>
                <w:b w:val="0"/>
                <w:i w:val="0"/>
                <w:sz w:val="20"/>
              </w:rPr>
              <w:t>Y/N</w:t>
            </w:r>
          </w:p>
        </w:tc>
        <w:tc>
          <w:tcPr>
            <w:tcW w:type="dxa" w:w="1872"/>
          </w:tcPr>
          <w:p>
            <w:pPr>
              <w:spacing w:after="40" w:before="40" w:line="240" w:lineRule="auto"/>
            </w:pPr>
            <w:r/>
            <w:r>
              <w:rPr>
                <w:rFonts w:ascii="Times New Roman" w:hAnsi="Times New Roman" w:eastAsia="Times New Roman"/>
                <w:b w:val="0"/>
                <w:i w:val="0"/>
                <w:sz w:val="20"/>
              </w:rPr>
              <w:t>Y/N</w:t>
            </w:r>
          </w:p>
        </w:tc>
        <w:tc>
          <w:tcPr>
            <w:tcW w:type="dxa" w:w="1872"/>
          </w:tcPr>
          <w:p>
            <w:pPr>
              <w:spacing w:after="40" w:before="40" w:line="240" w:lineRule="auto"/>
            </w:pPr>
            <w:r/>
          </w:p>
        </w:tc>
      </w:tr>
      <w:tr>
        <w:tc>
          <w:tcPr>
            <w:tcW w:type="dxa" w:w="1872"/>
          </w:tcPr>
          <w:p>
            <w:pPr>
              <w:spacing w:after="40" w:before="40" w:line="240" w:lineRule="auto"/>
            </w:pPr>
            <w:r/>
            <w:r>
              <w:rPr>
                <w:rFonts w:ascii="Times New Roman" w:hAnsi="Times New Roman" w:eastAsia="Times New Roman"/>
                <w:b w:val="0"/>
                <w:i w:val="0"/>
                <w:sz w:val="20"/>
              </w:rPr>
              <w:t>…</w:t>
            </w:r>
          </w:p>
        </w:tc>
        <w:tc>
          <w:tcPr>
            <w:tcW w:type="dxa" w:w="1872"/>
          </w:tcPr>
          <w:p>
            <w:pPr>
              <w:spacing w:after="40" w:before="40" w:line="240" w:lineRule="auto"/>
            </w:pPr>
            <w:r/>
          </w:p>
        </w:tc>
        <w:tc>
          <w:tcPr>
            <w:tcW w:type="dxa" w:w="1872"/>
          </w:tcPr>
          <w:p>
            <w:pPr>
              <w:spacing w:after="40" w:before="40" w:line="240" w:lineRule="auto"/>
            </w:pPr>
            <w:r/>
          </w:p>
        </w:tc>
        <w:tc>
          <w:tcPr>
            <w:tcW w:type="dxa" w:w="1872"/>
          </w:tcPr>
          <w:p>
            <w:pPr>
              <w:spacing w:after="40" w:before="40" w:line="240" w:lineRule="auto"/>
            </w:pPr>
            <w:r/>
          </w:p>
        </w:tc>
        <w:tc>
          <w:tcPr>
            <w:tcW w:type="dxa" w:w="1872"/>
          </w:tcPr>
          <w:p>
            <w:pPr>
              <w:spacing w:after="40" w:before="40" w:line="240" w:lineRule="auto"/>
            </w:pPr>
            <w:r/>
          </w:p>
        </w:tc>
      </w:tr>
      <w:tr>
        <w:tc>
          <w:tcPr>
            <w:tcW w:type="dxa" w:w="1872"/>
          </w:tcPr>
          <w:p>
            <w:pPr>
              <w:spacing w:after="40" w:before="40" w:line="240" w:lineRule="auto"/>
            </w:pPr>
            <w:r/>
            <w:r>
              <w:rPr>
                <w:rFonts w:ascii="Times New Roman" w:hAnsi="Times New Roman" w:eastAsia="Times New Roman"/>
                <w:b w:val="0"/>
                <w:i w:val="0"/>
                <w:sz w:val="20"/>
              </w:rPr>
              <w:t>P12</w:t>
            </w:r>
          </w:p>
        </w:tc>
        <w:tc>
          <w:tcPr>
            <w:tcW w:type="dxa" w:w="1872"/>
          </w:tcPr>
          <w:p>
            <w:pPr>
              <w:spacing w:after="40" w:before="40" w:line="240" w:lineRule="auto"/>
            </w:pPr>
            <w:r/>
            <w:r>
              <w:rPr>
                <w:rFonts w:ascii="Times New Roman" w:hAnsi="Times New Roman" w:eastAsia="Times New Roman"/>
                <w:b w:val="0"/>
                <w:i w:val="0"/>
                <w:sz w:val="20"/>
              </w:rPr>
              <w:t>Y/N</w:t>
            </w:r>
          </w:p>
        </w:tc>
        <w:tc>
          <w:tcPr>
            <w:tcW w:type="dxa" w:w="1872"/>
          </w:tcPr>
          <w:p>
            <w:pPr>
              <w:spacing w:after="40" w:before="40" w:line="240" w:lineRule="auto"/>
            </w:pPr>
            <w:r/>
            <w:r>
              <w:rPr>
                <w:rFonts w:ascii="Times New Roman" w:hAnsi="Times New Roman" w:eastAsia="Times New Roman"/>
                <w:b w:val="0"/>
                <w:i w:val="0"/>
                <w:sz w:val="20"/>
              </w:rPr>
              <w:t>Y/N</w:t>
            </w:r>
          </w:p>
        </w:tc>
        <w:tc>
          <w:tcPr>
            <w:tcW w:type="dxa" w:w="1872"/>
          </w:tcPr>
          <w:p>
            <w:pPr>
              <w:spacing w:after="40" w:before="40" w:line="240" w:lineRule="auto"/>
            </w:pPr>
            <w:r/>
            <w:r>
              <w:rPr>
                <w:rFonts w:ascii="Times New Roman" w:hAnsi="Times New Roman" w:eastAsia="Times New Roman"/>
                <w:b w:val="0"/>
                <w:i w:val="0"/>
                <w:sz w:val="20"/>
              </w:rPr>
              <w:t>Y/N</w:t>
            </w:r>
          </w:p>
        </w:tc>
        <w:tc>
          <w:tcPr>
            <w:tcW w:type="dxa" w:w="1872"/>
          </w:tcPr>
          <w:p>
            <w:pPr>
              <w:spacing w:after="40" w:before="40" w:line="240" w:lineRule="auto"/>
            </w:pPr>
            <w:r/>
            <w:r>
              <w:rPr>
                <w:rFonts w:ascii="Times New Roman" w:hAnsi="Times New Roman" w:eastAsia="Times New Roman"/>
                <w:b w:val="0"/>
                <w:i w:val="0"/>
                <w:sz w:val="20"/>
              </w:rPr>
              <w:t>Rationale for ending recruitment</w:t>
            </w:r>
          </w:p>
        </w:tc>
      </w:tr>
    </w:tbl>
    <w:p/>
    <w:p>
      <w:pPr>
        <w:spacing w:after="120" w:before="0" w:line="480" w:lineRule="auto"/>
      </w:pPr>
      <w:r>
        <w:rPr>
          <w:rFonts w:ascii="Times New Roman" w:hAnsi="Times New Roman" w:eastAsia="Times New Roman"/>
          <w:b w:val="0"/>
          <w:i w:val="0"/>
          <w:sz w:val="24"/>
        </w:rPr>
        <w:t>Code saturation (no novel first-cycle codes) and meaning saturation (no new dimensions on existing categories) may be described in the audit trail (Guest et al., 2006, stopping discussion only). Neither threshold is pre-declared as reached at interview 12.</w:t>
      </w:r>
    </w:p>
    <w:p>
      <w:pPr>
        <w:spacing w:after="160" w:before="240" w:line="480" w:lineRule="auto"/>
      </w:pPr>
      <w:r>
        <w:rPr>
          <w:rFonts w:ascii="Times New Roman" w:hAnsi="Times New Roman" w:eastAsia="Times New Roman"/>
          <w:b/>
          <w:i w:val="0"/>
          <w:color w:val="1F3A5F"/>
          <w:sz w:val="28"/>
        </w:rPr>
        <w:t>3.8 Trustworthiness and methodological rigor</w:t>
      </w:r>
    </w:p>
    <w:p>
      <w:pPr>
        <w:spacing w:after="120" w:before="0" w:line="480" w:lineRule="auto"/>
      </w:pPr>
      <w:r>
        <w:rPr>
          <w:rFonts w:ascii="Times New Roman" w:hAnsi="Times New Roman" w:eastAsia="Times New Roman"/>
          <w:b w:val="0"/>
          <w:i w:val="0"/>
          <w:sz w:val="24"/>
        </w:rPr>
        <w:t>This project uses the qualitative criteria of credibility, dependability, confirmability, and transferability (Lincoln &amp; Guba, 1985; Korstjens &amp; Moser, 2018; Nowell et al., 2017). Reporting will be checked against SRQR items and, where they fit a single-researcher interview study, against COREQ items that do not require multiple coders as a quality condition (O’Brien et al., 2014; Tong et al., 2007). Checklists are reporting aids. They are not the analytic method.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line="240" w:lineRule="auto"/>
            </w:pPr>
            <w:r/>
            <w:r>
              <w:rPr>
                <w:rFonts w:ascii="Times New Roman" w:hAnsi="Times New Roman" w:eastAsia="Times New Roman"/>
                <w:b/>
                <w:i w:val="0"/>
                <w:sz w:val="20"/>
              </w:rPr>
              <w:t>Trustworthiness dimension</w:t>
            </w:r>
          </w:p>
        </w:tc>
        <w:tc>
          <w:tcPr>
            <w:tcW w:type="dxa" w:w="2340"/>
          </w:tcPr>
          <w:p>
            <w:pPr>
              <w:spacing w:after="40" w:before="40" w:line="240" w:lineRule="auto"/>
            </w:pPr>
            <w:r/>
            <w:r>
              <w:rPr>
                <w:rFonts w:ascii="Times New Roman" w:hAnsi="Times New Roman" w:eastAsia="Times New Roman"/>
                <w:b/>
                <w:i w:val="0"/>
                <w:sz w:val="20"/>
              </w:rPr>
              <w:t>Quantitative counterpart (do not use as the method term)</w:t>
            </w:r>
          </w:p>
        </w:tc>
        <w:tc>
          <w:tcPr>
            <w:tcW w:type="dxa" w:w="2340"/>
          </w:tcPr>
          <w:p>
            <w:pPr>
              <w:spacing w:after="40" w:before="40" w:line="240" w:lineRule="auto"/>
            </w:pPr>
            <w:r/>
            <w:r>
              <w:rPr>
                <w:rFonts w:ascii="Times New Roman" w:hAnsi="Times New Roman" w:eastAsia="Times New Roman"/>
                <w:b/>
                <w:i w:val="0"/>
                <w:sz w:val="20"/>
              </w:rPr>
              <w:t>Operational procedures in this study</w:t>
            </w:r>
          </w:p>
        </w:tc>
        <w:tc>
          <w:tcPr>
            <w:tcW w:type="dxa" w:w="2340"/>
          </w:tcPr>
          <w:p>
            <w:pPr>
              <w:spacing w:after="40" w:before="40" w:line="240" w:lineRule="auto"/>
            </w:pPr>
            <w:r/>
            <w:r>
              <w:rPr>
                <w:rFonts w:ascii="Times New Roman" w:hAnsi="Times New Roman" w:eastAsia="Times New Roman"/>
                <w:b/>
                <w:i w:val="0"/>
                <w:sz w:val="20"/>
              </w:rPr>
              <w:t>Audit artifact</w:t>
            </w:r>
          </w:p>
        </w:tc>
      </w:tr>
      <w:tr>
        <w:tc>
          <w:tcPr>
            <w:tcW w:type="dxa" w:w="2340"/>
          </w:tcPr>
          <w:p>
            <w:pPr>
              <w:spacing w:after="40" w:before="40" w:line="240" w:lineRule="auto"/>
            </w:pPr>
            <w:r/>
            <w:r>
              <w:rPr>
                <w:rFonts w:ascii="Times New Roman" w:hAnsi="Times New Roman" w:eastAsia="Times New Roman"/>
                <w:b w:val="0"/>
                <w:i w:val="0"/>
                <w:sz w:val="20"/>
              </w:rPr>
              <w:t>Credibility</w:t>
            </w:r>
          </w:p>
        </w:tc>
        <w:tc>
          <w:tcPr>
            <w:tcW w:type="dxa" w:w="2340"/>
          </w:tcPr>
          <w:p>
            <w:pPr>
              <w:spacing w:after="40" w:before="40" w:line="240" w:lineRule="auto"/>
            </w:pPr>
            <w:r/>
            <w:r>
              <w:rPr>
                <w:rFonts w:ascii="Times New Roman" w:hAnsi="Times New Roman" w:eastAsia="Times New Roman"/>
                <w:b w:val="0"/>
                <w:i w:val="0"/>
                <w:sz w:val="20"/>
              </w:rPr>
              <w:t>Internal validity</w:t>
            </w:r>
          </w:p>
        </w:tc>
        <w:tc>
          <w:tcPr>
            <w:tcW w:type="dxa" w:w="2340"/>
          </w:tcPr>
          <w:p>
            <w:pPr>
              <w:spacing w:after="40" w:before="40" w:line="240" w:lineRule="auto"/>
            </w:pPr>
            <w:r/>
            <w:r>
              <w:rPr>
                <w:rFonts w:ascii="Times New Roman" w:hAnsi="Times New Roman" w:eastAsia="Times New Roman"/>
                <w:b w:val="0"/>
                <w:i w:val="0"/>
                <w:sz w:val="20"/>
              </w:rPr>
              <w:t>One named CIT event; coverage checklist; factual seven-day member check; boundary cases retained</w:t>
            </w:r>
          </w:p>
        </w:tc>
        <w:tc>
          <w:tcPr>
            <w:tcW w:type="dxa" w:w="2340"/>
          </w:tcPr>
          <w:p>
            <w:pPr>
              <w:spacing w:after="40" w:before="40" w:line="240" w:lineRule="auto"/>
            </w:pPr>
            <w:r/>
            <w:r>
              <w:rPr>
                <w:rFonts w:ascii="Times New Roman" w:hAnsi="Times New Roman" w:eastAsia="Times New Roman"/>
                <w:b w:val="0"/>
                <w:i w:val="0"/>
                <w:sz w:val="20"/>
              </w:rPr>
              <w:t xml:space="preserve">Coverage checklist; </w:t>
            </w:r>
            <w:r>
              <w:rPr>
                <w:rFonts w:ascii="Times New Roman" w:hAnsi="Times New Roman" w:eastAsia="Times New Roman"/>
                <w:i/>
                <w:sz w:val="20"/>
              </w:rPr>
              <w:t>P##_MC</w:t>
            </w:r>
            <w:r>
              <w:rPr>
                <w:rFonts w:ascii="Times New Roman" w:hAnsi="Times New Roman" w:eastAsia="Times New Roman"/>
                <w:b w:val="0"/>
                <w:i w:val="0"/>
                <w:sz w:val="20"/>
              </w:rPr>
              <w:t xml:space="preserve"> file; BOUNDARY codes</w:t>
            </w:r>
          </w:p>
        </w:tc>
      </w:tr>
      <w:tr>
        <w:tc>
          <w:tcPr>
            <w:tcW w:type="dxa" w:w="2340"/>
          </w:tcPr>
          <w:p>
            <w:pPr>
              <w:spacing w:after="40" w:before="40" w:line="240" w:lineRule="auto"/>
            </w:pPr>
            <w:r/>
            <w:r>
              <w:rPr>
                <w:rFonts w:ascii="Times New Roman" w:hAnsi="Times New Roman" w:eastAsia="Times New Roman"/>
                <w:b w:val="0"/>
                <w:i w:val="0"/>
                <w:sz w:val="20"/>
              </w:rPr>
              <w:t>Transferability</w:t>
            </w:r>
          </w:p>
        </w:tc>
        <w:tc>
          <w:tcPr>
            <w:tcW w:type="dxa" w:w="2340"/>
          </w:tcPr>
          <w:p>
            <w:pPr>
              <w:spacing w:after="40" w:before="40" w:line="240" w:lineRule="auto"/>
            </w:pPr>
            <w:r/>
            <w:r>
              <w:rPr>
                <w:rFonts w:ascii="Times New Roman" w:hAnsi="Times New Roman" w:eastAsia="Times New Roman"/>
                <w:b w:val="0"/>
                <w:i w:val="0"/>
                <w:sz w:val="20"/>
              </w:rPr>
              <w:t>External validity</w:t>
            </w:r>
          </w:p>
        </w:tc>
        <w:tc>
          <w:tcPr>
            <w:tcW w:type="dxa" w:w="2340"/>
          </w:tcPr>
          <w:p>
            <w:pPr>
              <w:spacing w:after="40" w:before="40" w:line="240" w:lineRule="auto"/>
            </w:pPr>
            <w:r/>
            <w:r>
              <w:rPr>
                <w:rFonts w:ascii="Times New Roman" w:hAnsi="Times New Roman" w:eastAsia="Times New Roman"/>
                <w:b w:val="0"/>
                <w:i w:val="0"/>
                <w:sz w:val="20"/>
              </w:rPr>
              <w:t>Rich description of role band, firm-size band (10–200), platform type, and incident type without naming organizations. No claim that 12 U.S. SME managers represent all ITDRPaaS settings.</w:t>
            </w:r>
          </w:p>
        </w:tc>
        <w:tc>
          <w:tcPr>
            <w:tcW w:type="dxa" w:w="2340"/>
          </w:tcPr>
          <w:p>
            <w:pPr>
              <w:spacing w:after="40" w:before="40" w:line="240" w:lineRule="auto"/>
            </w:pPr>
            <w:r/>
            <w:r>
              <w:rPr>
                <w:rFonts w:ascii="Times New Roman" w:hAnsi="Times New Roman" w:eastAsia="Times New Roman"/>
                <w:b w:val="0"/>
                <w:i w:val="0"/>
                <w:sz w:val="20"/>
              </w:rPr>
              <w:t>Contextual profile; inclusion table</w:t>
            </w:r>
          </w:p>
        </w:tc>
      </w:tr>
      <w:tr>
        <w:tc>
          <w:tcPr>
            <w:tcW w:type="dxa" w:w="2340"/>
          </w:tcPr>
          <w:p>
            <w:pPr>
              <w:spacing w:after="40" w:before="40" w:line="240" w:lineRule="auto"/>
            </w:pPr>
            <w:r/>
            <w:r>
              <w:rPr>
                <w:rFonts w:ascii="Times New Roman" w:hAnsi="Times New Roman" w:eastAsia="Times New Roman"/>
                <w:b w:val="0"/>
                <w:i w:val="0"/>
                <w:sz w:val="20"/>
              </w:rPr>
              <w:t>Dependability</w:t>
            </w:r>
          </w:p>
        </w:tc>
        <w:tc>
          <w:tcPr>
            <w:tcW w:type="dxa" w:w="2340"/>
          </w:tcPr>
          <w:p>
            <w:pPr>
              <w:spacing w:after="40" w:before="40" w:line="240" w:lineRule="auto"/>
            </w:pPr>
            <w:r/>
            <w:r>
              <w:rPr>
                <w:rFonts w:ascii="Times New Roman" w:hAnsi="Times New Roman" w:eastAsia="Times New Roman"/>
                <w:b w:val="0"/>
                <w:i w:val="0"/>
                <w:sz w:val="20"/>
              </w:rPr>
              <w:t>Reliability</w:t>
            </w:r>
          </w:p>
        </w:tc>
        <w:tc>
          <w:tcPr>
            <w:tcW w:type="dxa" w:w="2340"/>
          </w:tcPr>
          <w:p>
            <w:pPr>
              <w:spacing w:after="40" w:before="40" w:line="240" w:lineRule="auto"/>
            </w:pPr>
            <w:r/>
            <w:r>
              <w:rPr>
                <w:rFonts w:ascii="Times New Roman" w:hAnsi="Times New Roman" w:eastAsia="Times New Roman"/>
                <w:b w:val="0"/>
                <w:i w:val="0"/>
                <w:sz w:val="20"/>
              </w:rPr>
              <w:t>Written protocol; versioned codebook; Delve snippet URLs; dated CSV nest (Carcary, 2020)</w:t>
            </w:r>
          </w:p>
        </w:tc>
        <w:tc>
          <w:tcPr>
            <w:tcW w:type="dxa" w:w="2340"/>
          </w:tcPr>
          <w:p>
            <w:pPr>
              <w:spacing w:after="40" w:before="40" w:line="240" w:lineRule="auto"/>
            </w:pPr>
            <w:r/>
            <w:r>
              <w:rPr>
                <w:rFonts w:ascii="Times New Roman" w:hAnsi="Times New Roman" w:eastAsia="Times New Roman"/>
                <w:i/>
                <w:sz w:val="20"/>
              </w:rPr>
              <w:t>update-log.csv</w:t>
            </w:r>
            <w:r>
              <w:rPr>
                <w:rFonts w:ascii="Times New Roman" w:hAnsi="Times New Roman" w:eastAsia="Times New Roman"/>
                <w:b w:val="0"/>
                <w:i w:val="0"/>
                <w:sz w:val="20"/>
              </w:rPr>
              <w:t>; codebook versions</w:t>
            </w:r>
          </w:p>
        </w:tc>
      </w:tr>
      <w:tr>
        <w:tc>
          <w:tcPr>
            <w:tcW w:type="dxa" w:w="2340"/>
          </w:tcPr>
          <w:p>
            <w:pPr>
              <w:spacing w:after="40" w:before="40" w:line="240" w:lineRule="auto"/>
            </w:pPr>
            <w:r/>
            <w:r>
              <w:rPr>
                <w:rFonts w:ascii="Times New Roman" w:hAnsi="Times New Roman" w:eastAsia="Times New Roman"/>
                <w:b w:val="0"/>
                <w:i w:val="0"/>
                <w:sz w:val="20"/>
              </w:rPr>
              <w:t>Confirmability</w:t>
            </w:r>
          </w:p>
        </w:tc>
        <w:tc>
          <w:tcPr>
            <w:tcW w:type="dxa" w:w="2340"/>
          </w:tcPr>
          <w:p>
            <w:pPr>
              <w:spacing w:after="40" w:before="40" w:line="240" w:lineRule="auto"/>
            </w:pPr>
            <w:r/>
            <w:r>
              <w:rPr>
                <w:rFonts w:ascii="Times New Roman" w:hAnsi="Times New Roman" w:eastAsia="Times New Roman"/>
                <w:b w:val="0"/>
                <w:i w:val="0"/>
                <w:sz w:val="20"/>
              </w:rPr>
              <w:t>Objectivity</w:t>
            </w:r>
          </w:p>
        </w:tc>
        <w:tc>
          <w:tcPr>
            <w:tcW w:type="dxa" w:w="2340"/>
          </w:tcPr>
          <w:p>
            <w:pPr>
              <w:spacing w:after="40" w:before="40" w:line="240" w:lineRule="auto"/>
            </w:pPr>
            <w:r/>
            <w:r>
              <w:rPr>
                <w:rFonts w:ascii="Times New Roman" w:hAnsi="Times New Roman" w:eastAsia="Times New Roman"/>
                <w:b w:val="0"/>
                <w:i w:val="0"/>
                <w:sz w:val="20"/>
              </w:rPr>
              <w:t>24-hour reflexive memo; evidential anchoring of every Chapter IV theme in excerpts; empty EMERGENT until meaning-unit lock</w:t>
            </w:r>
          </w:p>
        </w:tc>
        <w:tc>
          <w:tcPr>
            <w:tcW w:type="dxa" w:w="2340"/>
          </w:tcPr>
          <w:p>
            <w:pPr>
              <w:spacing w:after="40" w:before="40" w:line="240" w:lineRule="auto"/>
            </w:pPr>
            <w:r/>
            <w:r>
              <w:rPr>
                <w:rFonts w:ascii="Times New Roman" w:hAnsi="Times New Roman" w:eastAsia="Times New Roman"/>
                <w:b w:val="0"/>
                <w:i w:val="0"/>
                <w:sz w:val="20"/>
              </w:rPr>
              <w:t>Reflexive memos; quote-to-theme crosswalk</w:t>
            </w:r>
          </w:p>
        </w:tc>
      </w:tr>
    </w:tbl>
    <w:p/>
    <w:p>
      <w:pPr>
        <w:spacing w:after="120" w:before="0" w:line="480" w:lineRule="auto"/>
      </w:pPr>
      <w:r>
        <w:rPr>
          <w:rFonts w:ascii="Times New Roman" w:hAnsi="Times New Roman" w:eastAsia="Times New Roman"/>
          <w:b w:val="0"/>
          <w:i w:val="0"/>
          <w:sz w:val="24"/>
        </w:rPr>
        <w:t>Member checking is limited to factual accuracy so that contested recovery decisions are not edited out of the CLEAN file. Participants do not receive theme titles for approval.</w:t>
      </w:r>
    </w:p>
    <w:p>
      <w:pPr>
        <w:spacing w:after="120" w:before="0" w:line="480" w:lineRule="auto"/>
      </w:pPr>
      <w:r>
        <w:rPr>
          <w:rFonts w:ascii="Times New Roman" w:hAnsi="Times New Roman" w:eastAsia="Times New Roman"/>
          <w:b w:val="0"/>
          <w:i w:val="0"/>
          <w:sz w:val="24"/>
        </w:rPr>
        <w:t>Peer debriefing with the dissertation chair, if scheduled, audits codebook logic and theme-as-claim wording. It does not replace the audit trail.</w:t>
      </w:r>
    </w:p>
    <w:p>
      <w:pPr>
        <w:spacing w:after="160" w:before="240" w:line="480" w:lineRule="auto"/>
      </w:pPr>
      <w:r>
        <w:rPr>
          <w:rFonts w:ascii="Times New Roman" w:hAnsi="Times New Roman" w:eastAsia="Times New Roman"/>
          <w:b/>
          <w:i w:val="0"/>
          <w:color w:val="1F3A5F"/>
          <w:sz w:val="28"/>
        </w:rPr>
        <w:t>3.9 Ethical assurances, IRB compliance, and human-subjects protection</w:t>
      </w:r>
    </w:p>
    <w:p>
      <w:pPr>
        <w:spacing w:after="160" w:before="240" w:line="480" w:lineRule="auto"/>
      </w:pPr>
      <w:r>
        <w:rPr>
          <w:rFonts w:ascii="Times New Roman" w:hAnsi="Times New Roman" w:eastAsia="Times New Roman"/>
          <w:b/>
          <w:i w:val="0"/>
          <w:color w:val="1F3A5F"/>
          <w:sz w:val="24"/>
        </w:rPr>
        <w:t>3.9.1 IRB</w:t>
      </w:r>
    </w:p>
    <w:p>
      <w:pPr>
        <w:spacing w:after="120" w:before="0" w:line="480" w:lineRule="auto"/>
      </w:pPr>
      <w:r>
        <w:rPr>
          <w:rFonts w:ascii="Times New Roman" w:hAnsi="Times New Roman" w:eastAsia="Times New Roman"/>
          <w:b w:val="0"/>
          <w:i w:val="0"/>
          <w:sz w:val="24"/>
        </w:rPr>
        <w:t>The study will be submitted to the Capella University Institutional Review Board before recruitment. Data collection begins only after written approval. Protocol ID is recorded as pending until issued. Amendments to the instrument, recruitment script, or consent form are submitted before use.</w:t>
      </w:r>
    </w:p>
    <w:p>
      <w:pPr>
        <w:spacing w:after="120" w:before="0" w:line="480" w:lineRule="auto"/>
      </w:pPr>
      <w:r>
        <w:rPr>
          <w:rFonts w:ascii="Times New Roman" w:hAnsi="Times New Roman" w:eastAsia="Times New Roman"/>
          <w:b w:val="0"/>
          <w:i w:val="0"/>
          <w:sz w:val="24"/>
        </w:rPr>
        <w:t>The study is designed as minimal risk: the interview concerns professional recovery decisions. Organizational disclosure risk is treated as a Gap-data threat, not only as a compliance item.</w:t>
      </w:r>
    </w:p>
    <w:p>
      <w:pPr>
        <w:spacing w:after="160" w:before="240" w:line="480" w:lineRule="auto"/>
      </w:pPr>
      <w:r>
        <w:rPr>
          <w:rFonts w:ascii="Times New Roman" w:hAnsi="Times New Roman" w:eastAsia="Times New Roman"/>
          <w:b/>
          <w:i w:val="0"/>
          <w:color w:val="1F3A5F"/>
          <w:sz w:val="24"/>
        </w:rPr>
        <w:t>3.9.2 Informed consent and voluntary participation</w:t>
      </w:r>
    </w:p>
    <w:p>
      <w:pPr>
        <w:spacing w:after="120" w:before="0" w:line="480" w:lineRule="auto"/>
      </w:pPr>
      <w:r>
        <w:rPr>
          <w:rFonts w:ascii="Times New Roman" w:hAnsi="Times New Roman" w:eastAsia="Times New Roman"/>
          <w:b w:val="0"/>
          <w:i w:val="0"/>
          <w:sz w:val="24"/>
        </w:rPr>
        <w:t>Participation is voluntary. After eligibility is confirmed, the informed-consent form is emailed. Signed electronic consent is required before the interview is scheduled. The opening script reconfirms permission to record. Participants may skip any question or stop at any time without penalty.</w:t>
      </w:r>
    </w:p>
    <w:p>
      <w:pPr>
        <w:spacing w:after="160" w:before="240" w:line="480" w:lineRule="auto"/>
      </w:pPr>
      <w:r>
        <w:rPr>
          <w:rFonts w:ascii="Times New Roman" w:hAnsi="Times New Roman" w:eastAsia="Times New Roman"/>
          <w:b/>
          <w:i w:val="0"/>
          <w:color w:val="1F3A5F"/>
          <w:sz w:val="24"/>
        </w:rPr>
        <w:t>3.9.3 Anonymity, confidentiality, and storage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before="40" w:line="240" w:lineRule="auto"/>
            </w:pPr>
            <w:r/>
            <w:r>
              <w:rPr>
                <w:rFonts w:ascii="Times New Roman" w:hAnsi="Times New Roman" w:eastAsia="Times New Roman"/>
                <w:b/>
                <w:i w:val="0"/>
                <w:sz w:val="20"/>
              </w:rPr>
              <w:t>Object</w:t>
            </w:r>
          </w:p>
        </w:tc>
        <w:tc>
          <w:tcPr>
            <w:tcW w:type="dxa" w:w="4680"/>
          </w:tcPr>
          <w:p>
            <w:pPr>
              <w:spacing w:after="40" w:before="40" w:line="240" w:lineRule="auto"/>
            </w:pPr>
            <w:r/>
            <w:r>
              <w:rPr>
                <w:rFonts w:ascii="Times New Roman" w:hAnsi="Times New Roman" w:eastAsia="Times New Roman"/>
                <w:b/>
                <w:i w:val="0"/>
                <w:sz w:val="20"/>
              </w:rPr>
              <w:t>Rule</w:t>
            </w:r>
          </w:p>
        </w:tc>
      </w:tr>
      <w:tr>
        <w:tc>
          <w:tcPr>
            <w:tcW w:type="dxa" w:w="4680"/>
          </w:tcPr>
          <w:p>
            <w:pPr>
              <w:spacing w:after="40" w:before="40" w:line="240" w:lineRule="auto"/>
            </w:pPr>
            <w:r/>
            <w:r>
              <w:rPr>
                <w:rFonts w:ascii="Times New Roman" w:hAnsi="Times New Roman" w:eastAsia="Times New Roman"/>
                <w:b w:val="0"/>
                <w:i w:val="0"/>
                <w:sz w:val="20"/>
              </w:rPr>
              <w:t>Participant ID</w:t>
            </w:r>
          </w:p>
        </w:tc>
        <w:tc>
          <w:tcPr>
            <w:tcW w:type="dxa" w:w="4680"/>
          </w:tcPr>
          <w:p>
            <w:pPr>
              <w:spacing w:after="40" w:before="40" w:line="240" w:lineRule="auto"/>
            </w:pPr>
            <w:r/>
            <w:r>
              <w:rPr>
                <w:rFonts w:ascii="Times New Roman" w:hAnsi="Times New Roman" w:eastAsia="Times New Roman"/>
                <w:i/>
                <w:sz w:val="20"/>
              </w:rPr>
              <w:t>P##</w:t>
            </w:r>
            <w:r>
              <w:rPr>
                <w:rFonts w:ascii="Times New Roman" w:hAnsi="Times New Roman" w:eastAsia="Times New Roman"/>
                <w:b w:val="0"/>
                <w:i w:val="0"/>
                <w:sz w:val="20"/>
              </w:rPr>
              <w:t xml:space="preserve"> assigned before the call</w:t>
            </w:r>
          </w:p>
        </w:tc>
      </w:tr>
      <w:tr>
        <w:tc>
          <w:tcPr>
            <w:tcW w:type="dxa" w:w="4680"/>
          </w:tcPr>
          <w:p>
            <w:pPr>
              <w:spacing w:after="40" w:before="40" w:line="240" w:lineRule="auto"/>
            </w:pPr>
            <w:r/>
            <w:r>
              <w:rPr>
                <w:rFonts w:ascii="Times New Roman" w:hAnsi="Times New Roman" w:eastAsia="Times New Roman"/>
                <w:b w:val="0"/>
                <w:i w:val="0"/>
                <w:sz w:val="20"/>
              </w:rPr>
              <w:t>People</w:t>
            </w:r>
          </w:p>
        </w:tc>
        <w:tc>
          <w:tcPr>
            <w:tcW w:type="dxa" w:w="4680"/>
          </w:tcPr>
          <w:p>
            <w:pPr>
              <w:spacing w:after="40" w:before="40" w:line="240" w:lineRule="auto"/>
            </w:pPr>
            <w:r/>
            <w:r>
              <w:rPr>
                <w:rFonts w:ascii="Times New Roman" w:hAnsi="Times New Roman" w:eastAsia="Times New Roman"/>
                <w:b w:val="0"/>
                <w:i w:val="0"/>
                <w:sz w:val="20"/>
              </w:rPr>
              <w:t>Role only (</w:t>
            </w:r>
            <w:r>
              <w:rPr>
                <w:rFonts w:ascii="Times New Roman" w:hAnsi="Times New Roman" w:eastAsia="Times New Roman"/>
                <w:i/>
                <w:sz w:val="20"/>
              </w:rPr>
              <w:t>CFO</w:t>
            </w:r>
            <w:r>
              <w:rPr>
                <w:rFonts w:ascii="Times New Roman" w:hAnsi="Times New Roman" w:eastAsia="Times New Roman"/>
                <w:b w:val="0"/>
                <w:i w:val="0"/>
                <w:sz w:val="20"/>
              </w:rPr>
              <w:t xml:space="preserve">, </w:t>
            </w:r>
            <w:r>
              <w:rPr>
                <w:rFonts w:ascii="Times New Roman" w:hAnsi="Times New Roman" w:eastAsia="Times New Roman"/>
                <w:i/>
                <w:sz w:val="20"/>
              </w:rPr>
              <w:t>owner</w:t>
            </w:r>
            <w:r>
              <w:rPr>
                <w:rFonts w:ascii="Times New Roman" w:hAnsi="Times New Roman" w:eastAsia="Times New Roman"/>
                <w:b w:val="0"/>
                <w:i w:val="0"/>
                <w:sz w:val="20"/>
              </w:rPr>
              <w:t xml:space="preserve">, </w:t>
            </w:r>
            <w:r>
              <w:rPr>
                <w:rFonts w:ascii="Times New Roman" w:hAnsi="Times New Roman" w:eastAsia="Times New Roman"/>
                <w:i/>
                <w:sz w:val="20"/>
              </w:rPr>
              <w:t>help-desk lead</w:t>
            </w:r>
            <w:r>
              <w:rPr>
                <w:rFonts w:ascii="Times New Roman" w:hAnsi="Times New Roman" w:eastAsia="Times New Roman"/>
                <w:b w:val="0"/>
                <w:i w:val="0"/>
                <w:sz w:val="20"/>
              </w:rPr>
              <w:t>)</w:t>
            </w:r>
          </w:p>
        </w:tc>
      </w:tr>
      <w:tr>
        <w:tc>
          <w:tcPr>
            <w:tcW w:type="dxa" w:w="4680"/>
          </w:tcPr>
          <w:p>
            <w:pPr>
              <w:spacing w:after="40" w:before="40" w:line="240" w:lineRule="auto"/>
            </w:pPr>
            <w:r/>
            <w:r>
              <w:rPr>
                <w:rFonts w:ascii="Times New Roman" w:hAnsi="Times New Roman" w:eastAsia="Times New Roman"/>
                <w:b w:val="0"/>
                <w:i w:val="0"/>
                <w:sz w:val="20"/>
              </w:rPr>
              <w:t>Employer / client / city</w:t>
            </w:r>
          </w:p>
        </w:tc>
        <w:tc>
          <w:tcPr>
            <w:tcW w:type="dxa" w:w="4680"/>
          </w:tcPr>
          <w:p>
            <w:pPr>
              <w:spacing w:after="40" w:before="40" w:line="240" w:lineRule="auto"/>
            </w:pPr>
            <w:r/>
            <w:r>
              <w:rPr>
                <w:rFonts w:ascii="Times New Roman" w:hAnsi="Times New Roman" w:eastAsia="Times New Roman"/>
                <w:i/>
                <w:sz w:val="20"/>
              </w:rPr>
              <w:t>SME-A</w:t>
            </w:r>
            <w:r>
              <w:rPr>
                <w:rFonts w:ascii="Times New Roman" w:hAnsi="Times New Roman" w:eastAsia="Times New Roman"/>
                <w:b w:val="0"/>
                <w:i w:val="0"/>
                <w:sz w:val="20"/>
              </w:rPr>
              <w:t xml:space="preserve">, </w:t>
            </w:r>
            <w:r>
              <w:rPr>
                <w:rFonts w:ascii="Times New Roman" w:hAnsi="Times New Roman" w:eastAsia="Times New Roman"/>
                <w:i/>
                <w:sz w:val="20"/>
              </w:rPr>
              <w:t>site-1</w:t>
            </w:r>
          </w:p>
        </w:tc>
      </w:tr>
      <w:tr>
        <w:tc>
          <w:tcPr>
            <w:tcW w:type="dxa" w:w="4680"/>
          </w:tcPr>
          <w:p>
            <w:pPr>
              <w:spacing w:after="40" w:before="40" w:line="240" w:lineRule="auto"/>
            </w:pPr>
            <w:r/>
            <w:r>
              <w:rPr>
                <w:rFonts w:ascii="Times New Roman" w:hAnsi="Times New Roman" w:eastAsia="Times New Roman"/>
                <w:b w:val="0"/>
                <w:i w:val="0"/>
                <w:sz w:val="20"/>
              </w:rPr>
              <w:t>Vendor / product / platform</w:t>
            </w:r>
          </w:p>
        </w:tc>
        <w:tc>
          <w:tcPr>
            <w:tcW w:type="dxa" w:w="4680"/>
          </w:tcPr>
          <w:p>
            <w:pPr>
              <w:spacing w:after="40" w:before="40" w:line="240" w:lineRule="auto"/>
            </w:pPr>
            <w:r/>
            <w:r>
              <w:rPr>
                <w:rFonts w:ascii="Times New Roman" w:hAnsi="Times New Roman" w:eastAsia="Times New Roman"/>
                <w:i/>
                <w:sz w:val="20"/>
              </w:rPr>
              <w:t>Platform-1</w:t>
            </w:r>
            <w:r>
              <w:rPr>
                <w:rFonts w:ascii="Times New Roman" w:hAnsi="Times New Roman" w:eastAsia="Times New Roman"/>
                <w:b w:val="0"/>
                <w:i w:val="0"/>
                <w:sz w:val="20"/>
              </w:rPr>
              <w:t xml:space="preserve">, </w:t>
            </w:r>
            <w:r>
              <w:rPr>
                <w:rFonts w:ascii="Times New Roman" w:hAnsi="Times New Roman" w:eastAsia="Times New Roman"/>
                <w:i/>
                <w:sz w:val="20"/>
              </w:rPr>
              <w:t>Vendor-1</w:t>
            </w:r>
          </w:p>
        </w:tc>
      </w:tr>
      <w:tr>
        <w:tc>
          <w:tcPr>
            <w:tcW w:type="dxa" w:w="4680"/>
          </w:tcPr>
          <w:p>
            <w:pPr>
              <w:spacing w:after="40" w:before="40" w:line="240" w:lineRule="auto"/>
            </w:pPr>
            <w:r/>
            <w:r>
              <w:rPr>
                <w:rFonts w:ascii="Times New Roman" w:hAnsi="Times New Roman" w:eastAsia="Times New Roman"/>
                <w:b w:val="0"/>
                <w:i w:val="0"/>
                <w:sz w:val="20"/>
              </w:rPr>
              <w:t>Ticket / account identifiers</w:t>
            </w:r>
          </w:p>
        </w:tc>
        <w:tc>
          <w:tcPr>
            <w:tcW w:type="dxa" w:w="4680"/>
          </w:tcPr>
          <w:p>
            <w:pPr>
              <w:spacing w:after="40" w:before="40" w:line="240" w:lineRule="auto"/>
            </w:pPr>
            <w:r/>
            <w:r>
              <w:rPr>
                <w:rFonts w:ascii="Times New Roman" w:hAnsi="Times New Roman" w:eastAsia="Times New Roman"/>
                <w:i/>
                <w:sz w:val="20"/>
              </w:rPr>
              <w:t>TICKET-##</w:t>
            </w:r>
          </w:p>
        </w:tc>
      </w:tr>
      <w:tr>
        <w:tc>
          <w:tcPr>
            <w:tcW w:type="dxa" w:w="4680"/>
          </w:tcPr>
          <w:p>
            <w:pPr>
              <w:spacing w:after="40" w:before="40" w:line="240" w:lineRule="auto"/>
            </w:pPr>
            <w:r/>
            <w:r>
              <w:rPr>
                <w:rFonts w:ascii="Times New Roman" w:hAnsi="Times New Roman" w:eastAsia="Times New Roman"/>
                <w:b w:val="0"/>
                <w:i w:val="0"/>
                <w:sz w:val="20"/>
              </w:rPr>
              <w:t>RAW files</w:t>
            </w:r>
          </w:p>
        </w:tc>
        <w:tc>
          <w:tcPr>
            <w:tcW w:type="dxa" w:w="4680"/>
          </w:tcPr>
          <w:p>
            <w:pPr>
              <w:spacing w:after="40" w:before="40" w:line="240" w:lineRule="auto"/>
            </w:pPr>
            <w:r/>
            <w:r>
              <w:rPr>
                <w:rFonts w:ascii="Times New Roman" w:hAnsi="Times New Roman" w:eastAsia="Times New Roman"/>
                <w:b w:val="0"/>
                <w:i w:val="0"/>
                <w:sz w:val="20"/>
              </w:rPr>
              <w:t>Encrypted, password-protected directory; researcher-only; not in the public repository</w:t>
            </w:r>
          </w:p>
        </w:tc>
      </w:tr>
      <w:tr>
        <w:tc>
          <w:tcPr>
            <w:tcW w:type="dxa" w:w="4680"/>
          </w:tcPr>
          <w:p>
            <w:pPr>
              <w:spacing w:after="40" w:before="40" w:line="240" w:lineRule="auto"/>
            </w:pPr>
            <w:r/>
            <w:r>
              <w:rPr>
                <w:rFonts w:ascii="Times New Roman" w:hAnsi="Times New Roman" w:eastAsia="Times New Roman"/>
                <w:b w:val="0"/>
                <w:i w:val="0"/>
                <w:sz w:val="20"/>
              </w:rPr>
              <w:t>CLEAN / ANALYTIC</w:t>
            </w:r>
          </w:p>
        </w:tc>
        <w:tc>
          <w:tcPr>
            <w:tcW w:type="dxa" w:w="4680"/>
          </w:tcPr>
          <w:p>
            <w:pPr>
              <w:spacing w:after="40" w:before="40" w:line="240" w:lineRule="auto"/>
            </w:pPr>
            <w:r/>
            <w:r>
              <w:rPr>
                <w:rFonts w:ascii="Times New Roman" w:hAnsi="Times New Roman" w:eastAsia="Times New Roman"/>
                <w:b w:val="0"/>
                <w:i w:val="0"/>
                <w:sz w:val="20"/>
              </w:rPr>
              <w:t>Delve plus dated CSV nest; no RAW identifiers</w:t>
            </w:r>
          </w:p>
        </w:tc>
      </w:tr>
      <w:tr>
        <w:tc>
          <w:tcPr>
            <w:tcW w:type="dxa" w:w="4680"/>
          </w:tcPr>
          <w:p>
            <w:pPr>
              <w:spacing w:after="40" w:before="40" w:line="240" w:lineRule="auto"/>
            </w:pPr>
            <w:r/>
            <w:r>
              <w:rPr>
                <w:rFonts w:ascii="Times New Roman" w:hAnsi="Times New Roman" w:eastAsia="Times New Roman"/>
                <w:b w:val="0"/>
                <w:i w:val="0"/>
                <w:sz w:val="20"/>
              </w:rPr>
              <w:t>Master key</w:t>
            </w:r>
          </w:p>
        </w:tc>
        <w:tc>
          <w:tcPr>
            <w:tcW w:type="dxa" w:w="4680"/>
          </w:tcPr>
          <w:p>
            <w:pPr>
              <w:spacing w:after="40" w:before="40" w:line="240" w:lineRule="auto"/>
            </w:pPr>
            <w:r/>
            <w:r>
              <w:rPr>
                <w:rFonts w:ascii="Times New Roman" w:hAnsi="Times New Roman" w:eastAsia="Times New Roman"/>
                <w:b w:val="0"/>
                <w:i w:val="0"/>
                <w:sz w:val="20"/>
              </w:rPr>
              <w:t>Stored separately from CLEAN files</w:t>
            </w:r>
          </w:p>
        </w:tc>
      </w:tr>
      <w:tr>
        <w:tc>
          <w:tcPr>
            <w:tcW w:type="dxa" w:w="4680"/>
          </w:tcPr>
          <w:p>
            <w:pPr>
              <w:spacing w:after="40" w:before="40" w:line="240" w:lineRule="auto"/>
            </w:pPr>
            <w:r/>
            <w:r>
              <w:rPr>
                <w:rFonts w:ascii="Times New Roman" w:hAnsi="Times New Roman" w:eastAsia="Times New Roman"/>
                <w:b w:val="0"/>
                <w:i w:val="0"/>
                <w:sz w:val="20"/>
              </w:rPr>
              <w:t>Retention</w:t>
            </w:r>
          </w:p>
        </w:tc>
        <w:tc>
          <w:tcPr>
            <w:tcW w:type="dxa" w:w="4680"/>
          </w:tcPr>
          <w:p>
            <w:pPr>
              <w:spacing w:after="40" w:before="40" w:line="240" w:lineRule="auto"/>
            </w:pPr>
            <w:r/>
            <w:r>
              <w:rPr>
                <w:rFonts w:ascii="Times New Roman" w:hAnsi="Times New Roman" w:eastAsia="Times New Roman"/>
                <w:b w:val="0"/>
                <w:i w:val="0"/>
                <w:sz w:val="20"/>
              </w:rPr>
              <w:t>Follow Capella IRB conditions; destroy identifiers when the policy allows</w:t>
            </w:r>
          </w:p>
        </w:tc>
      </w:tr>
    </w:tbl>
    <w:p/>
    <w:p>
      <w:pPr>
        <w:spacing w:after="120" w:before="0" w:line="480" w:lineRule="auto"/>
      </w:pPr>
      <w:r>
        <w:rPr>
          <w:rFonts w:ascii="Times New Roman" w:hAnsi="Times New Roman" w:eastAsia="Times New Roman"/>
          <w:b w:val="0"/>
          <w:i w:val="0"/>
          <w:sz w:val="24"/>
        </w:rPr>
        <w:t>File set per participant: consent PDF, recording, verbatim transcript, de-identified transcript, Artifact Map, Path A files (if any), member-check file, reflexive memo.</w:t>
      </w:r>
    </w:p>
    <w:p>
      <w:pPr>
        <w:spacing w:after="160" w:before="240" w:line="480" w:lineRule="auto"/>
      </w:pPr>
      <w:r>
        <w:rPr>
          <w:rFonts w:ascii="Times New Roman" w:hAnsi="Times New Roman" w:eastAsia="Times New Roman"/>
          <w:b/>
          <w:i w:val="0"/>
          <w:color w:val="1F3A5F"/>
          <w:sz w:val="24"/>
        </w:rPr>
        <w:t>3.9.4 Threat-to-Gap-data matrix</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line="240" w:lineRule="auto"/>
            </w:pPr>
            <w:r/>
            <w:r>
              <w:rPr>
                <w:rFonts w:ascii="Times New Roman" w:hAnsi="Times New Roman" w:eastAsia="Times New Roman"/>
                <w:b/>
                <w:i w:val="0"/>
                <w:sz w:val="20"/>
              </w:rPr>
              <w:t>Ethical / quality threat</w:t>
            </w:r>
          </w:p>
        </w:tc>
        <w:tc>
          <w:tcPr>
            <w:tcW w:type="dxa" w:w="3120"/>
          </w:tcPr>
          <w:p>
            <w:pPr>
              <w:spacing w:after="40" w:before="40" w:line="240" w:lineRule="auto"/>
            </w:pPr>
            <w:r/>
            <w:r>
              <w:rPr>
                <w:rFonts w:ascii="Times New Roman" w:hAnsi="Times New Roman" w:eastAsia="Times New Roman"/>
                <w:b/>
                <w:i w:val="0"/>
                <w:sz w:val="20"/>
              </w:rPr>
              <w:t>How it deletes Gap data</w:t>
            </w:r>
          </w:p>
        </w:tc>
        <w:tc>
          <w:tcPr>
            <w:tcW w:type="dxa" w:w="3120"/>
          </w:tcPr>
          <w:p>
            <w:pPr>
              <w:spacing w:after="40" w:before="40" w:line="240" w:lineRule="auto"/>
            </w:pPr>
            <w:r/>
            <w:r>
              <w:rPr>
                <w:rFonts w:ascii="Times New Roman" w:hAnsi="Times New Roman" w:eastAsia="Times New Roman"/>
                <w:b/>
                <w:i w:val="0"/>
                <w:sz w:val="20"/>
              </w:rPr>
              <w:t>Mitigation</w:t>
            </w:r>
          </w:p>
        </w:tc>
      </w:tr>
      <w:tr>
        <w:tc>
          <w:tcPr>
            <w:tcW w:type="dxa" w:w="3120"/>
          </w:tcPr>
          <w:p>
            <w:pPr>
              <w:spacing w:after="40" w:before="40" w:line="240" w:lineRule="auto"/>
            </w:pPr>
            <w:r/>
            <w:r>
              <w:rPr>
                <w:rFonts w:ascii="Times New Roman" w:hAnsi="Times New Roman" w:eastAsia="Times New Roman"/>
                <w:b w:val="0"/>
                <w:i w:val="0"/>
                <w:sz w:val="20"/>
              </w:rPr>
              <w:t>Sharing DR plans, tickets, or vendor names</w:t>
            </w:r>
          </w:p>
        </w:tc>
        <w:tc>
          <w:tcPr>
            <w:tcW w:type="dxa" w:w="3120"/>
          </w:tcPr>
          <w:p>
            <w:pPr>
              <w:spacing w:after="40" w:before="40" w:line="240" w:lineRule="auto"/>
            </w:pPr>
            <w:r/>
            <w:r>
              <w:rPr>
                <w:rFonts w:ascii="Times New Roman" w:hAnsi="Times New Roman" w:eastAsia="Times New Roman"/>
                <w:b w:val="0"/>
                <w:i w:val="0"/>
                <w:sz w:val="20"/>
              </w:rPr>
              <w:t>Manager withholds proof and escalation talk (PQ2)</w:t>
            </w:r>
          </w:p>
        </w:tc>
        <w:tc>
          <w:tcPr>
            <w:tcW w:type="dxa" w:w="3120"/>
          </w:tcPr>
          <w:p>
            <w:pPr>
              <w:spacing w:after="40" w:before="40" w:line="240" w:lineRule="auto"/>
            </w:pPr>
            <w:r/>
            <w:r>
              <w:rPr>
                <w:rFonts w:ascii="Times New Roman" w:hAnsi="Times New Roman" w:eastAsia="Times New Roman"/>
                <w:b w:val="0"/>
                <w:i w:val="0"/>
                <w:sz w:val="20"/>
              </w:rPr>
              <w:t>Artifact Path B or C is a full interview; refusal never ends the session</w:t>
            </w:r>
          </w:p>
        </w:tc>
      </w:tr>
      <w:tr>
        <w:tc>
          <w:tcPr>
            <w:tcW w:type="dxa" w:w="3120"/>
          </w:tcPr>
          <w:p>
            <w:pPr>
              <w:spacing w:after="40" w:before="40" w:line="240" w:lineRule="auto"/>
            </w:pPr>
            <w:r/>
            <w:r>
              <w:rPr>
                <w:rFonts w:ascii="Times New Roman" w:hAnsi="Times New Roman" w:eastAsia="Times New Roman"/>
                <w:b w:val="0"/>
                <w:i w:val="0"/>
                <w:sz w:val="20"/>
              </w:rPr>
              <w:t>Dual identifiability (person + firm + vendor)</w:t>
            </w:r>
          </w:p>
        </w:tc>
        <w:tc>
          <w:tcPr>
            <w:tcW w:type="dxa" w:w="3120"/>
          </w:tcPr>
          <w:p>
            <w:pPr>
              <w:spacing w:after="40" w:before="40" w:line="240" w:lineRule="auto"/>
            </w:pPr>
            <w:r/>
            <w:r>
              <w:rPr>
                <w:rFonts w:ascii="Times New Roman" w:hAnsi="Times New Roman" w:eastAsia="Times New Roman"/>
                <w:b w:val="0"/>
                <w:i w:val="0"/>
                <w:sz w:val="20"/>
              </w:rPr>
              <w:t>Decision-rights talk is sanitized</w:t>
            </w:r>
          </w:p>
        </w:tc>
        <w:tc>
          <w:tcPr>
            <w:tcW w:type="dxa" w:w="3120"/>
          </w:tcPr>
          <w:p>
            <w:pPr>
              <w:spacing w:after="40" w:before="40" w:line="240" w:lineRule="auto"/>
            </w:pPr>
            <w:r/>
            <w:r>
              <w:rPr>
                <w:rFonts w:ascii="Times New Roman" w:hAnsi="Times New Roman" w:eastAsia="Times New Roman"/>
                <w:i/>
                <w:sz w:val="20"/>
              </w:rPr>
              <w:t>P##</w:t>
            </w:r>
            <w:r>
              <w:rPr>
                <w:rFonts w:ascii="Times New Roman" w:hAnsi="Times New Roman" w:eastAsia="Times New Roman"/>
                <w:b w:val="0"/>
                <w:i w:val="0"/>
                <w:sz w:val="20"/>
              </w:rPr>
              <w:t xml:space="preserve"> codes; strip firm/vendor/product/city; encrypted directory</w:t>
            </w:r>
          </w:p>
        </w:tc>
      </w:tr>
      <w:tr>
        <w:tc>
          <w:tcPr>
            <w:tcW w:type="dxa" w:w="3120"/>
          </w:tcPr>
          <w:p>
            <w:pPr>
              <w:spacing w:after="40" w:before="40" w:line="240" w:lineRule="auto"/>
            </w:pPr>
            <w:r/>
            <w:r>
              <w:rPr>
                <w:rFonts w:ascii="Times New Roman" w:hAnsi="Times New Roman" w:eastAsia="Times New Roman"/>
                <w:b w:val="0"/>
                <w:i w:val="0"/>
                <w:sz w:val="20"/>
              </w:rPr>
              <w:t>Supervisor-visible recruitment</w:t>
            </w:r>
          </w:p>
        </w:tc>
        <w:tc>
          <w:tcPr>
            <w:tcW w:type="dxa" w:w="3120"/>
          </w:tcPr>
          <w:p>
            <w:pPr>
              <w:spacing w:after="40" w:before="40" w:line="240" w:lineRule="auto"/>
            </w:pPr>
            <w:r/>
            <w:r>
              <w:rPr>
                <w:rFonts w:ascii="Times New Roman" w:hAnsi="Times New Roman" w:eastAsia="Times New Roman"/>
                <w:b w:val="0"/>
                <w:i w:val="0"/>
                <w:sz w:val="20"/>
              </w:rPr>
              <w:t>Official plan is performed as “the truth”</w:t>
            </w:r>
          </w:p>
        </w:tc>
        <w:tc>
          <w:tcPr>
            <w:tcW w:type="dxa" w:w="3120"/>
          </w:tcPr>
          <w:p>
            <w:pPr>
              <w:spacing w:after="40" w:before="40" w:line="240" w:lineRule="auto"/>
            </w:pPr>
            <w:r/>
            <w:r>
              <w:rPr>
                <w:rFonts w:ascii="Times New Roman" w:hAnsi="Times New Roman" w:eastAsia="Times New Roman"/>
                <w:b w:val="0"/>
                <w:i w:val="0"/>
                <w:sz w:val="20"/>
              </w:rPr>
              <w:t>Individual outreach; no participation list visible to a boss</w:t>
            </w:r>
          </w:p>
        </w:tc>
      </w:tr>
      <w:tr>
        <w:tc>
          <w:tcPr>
            <w:tcW w:type="dxa" w:w="3120"/>
          </w:tcPr>
          <w:p>
            <w:pPr>
              <w:spacing w:after="40" w:before="40" w:line="240" w:lineRule="auto"/>
            </w:pPr>
            <w:r/>
            <w:r>
              <w:rPr>
                <w:rFonts w:ascii="Times New Roman" w:hAnsi="Times New Roman" w:eastAsia="Times New Roman"/>
                <w:b w:val="0"/>
                <w:i w:val="0"/>
                <w:sz w:val="20"/>
              </w:rPr>
              <w:t>Member checking as political edit</w:t>
            </w:r>
          </w:p>
        </w:tc>
        <w:tc>
          <w:tcPr>
            <w:tcW w:type="dxa" w:w="3120"/>
          </w:tcPr>
          <w:p>
            <w:pPr>
              <w:spacing w:after="40" w:before="40" w:line="240" w:lineRule="auto"/>
            </w:pPr>
            <w:r/>
            <w:r>
              <w:rPr>
                <w:rFonts w:ascii="Times New Roman" w:hAnsi="Times New Roman" w:eastAsia="Times New Roman"/>
                <w:b w:val="0"/>
                <w:i w:val="0"/>
                <w:sz w:val="20"/>
              </w:rPr>
              <w:t>Contested proof is deleted</w:t>
            </w:r>
          </w:p>
        </w:tc>
        <w:tc>
          <w:tcPr>
            <w:tcW w:type="dxa" w:w="3120"/>
          </w:tcPr>
          <w:p>
            <w:pPr>
              <w:spacing w:after="40" w:before="40" w:line="240" w:lineRule="auto"/>
            </w:pPr>
            <w:r/>
            <w:r>
              <w:rPr>
                <w:rFonts w:ascii="Times New Roman" w:hAnsi="Times New Roman" w:eastAsia="Times New Roman"/>
                <w:b w:val="0"/>
                <w:i w:val="0"/>
                <w:sz w:val="20"/>
              </w:rPr>
              <w:t>Seven-day factual-correction window only</w:t>
            </w:r>
          </w:p>
        </w:tc>
      </w:tr>
      <w:tr>
        <w:tc>
          <w:tcPr>
            <w:tcW w:type="dxa" w:w="3120"/>
          </w:tcPr>
          <w:p>
            <w:pPr>
              <w:spacing w:after="40" w:before="40" w:line="240" w:lineRule="auto"/>
            </w:pPr>
            <w:r/>
            <w:r>
              <w:rPr>
                <w:rFonts w:ascii="Times New Roman" w:hAnsi="Times New Roman" w:eastAsia="Times New Roman"/>
                <w:b w:val="0"/>
                <w:i w:val="0"/>
                <w:sz w:val="20"/>
              </w:rPr>
              <w:t>Researcher loyalty to seven codes</w:t>
            </w:r>
          </w:p>
        </w:tc>
        <w:tc>
          <w:tcPr>
            <w:tcW w:type="dxa" w:w="3120"/>
          </w:tcPr>
          <w:p>
            <w:pPr>
              <w:spacing w:after="40" w:before="40" w:line="240" w:lineRule="auto"/>
            </w:pPr>
            <w:r/>
            <w:r>
              <w:rPr>
                <w:rFonts w:ascii="Times New Roman" w:hAnsi="Times New Roman" w:eastAsia="Times New Roman"/>
                <w:b w:val="0"/>
                <w:i w:val="0"/>
                <w:sz w:val="20"/>
              </w:rPr>
              <w:t>Findings replay Mitchell et al.</w:t>
            </w:r>
          </w:p>
        </w:tc>
        <w:tc>
          <w:tcPr>
            <w:tcW w:type="dxa" w:w="3120"/>
          </w:tcPr>
          <w:p>
            <w:pPr>
              <w:spacing w:after="40" w:before="40" w:line="240" w:lineRule="auto"/>
            </w:pPr>
            <w:r/>
            <w:r>
              <w:rPr>
                <w:rFonts w:ascii="Times New Roman" w:hAnsi="Times New Roman" w:eastAsia="Times New Roman"/>
                <w:b w:val="0"/>
                <w:i w:val="0"/>
                <w:sz w:val="20"/>
              </w:rPr>
              <w:t>Sensitizing list + meaning-unit table + post-interview reflexive memo</w:t>
            </w:r>
          </w:p>
        </w:tc>
      </w:tr>
      <w:tr>
        <w:tc>
          <w:tcPr>
            <w:tcW w:type="dxa" w:w="3120"/>
          </w:tcPr>
          <w:p>
            <w:pPr>
              <w:spacing w:after="40" w:before="40" w:line="240" w:lineRule="auto"/>
            </w:pPr>
            <w:r/>
            <w:r>
              <w:rPr>
                <w:rFonts w:ascii="Times New Roman" w:hAnsi="Times New Roman" w:eastAsia="Times New Roman"/>
                <w:b w:val="0"/>
                <w:i w:val="0"/>
                <w:sz w:val="20"/>
              </w:rPr>
              <w:t>Recording failure</w:t>
            </w:r>
          </w:p>
        </w:tc>
        <w:tc>
          <w:tcPr>
            <w:tcW w:type="dxa" w:w="3120"/>
          </w:tcPr>
          <w:p>
            <w:pPr>
              <w:spacing w:after="40" w:before="40" w:line="240" w:lineRule="auto"/>
            </w:pPr>
            <w:r/>
            <w:r>
              <w:rPr>
                <w:rFonts w:ascii="Times New Roman" w:hAnsi="Times New Roman" w:eastAsia="Times New Roman"/>
                <w:b w:val="0"/>
                <w:i w:val="0"/>
                <w:sz w:val="20"/>
              </w:rPr>
              <w:t>Lost incident narrative</w:t>
            </w:r>
          </w:p>
        </w:tc>
        <w:tc>
          <w:tcPr>
            <w:tcW w:type="dxa" w:w="3120"/>
          </w:tcPr>
          <w:p>
            <w:pPr>
              <w:spacing w:after="40" w:before="40" w:line="240" w:lineRule="auto"/>
            </w:pPr>
            <w:r/>
            <w:r>
              <w:rPr>
                <w:rFonts w:ascii="Times New Roman" w:hAnsi="Times New Roman" w:eastAsia="Times New Roman"/>
                <w:b w:val="0"/>
                <w:i w:val="0"/>
                <w:sz w:val="20"/>
              </w:rPr>
              <w:t>No memory-only session; reschedule</w:t>
            </w:r>
          </w:p>
        </w:tc>
      </w:tr>
      <w:tr>
        <w:tc>
          <w:tcPr>
            <w:tcW w:type="dxa" w:w="3120"/>
          </w:tcPr>
          <w:p>
            <w:pPr>
              <w:spacing w:after="40" w:before="40" w:line="240" w:lineRule="auto"/>
            </w:pPr>
            <w:r/>
            <w:r>
              <w:rPr>
                <w:rFonts w:ascii="Times New Roman" w:hAnsi="Times New Roman" w:eastAsia="Times New Roman"/>
                <w:b w:val="0"/>
                <w:i w:val="0"/>
                <w:sz w:val="20"/>
              </w:rPr>
              <w:t>Manager self-justification treated as proof</w:t>
            </w:r>
          </w:p>
        </w:tc>
        <w:tc>
          <w:tcPr>
            <w:tcW w:type="dxa" w:w="3120"/>
          </w:tcPr>
          <w:p>
            <w:pPr>
              <w:spacing w:after="40" w:before="40" w:line="240" w:lineRule="auto"/>
            </w:pPr>
            <w:r/>
            <w:r>
              <w:rPr>
                <w:rFonts w:ascii="Times New Roman" w:hAnsi="Times New Roman" w:eastAsia="Times New Roman"/>
                <w:b w:val="0"/>
                <w:i w:val="0"/>
                <w:sz w:val="20"/>
              </w:rPr>
              <w:t>Assurance becomes rhetoric</w:t>
            </w:r>
          </w:p>
        </w:tc>
        <w:tc>
          <w:tcPr>
            <w:tcW w:type="dxa" w:w="3120"/>
          </w:tcPr>
          <w:p>
            <w:pPr>
              <w:spacing w:after="40" w:before="40" w:line="240" w:lineRule="auto"/>
            </w:pPr>
            <w:r/>
            <w:r>
              <w:rPr>
                <w:rFonts w:ascii="Times New Roman" w:hAnsi="Times New Roman" w:eastAsia="Times New Roman"/>
                <w:b w:val="0"/>
                <w:i w:val="0"/>
                <w:sz w:val="20"/>
              </w:rPr>
              <w:t>Code “what I told stakeholders” separately from “what artifact existed”</w:t>
            </w:r>
          </w:p>
        </w:tc>
      </w:tr>
    </w:tbl>
    <w:p/>
    <w:p>
      <w:pPr>
        <w:spacing w:after="160" w:before="240" w:line="480" w:lineRule="auto"/>
      </w:pPr>
      <w:r>
        <w:rPr>
          <w:rFonts w:ascii="Times New Roman" w:hAnsi="Times New Roman" w:eastAsia="Times New Roman"/>
          <w:b/>
          <w:i w:val="0"/>
          <w:color w:val="1F3A5F"/>
          <w:sz w:val="24"/>
        </w:rPr>
        <w:t>3.9.5 Belmont alignment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before="40" w:line="240" w:lineRule="auto"/>
            </w:pPr>
            <w:r/>
            <w:r>
              <w:rPr>
                <w:rFonts w:ascii="Times New Roman" w:hAnsi="Times New Roman" w:eastAsia="Times New Roman"/>
                <w:b/>
                <w:i w:val="0"/>
                <w:sz w:val="20"/>
              </w:rPr>
              <w:t>Belmont principle</w:t>
            </w:r>
          </w:p>
        </w:tc>
        <w:tc>
          <w:tcPr>
            <w:tcW w:type="dxa" w:w="3120"/>
          </w:tcPr>
          <w:p>
            <w:pPr>
              <w:spacing w:after="40" w:before="40" w:line="240" w:lineRule="auto"/>
            </w:pPr>
            <w:r/>
            <w:r>
              <w:rPr>
                <w:rFonts w:ascii="Times New Roman" w:hAnsi="Times New Roman" w:eastAsia="Times New Roman"/>
                <w:b/>
                <w:i w:val="0"/>
                <w:sz w:val="20"/>
              </w:rPr>
              <w:t>Risk in this GQI</w:t>
            </w:r>
          </w:p>
        </w:tc>
        <w:tc>
          <w:tcPr>
            <w:tcW w:type="dxa" w:w="3120"/>
          </w:tcPr>
          <w:p>
            <w:pPr>
              <w:spacing w:after="40" w:before="40" w:line="240" w:lineRule="auto"/>
            </w:pPr>
            <w:r/>
            <w:r>
              <w:rPr>
                <w:rFonts w:ascii="Times New Roman" w:hAnsi="Times New Roman" w:eastAsia="Times New Roman"/>
                <w:b/>
                <w:i w:val="0"/>
                <w:sz w:val="20"/>
              </w:rPr>
              <w:t>Operational safeguard</w:t>
            </w:r>
          </w:p>
        </w:tc>
      </w:tr>
      <w:tr>
        <w:tc>
          <w:tcPr>
            <w:tcW w:type="dxa" w:w="3120"/>
          </w:tcPr>
          <w:p>
            <w:pPr>
              <w:spacing w:after="40" w:before="40" w:line="240" w:lineRule="auto"/>
            </w:pPr>
            <w:r/>
            <w:r>
              <w:rPr>
                <w:rFonts w:ascii="Times New Roman" w:hAnsi="Times New Roman" w:eastAsia="Times New Roman"/>
                <w:b w:val="0"/>
                <w:i w:val="0"/>
                <w:sz w:val="20"/>
              </w:rPr>
              <w:t>Respect for persons</w:t>
            </w:r>
          </w:p>
        </w:tc>
        <w:tc>
          <w:tcPr>
            <w:tcW w:type="dxa" w:w="3120"/>
          </w:tcPr>
          <w:p>
            <w:pPr>
              <w:spacing w:after="40" w:before="40" w:line="240" w:lineRule="auto"/>
            </w:pPr>
            <w:r/>
            <w:r>
              <w:rPr>
                <w:rFonts w:ascii="Times New Roman" w:hAnsi="Times New Roman" w:eastAsia="Times New Roman"/>
                <w:b w:val="0"/>
                <w:i w:val="0"/>
                <w:sz w:val="20"/>
              </w:rPr>
              <w:t>Organizational pressure to participate</w:t>
            </w:r>
          </w:p>
        </w:tc>
        <w:tc>
          <w:tcPr>
            <w:tcW w:type="dxa" w:w="3120"/>
          </w:tcPr>
          <w:p>
            <w:pPr>
              <w:spacing w:after="40" w:before="40" w:line="240" w:lineRule="auto"/>
            </w:pPr>
            <w:r/>
            <w:r>
              <w:rPr>
                <w:rFonts w:ascii="Times New Roman" w:hAnsi="Times New Roman" w:eastAsia="Times New Roman"/>
                <w:b w:val="0"/>
                <w:i w:val="0"/>
                <w:sz w:val="20"/>
              </w:rPr>
              <w:t>Capella IRB; written consent; recorded permission to record; right to skip or stop</w:t>
            </w:r>
          </w:p>
        </w:tc>
      </w:tr>
      <w:tr>
        <w:tc>
          <w:tcPr>
            <w:tcW w:type="dxa" w:w="3120"/>
          </w:tcPr>
          <w:p>
            <w:pPr>
              <w:spacing w:after="40" w:before="40" w:line="240" w:lineRule="auto"/>
            </w:pPr>
            <w:r/>
            <w:r>
              <w:rPr>
                <w:rFonts w:ascii="Times New Roman" w:hAnsi="Times New Roman" w:eastAsia="Times New Roman"/>
                <w:b w:val="0"/>
                <w:i w:val="0"/>
                <w:sz w:val="20"/>
              </w:rPr>
              <w:t>Beneficence</w:t>
            </w:r>
          </w:p>
        </w:tc>
        <w:tc>
          <w:tcPr>
            <w:tcW w:type="dxa" w:w="3120"/>
          </w:tcPr>
          <w:p>
            <w:pPr>
              <w:spacing w:after="40" w:before="40" w:line="240" w:lineRule="auto"/>
            </w:pPr>
            <w:r/>
            <w:r>
              <w:rPr>
                <w:rFonts w:ascii="Times New Roman" w:hAnsi="Times New Roman" w:eastAsia="Times New Roman"/>
                <w:b w:val="0"/>
                <w:i w:val="0"/>
                <w:sz w:val="20"/>
              </w:rPr>
              <w:t>Workplace exposure of contested recovery decisions</w:t>
            </w:r>
          </w:p>
        </w:tc>
        <w:tc>
          <w:tcPr>
            <w:tcW w:type="dxa" w:w="3120"/>
          </w:tcPr>
          <w:p>
            <w:pPr>
              <w:spacing w:after="40" w:before="40" w:line="240" w:lineRule="auto"/>
            </w:pPr>
            <w:r/>
            <w:r>
              <w:rPr>
                <w:rFonts w:ascii="Times New Roman" w:hAnsi="Times New Roman" w:eastAsia="Times New Roman"/>
                <w:b w:val="0"/>
                <w:i w:val="0"/>
                <w:sz w:val="20"/>
              </w:rPr>
              <w:t>Identifier stripping; optional artifacts; factual-only member check</w:t>
            </w:r>
          </w:p>
        </w:tc>
      </w:tr>
      <w:tr>
        <w:tc>
          <w:tcPr>
            <w:tcW w:type="dxa" w:w="3120"/>
          </w:tcPr>
          <w:p>
            <w:pPr>
              <w:spacing w:after="40" w:before="40" w:line="240" w:lineRule="auto"/>
            </w:pPr>
            <w:r/>
            <w:r>
              <w:rPr>
                <w:rFonts w:ascii="Times New Roman" w:hAnsi="Times New Roman" w:eastAsia="Times New Roman"/>
                <w:b w:val="0"/>
                <w:i w:val="0"/>
                <w:sz w:val="20"/>
              </w:rPr>
              <w:t>Justice</w:t>
            </w:r>
          </w:p>
        </w:tc>
        <w:tc>
          <w:tcPr>
            <w:tcW w:type="dxa" w:w="3120"/>
          </w:tcPr>
          <w:p>
            <w:pPr>
              <w:spacing w:after="40" w:before="40" w:line="240" w:lineRule="auto"/>
            </w:pPr>
            <w:r/>
            <w:r>
              <w:rPr>
                <w:rFonts w:ascii="Times New Roman" w:hAnsi="Times New Roman" w:eastAsia="Times New Roman"/>
                <w:b w:val="0"/>
                <w:i w:val="0"/>
                <w:sz w:val="20"/>
              </w:rPr>
              <w:t>Burden falling on vendor staff or on one employer</w:t>
            </w:r>
          </w:p>
        </w:tc>
        <w:tc>
          <w:tcPr>
            <w:tcW w:type="dxa" w:w="3120"/>
          </w:tcPr>
          <w:p>
            <w:pPr>
              <w:spacing w:after="40" w:before="40" w:line="240" w:lineRule="auto"/>
            </w:pPr>
            <w:r/>
            <w:r>
              <w:rPr>
                <w:rFonts w:ascii="Times New Roman" w:hAnsi="Times New Roman" w:eastAsia="Times New Roman"/>
                <w:b w:val="0"/>
                <w:i w:val="0"/>
                <w:sz w:val="20"/>
              </w:rPr>
              <w:t>Criterion-based inclusion of operational SME managers; vendor-only excluded; no supervisor list</w:t>
            </w:r>
          </w:p>
        </w:tc>
      </w:tr>
    </w:tbl>
    <w:p/>
    <w:p>
      <w:pPr>
        <w:spacing w:after="120" w:before="0" w:line="480" w:lineRule="auto"/>
      </w:pPr>
      <w:r>
        <w:rPr>
          <w:rFonts w:ascii="Times New Roman" w:hAnsi="Times New Roman" w:eastAsia="Times New Roman"/>
          <w:b w:val="0"/>
          <w:i w:val="0"/>
          <w:sz w:val="24"/>
        </w:rPr>
        <w:t>No monetary inducement is specified in this SOP. If the IRB later approves a nominal token, it will be documented as a protocol amendment.</w:t>
      </w:r>
    </w:p>
    <w:p>
      <w:pPr>
        <w:spacing w:after="160" w:before="240" w:line="480" w:lineRule="auto"/>
      </w:pPr>
      <w:r>
        <w:rPr>
          <w:rFonts w:ascii="Times New Roman" w:hAnsi="Times New Roman" w:eastAsia="Times New Roman"/>
          <w:b/>
          <w:i w:val="0"/>
          <w:color w:val="1F3A5F"/>
          <w:sz w:val="28"/>
        </w:rPr>
        <w:t>3.10 Chapter III versus Chapter IV versus Chapter V</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line="240" w:lineRule="auto"/>
            </w:pPr>
            <w:r/>
            <w:r>
              <w:rPr>
                <w:rFonts w:ascii="Times New Roman" w:hAnsi="Times New Roman" w:eastAsia="Times New Roman"/>
                <w:b/>
                <w:i w:val="0"/>
                <w:sz w:val="20"/>
              </w:rPr>
              <w:t>Object</w:t>
            </w:r>
          </w:p>
        </w:tc>
        <w:tc>
          <w:tcPr>
            <w:tcW w:type="dxa" w:w="2340"/>
          </w:tcPr>
          <w:p>
            <w:pPr>
              <w:spacing w:after="40" w:before="40" w:line="240" w:lineRule="auto"/>
            </w:pPr>
            <w:r/>
            <w:r>
              <w:rPr>
                <w:rFonts w:ascii="Times New Roman" w:hAnsi="Times New Roman" w:eastAsia="Times New Roman"/>
                <w:b/>
                <w:i w:val="0"/>
                <w:sz w:val="20"/>
              </w:rPr>
              <w:t>Chapter III</w:t>
            </w:r>
          </w:p>
        </w:tc>
        <w:tc>
          <w:tcPr>
            <w:tcW w:type="dxa" w:w="2340"/>
          </w:tcPr>
          <w:p>
            <w:pPr>
              <w:spacing w:after="40" w:before="40" w:line="240" w:lineRule="auto"/>
            </w:pPr>
            <w:r/>
            <w:r>
              <w:rPr>
                <w:rFonts w:ascii="Times New Roman" w:hAnsi="Times New Roman" w:eastAsia="Times New Roman"/>
                <w:b/>
                <w:i w:val="0"/>
                <w:sz w:val="20"/>
              </w:rPr>
              <w:t>Chapter IV</w:t>
            </w:r>
          </w:p>
        </w:tc>
        <w:tc>
          <w:tcPr>
            <w:tcW w:type="dxa" w:w="2340"/>
          </w:tcPr>
          <w:p>
            <w:pPr>
              <w:spacing w:after="40" w:before="40" w:line="240" w:lineRule="auto"/>
            </w:pPr>
            <w:r/>
            <w:r>
              <w:rPr>
                <w:rFonts w:ascii="Times New Roman" w:hAnsi="Times New Roman" w:eastAsia="Times New Roman"/>
                <w:b/>
                <w:i w:val="0"/>
                <w:sz w:val="20"/>
              </w:rPr>
              <w:t>Chapter V</w:t>
            </w:r>
          </w:p>
        </w:tc>
      </w:tr>
      <w:tr>
        <w:tc>
          <w:tcPr>
            <w:tcW w:type="dxa" w:w="2340"/>
          </w:tcPr>
          <w:p>
            <w:pPr>
              <w:spacing w:after="40" w:before="40" w:line="240" w:lineRule="auto"/>
            </w:pPr>
            <w:r/>
            <w:r>
              <w:rPr>
                <w:rFonts w:ascii="Times New Roman" w:hAnsi="Times New Roman" w:eastAsia="Times New Roman"/>
                <w:b w:val="0"/>
                <w:i w:val="0"/>
                <w:sz w:val="20"/>
              </w:rPr>
              <w:t>PQ1 / PQ2 (or official RQs)</w:t>
            </w:r>
          </w:p>
        </w:tc>
        <w:tc>
          <w:tcPr>
            <w:tcW w:type="dxa" w:w="2340"/>
          </w:tcPr>
          <w:p>
            <w:pPr>
              <w:spacing w:after="40" w:before="40" w:line="240" w:lineRule="auto"/>
            </w:pPr>
            <w:r/>
            <w:r>
              <w:rPr>
                <w:rFonts w:ascii="Times New Roman" w:hAnsi="Times New Roman" w:eastAsia="Times New Roman"/>
                <w:b w:val="0"/>
                <w:i w:val="0"/>
                <w:sz w:val="20"/>
              </w:rPr>
              <w:t>Stated as questions to be answered</w:t>
            </w:r>
          </w:p>
        </w:tc>
        <w:tc>
          <w:tcPr>
            <w:tcW w:type="dxa" w:w="2340"/>
          </w:tcPr>
          <w:p>
            <w:pPr>
              <w:spacing w:after="40" w:before="40" w:line="240" w:lineRule="auto"/>
            </w:pPr>
            <w:r/>
            <w:r>
              <w:rPr>
                <w:rFonts w:ascii="Times New Roman" w:hAnsi="Times New Roman" w:eastAsia="Times New Roman"/>
                <w:b w:val="0"/>
                <w:i w:val="0"/>
                <w:sz w:val="20"/>
              </w:rPr>
              <w:t>Answered with evidenced themes</w:t>
            </w:r>
          </w:p>
        </w:tc>
        <w:tc>
          <w:tcPr>
            <w:tcW w:type="dxa" w:w="2340"/>
          </w:tcPr>
          <w:p>
            <w:pPr>
              <w:spacing w:after="40" w:before="40" w:line="240" w:lineRule="auto"/>
            </w:pPr>
            <w:r/>
            <w:r>
              <w:rPr>
                <w:rFonts w:ascii="Times New Roman" w:hAnsi="Times New Roman" w:eastAsia="Times New Roman"/>
                <w:b w:val="0"/>
                <w:i w:val="0"/>
                <w:sz w:val="20"/>
              </w:rPr>
              <w:t>Interpreted against the gap and literature</w:t>
            </w:r>
          </w:p>
        </w:tc>
      </w:tr>
      <w:tr>
        <w:tc>
          <w:tcPr>
            <w:tcW w:type="dxa" w:w="2340"/>
          </w:tcPr>
          <w:p>
            <w:pPr>
              <w:spacing w:after="40" w:before="40" w:line="240" w:lineRule="auto"/>
            </w:pPr>
            <w:r/>
            <w:r>
              <w:rPr>
                <w:rFonts w:ascii="Times New Roman" w:hAnsi="Times New Roman" w:eastAsia="Times New Roman"/>
                <w:b w:val="0"/>
                <w:i w:val="0"/>
                <w:sz w:val="20"/>
              </w:rPr>
              <w:t>FRAMEWORK_DEDUCTIVE codes</w:t>
            </w:r>
          </w:p>
        </w:tc>
        <w:tc>
          <w:tcPr>
            <w:tcW w:type="dxa" w:w="2340"/>
          </w:tcPr>
          <w:p>
            <w:pPr>
              <w:spacing w:after="40" w:before="40" w:line="240" w:lineRule="auto"/>
            </w:pPr>
            <w:r/>
            <w:r>
              <w:rPr>
                <w:rFonts w:ascii="Times New Roman" w:hAnsi="Times New Roman" w:eastAsia="Times New Roman"/>
                <w:b w:val="0"/>
                <w:i w:val="0"/>
                <w:sz w:val="20"/>
              </w:rPr>
              <w:t>Imported as sensitizing probes</w:t>
            </w:r>
          </w:p>
        </w:tc>
        <w:tc>
          <w:tcPr>
            <w:tcW w:type="dxa" w:w="2340"/>
          </w:tcPr>
          <w:p>
            <w:pPr>
              <w:spacing w:after="40" w:before="40" w:line="240" w:lineRule="auto"/>
            </w:pPr>
            <w:r/>
            <w:r>
              <w:rPr>
                <w:rFonts w:ascii="Times New Roman" w:hAnsi="Times New Roman" w:eastAsia="Times New Roman"/>
                <w:b w:val="0"/>
                <w:i w:val="0"/>
                <w:sz w:val="20"/>
              </w:rPr>
              <w:t>Cited only as the start-list that collected examples</w:t>
            </w:r>
          </w:p>
        </w:tc>
        <w:tc>
          <w:tcPr>
            <w:tcW w:type="dxa" w:w="2340"/>
          </w:tcPr>
          <w:p>
            <w:pPr>
              <w:spacing w:after="40" w:before="40" w:line="240" w:lineRule="auto"/>
            </w:pPr>
            <w:r/>
            <w:r>
              <w:rPr>
                <w:rFonts w:ascii="Times New Roman" w:hAnsi="Times New Roman" w:eastAsia="Times New Roman"/>
                <w:b w:val="0"/>
                <w:i w:val="0"/>
                <w:sz w:val="20"/>
              </w:rPr>
              <w:t>Not restated as if they were findings</w:t>
            </w:r>
          </w:p>
        </w:tc>
      </w:tr>
      <w:tr>
        <w:tc>
          <w:tcPr>
            <w:tcW w:type="dxa" w:w="2340"/>
          </w:tcPr>
          <w:p>
            <w:pPr>
              <w:spacing w:after="40" w:before="40" w:line="240" w:lineRule="auto"/>
            </w:pPr>
            <w:r/>
            <w:r>
              <w:rPr>
                <w:rFonts w:ascii="Times New Roman" w:hAnsi="Times New Roman" w:eastAsia="Times New Roman"/>
                <w:b w:val="0"/>
                <w:i w:val="0"/>
                <w:sz w:val="20"/>
              </w:rPr>
              <w:t>Meaning units</w:t>
            </w:r>
          </w:p>
        </w:tc>
        <w:tc>
          <w:tcPr>
            <w:tcW w:type="dxa" w:w="2340"/>
          </w:tcPr>
          <w:p>
            <w:pPr>
              <w:spacing w:after="40" w:before="40" w:line="240" w:lineRule="auto"/>
            </w:pPr>
            <w:r/>
            <w:r>
              <w:rPr>
                <w:rFonts w:ascii="Times New Roman" w:hAnsi="Times New Roman" w:eastAsia="Times New Roman"/>
                <w:b w:val="0"/>
                <w:i w:val="0"/>
                <w:sz w:val="20"/>
              </w:rPr>
              <w:t>Procedure for locking them</w:t>
            </w:r>
          </w:p>
        </w:tc>
        <w:tc>
          <w:tcPr>
            <w:tcW w:type="dxa" w:w="2340"/>
          </w:tcPr>
          <w:p>
            <w:pPr>
              <w:spacing w:after="40" w:before="40" w:line="240" w:lineRule="auto"/>
            </w:pPr>
            <w:r/>
            <w:r>
              <w:rPr>
                <w:rFonts w:ascii="Times New Roman" w:hAnsi="Times New Roman" w:eastAsia="Times New Roman"/>
                <w:b w:val="0"/>
                <w:i w:val="0"/>
                <w:sz w:val="20"/>
              </w:rPr>
              <w:t>Displayed as evidenced claims</w:t>
            </w:r>
          </w:p>
        </w:tc>
        <w:tc>
          <w:tcPr>
            <w:tcW w:type="dxa" w:w="2340"/>
          </w:tcPr>
          <w:p>
            <w:pPr>
              <w:spacing w:after="40" w:before="40" w:line="240" w:lineRule="auto"/>
            </w:pPr>
            <w:r/>
            <w:r>
              <w:rPr>
                <w:rFonts w:ascii="Times New Roman" w:hAnsi="Times New Roman" w:eastAsia="Times New Roman"/>
                <w:b w:val="0"/>
                <w:i w:val="0"/>
                <w:sz w:val="20"/>
              </w:rPr>
              <w:t>Not re-analyzed as new data</w:t>
            </w:r>
          </w:p>
        </w:tc>
      </w:tr>
      <w:tr>
        <w:tc>
          <w:tcPr>
            <w:tcW w:type="dxa" w:w="2340"/>
          </w:tcPr>
          <w:p>
            <w:pPr>
              <w:spacing w:after="40" w:before="40" w:line="240" w:lineRule="auto"/>
            </w:pPr>
            <w:r/>
            <w:r>
              <w:rPr>
                <w:rFonts w:ascii="Times New Roman" w:hAnsi="Times New Roman" w:eastAsia="Times New Roman"/>
                <w:b w:val="0"/>
                <w:i w:val="0"/>
                <w:sz w:val="20"/>
              </w:rPr>
              <w:t>Categories / themes</w:t>
            </w:r>
          </w:p>
        </w:tc>
        <w:tc>
          <w:tcPr>
            <w:tcW w:type="dxa" w:w="2340"/>
          </w:tcPr>
          <w:p>
            <w:pPr>
              <w:spacing w:after="40" w:before="40" w:line="240" w:lineRule="auto"/>
            </w:pPr>
            <w:r/>
            <w:r>
              <w:rPr>
                <w:rFonts w:ascii="Times New Roman" w:hAnsi="Times New Roman" w:eastAsia="Times New Roman"/>
                <w:b w:val="0"/>
                <w:i w:val="0"/>
                <w:sz w:val="20"/>
              </w:rPr>
              <w:t>Planned, unnamed</w:t>
            </w:r>
          </w:p>
        </w:tc>
        <w:tc>
          <w:tcPr>
            <w:tcW w:type="dxa" w:w="2340"/>
          </w:tcPr>
          <w:p>
            <w:pPr>
              <w:spacing w:after="40" w:before="40" w:line="240" w:lineRule="auto"/>
            </w:pPr>
            <w:r/>
            <w:r>
              <w:rPr>
                <w:rFonts w:ascii="Times New Roman" w:hAnsi="Times New Roman" w:eastAsia="Times New Roman"/>
                <w:b w:val="0"/>
                <w:i w:val="0"/>
                <w:sz w:val="20"/>
              </w:rPr>
              <w:t>Named as patterned meanings; limited by boundary cases</w:t>
            </w:r>
          </w:p>
        </w:tc>
        <w:tc>
          <w:tcPr>
            <w:tcW w:type="dxa" w:w="2340"/>
          </w:tcPr>
          <w:p>
            <w:pPr>
              <w:spacing w:after="40" w:before="40" w:line="240" w:lineRule="auto"/>
            </w:pPr>
            <w:r/>
            <w:r>
              <w:rPr>
                <w:rFonts w:ascii="Times New Roman" w:hAnsi="Times New Roman" w:eastAsia="Times New Roman"/>
                <w:b w:val="0"/>
                <w:i w:val="0"/>
                <w:sz w:val="20"/>
              </w:rPr>
              <w:t>Discussed, not newly named</w:t>
            </w:r>
          </w:p>
        </w:tc>
      </w:tr>
      <w:tr>
        <w:tc>
          <w:tcPr>
            <w:tcW w:type="dxa" w:w="2340"/>
          </w:tcPr>
          <w:p>
            <w:pPr>
              <w:spacing w:after="40" w:before="40" w:line="240" w:lineRule="auto"/>
            </w:pPr>
            <w:r/>
            <w:r>
              <w:rPr>
                <w:rFonts w:ascii="Times New Roman" w:hAnsi="Times New Roman" w:eastAsia="Times New Roman"/>
                <w:b w:val="0"/>
                <w:i w:val="0"/>
                <w:sz w:val="20"/>
              </w:rPr>
              <w:t>n = 12</w:t>
            </w:r>
          </w:p>
        </w:tc>
        <w:tc>
          <w:tcPr>
            <w:tcW w:type="dxa" w:w="2340"/>
          </w:tcPr>
          <w:p>
            <w:pPr>
              <w:spacing w:after="40" w:before="40" w:line="240" w:lineRule="auto"/>
            </w:pPr>
            <w:r/>
            <w:r>
              <w:rPr>
                <w:rFonts w:ascii="Times New Roman" w:hAnsi="Times New Roman" w:eastAsia="Times New Roman"/>
                <w:b w:val="0"/>
                <w:i w:val="0"/>
                <w:sz w:val="20"/>
              </w:rPr>
              <w:t>Locked recruitment target; information-power justification</w:t>
            </w:r>
          </w:p>
        </w:tc>
        <w:tc>
          <w:tcPr>
            <w:tcW w:type="dxa" w:w="2340"/>
          </w:tcPr>
          <w:p>
            <w:pPr>
              <w:spacing w:after="40" w:before="40" w:line="240" w:lineRule="auto"/>
            </w:pPr>
            <w:r/>
            <w:r>
              <w:rPr>
                <w:rFonts w:ascii="Times New Roman" w:hAnsi="Times New Roman" w:eastAsia="Times New Roman"/>
                <w:b w:val="0"/>
                <w:i w:val="0"/>
                <w:sz w:val="20"/>
              </w:rPr>
              <w:t>Corpus size reported; stopping table summarized</w:t>
            </w:r>
          </w:p>
        </w:tc>
        <w:tc>
          <w:tcPr>
            <w:tcW w:type="dxa" w:w="2340"/>
          </w:tcPr>
          <w:p>
            <w:pPr>
              <w:spacing w:after="40" w:before="40" w:line="240" w:lineRule="auto"/>
            </w:pPr>
            <w:r/>
            <w:r>
              <w:rPr>
                <w:rFonts w:ascii="Times New Roman" w:hAnsi="Times New Roman" w:eastAsia="Times New Roman"/>
                <w:b w:val="0"/>
                <w:i w:val="0"/>
                <w:sz w:val="20"/>
              </w:rPr>
              <w:t>Limitation if the twelfth interview still changed the inventory</w:t>
            </w:r>
          </w:p>
        </w:tc>
      </w:tr>
      <w:tr>
        <w:tc>
          <w:tcPr>
            <w:tcW w:type="dxa" w:w="2340"/>
          </w:tcPr>
          <w:p>
            <w:pPr>
              <w:spacing w:after="40" w:before="40" w:line="240" w:lineRule="auto"/>
            </w:pPr>
            <w:r/>
            <w:r>
              <w:rPr>
                <w:rFonts w:ascii="Times New Roman" w:hAnsi="Times New Roman" w:eastAsia="Times New Roman"/>
                <w:b w:val="0"/>
                <w:i w:val="0"/>
                <w:sz w:val="20"/>
              </w:rPr>
              <w:t>Delve / CSV nest</w:t>
            </w:r>
          </w:p>
        </w:tc>
        <w:tc>
          <w:tcPr>
            <w:tcW w:type="dxa" w:w="2340"/>
          </w:tcPr>
          <w:p>
            <w:pPr>
              <w:spacing w:after="40" w:before="40" w:line="240" w:lineRule="auto"/>
            </w:pPr>
            <w:r/>
            <w:r>
              <w:rPr>
                <w:rFonts w:ascii="Times New Roman" w:hAnsi="Times New Roman" w:eastAsia="Times New Roman"/>
                <w:b w:val="0"/>
                <w:i w:val="0"/>
                <w:sz w:val="20"/>
              </w:rPr>
              <w:t>Named as audit infrastructure</w:t>
            </w:r>
          </w:p>
        </w:tc>
        <w:tc>
          <w:tcPr>
            <w:tcW w:type="dxa" w:w="2340"/>
          </w:tcPr>
          <w:p>
            <w:pPr>
              <w:spacing w:after="40" w:before="40" w:line="240" w:lineRule="auto"/>
            </w:pPr>
            <w:r/>
            <w:r>
              <w:rPr>
                <w:rFonts w:ascii="Times New Roman" w:hAnsi="Times New Roman" w:eastAsia="Times New Roman"/>
                <w:b w:val="0"/>
                <w:i w:val="0"/>
                <w:sz w:val="20"/>
              </w:rPr>
              <w:t>Used to locate excerpts</w:t>
            </w:r>
          </w:p>
        </w:tc>
        <w:tc>
          <w:tcPr>
            <w:tcW w:type="dxa" w:w="2340"/>
          </w:tcPr>
          <w:p>
            <w:pPr>
              <w:spacing w:after="40" w:before="40" w:line="240" w:lineRule="auto"/>
            </w:pPr>
            <w:r/>
            <w:r>
              <w:rPr>
                <w:rFonts w:ascii="Times New Roman" w:hAnsi="Times New Roman" w:eastAsia="Times New Roman"/>
                <w:b w:val="0"/>
                <w:i w:val="0"/>
                <w:sz w:val="20"/>
              </w:rPr>
              <w:t>Not a contribution</w:t>
            </w:r>
          </w:p>
        </w:tc>
      </w:tr>
    </w:tbl>
    <w:p/>
    <w:p>
      <w:pPr>
        <w:spacing w:after="160" w:before="240" w:line="480" w:lineRule="auto"/>
      </w:pPr>
      <w:r>
        <w:rPr>
          <w:rFonts w:ascii="Times New Roman" w:hAnsi="Times New Roman" w:eastAsia="Times New Roman"/>
          <w:b/>
          <w:i w:val="0"/>
          <w:color w:val="1F3A5F"/>
          <w:sz w:val="28"/>
        </w:rPr>
        <w:t>3.11 Chapter summary</w:t>
      </w:r>
    </w:p>
    <w:p>
      <w:pPr>
        <w:spacing w:after="120" w:before="0" w:line="480" w:lineRule="auto"/>
      </w:pPr>
      <w:r>
        <w:rPr>
          <w:rFonts w:ascii="Times New Roman" w:hAnsi="Times New Roman" w:eastAsia="Times New Roman"/>
          <w:b w:val="0"/>
          <w:i w:val="0"/>
          <w:sz w:val="24"/>
        </w:rPr>
        <w:t xml:space="preserve">Chapter III specifies a generic qualitative inquiry that uses critical-incident interviews with U.S. SME IT and network managers who can name one ITDRPaaS recovery or test event in 36 months. </w:t>
      </w:r>
      <w:r>
        <w:rPr>
          <w:rFonts w:ascii="Times New Roman" w:hAnsi="Times New Roman" w:eastAsia="Times New Roman"/>
          <w:b/>
          <w:i w:val="0"/>
          <w:sz w:val="24"/>
        </w:rPr>
        <w:t>The sample is locked at 12 participants</w:t>
      </w:r>
      <w:r>
        <w:rPr>
          <w:rFonts w:ascii="Times New Roman" w:hAnsi="Times New Roman" w:eastAsia="Times New Roman"/>
          <w:b w:val="0"/>
          <w:i w:val="0"/>
          <w:sz w:val="24"/>
        </w:rPr>
        <w:t xml:space="preserve"> and is justified by information power rather than by automatic saturation. The instrument </w:t>
      </w:r>
      <w:r>
        <w:rPr>
          <w:rFonts w:ascii="Times New Roman" w:hAnsi="Times New Roman" w:eastAsia="Times New Roman"/>
          <w:i/>
          <w:sz w:val="24"/>
        </w:rPr>
        <w:t>ITDR-GQI-INT-v0.1.1</w:t>
      </w:r>
      <w:r>
        <w:rPr>
          <w:rFonts w:ascii="Times New Roman" w:hAnsi="Times New Roman" w:eastAsia="Times New Roman"/>
          <w:b w:val="0"/>
          <w:i w:val="0"/>
          <w:sz w:val="24"/>
        </w:rPr>
        <w:t xml:space="preserve"> locates leverage in that event and then follows the same incident into decision rights, escalation, and recoverability proof, using skip-if-covered rules and boundary cases.</w:t>
      </w:r>
    </w:p>
    <w:p>
      <w:pPr>
        <w:spacing w:after="120" w:before="0" w:line="480" w:lineRule="auto"/>
      </w:pPr>
      <w:r>
        <w:rPr>
          <w:rFonts w:ascii="Times New Roman" w:hAnsi="Times New Roman" w:eastAsia="Times New Roman"/>
          <w:b w:val="0"/>
          <w:i w:val="0"/>
          <w:sz w:val="24"/>
        </w:rPr>
        <w:t>The analytic method is hybrid deductive–inductive codebook thematic analysis (Fereday &amp; Muir-Cochrane, 2006), adapted for a single researcher. Delve is the CAQDAS that stores CLEAN transcripts, the versioned codebook, memos, and snippet URLs. It does not analyze the data. STRUCTURAL, FRAMEWORK_DEDUCTIVE, and BOUNDARY codes are imported as filing and sensitizing devices. EMERGENT stays empty until meaning units are locked. Theme names, patterned-meaning claims, and answers to PQ1 and PQ2 are reserved for Chapter IV. Interpretation is reserved for Chapter V.</w:t>
      </w:r>
    </w:p>
    <w:p>
      <w:pPr>
        <w:spacing w:after="160" w:before="240" w:line="480" w:lineRule="auto"/>
      </w:pPr>
      <w:r>
        <w:rPr>
          <w:rFonts w:ascii="Times New Roman" w:hAnsi="Times New Roman" w:eastAsia="Times New Roman"/>
          <w:b/>
          <w:i w:val="0"/>
          <w:color w:val="1F3A5F"/>
          <w:sz w:val="28"/>
        </w:rPr>
        <w:t>Paste-ready sampling block (n = 12 locked)</w:t>
      </w:r>
    </w:p>
    <w:p>
      <w:pPr>
        <w:spacing w:after="120" w:before="0" w:line="480" w:lineRule="auto"/>
      </w:pPr>
      <w:r>
        <w:rPr>
          <w:rFonts w:ascii="Times New Roman" w:hAnsi="Times New Roman" w:eastAsia="Times New Roman"/>
          <w:b w:val="0"/>
          <w:i w:val="0"/>
          <w:sz w:val="24"/>
        </w:rPr>
        <w:t>This study will use a nonprobability, criterion-based purposive sampling strategy to select information-rich participants whose roles and recent recovery experience align with the research purpose (Percy et al., 2015). The target population is U.S. IT, network, systems, infrastructure, or operations managers in small and medium-sized enterprises of 10 to 200 personnel who have direct responsibility for, or participation in, IT disaster recovery that uses an external recovery platform, managed recovery service, ITDRPaaS, or a functionally equivalent cloud-recovery capability. Inclusion requires at least one disruption, failover, recovery test, or operational recovery in the preceding 36 months in which that external capability was used. Individuals employed only by a vendor, or who lack direct platform-mediated recovery responsibility, are excluded. Criterion-based purposive sampling is appropriate because the aim is a focused account of that phenomenon, not a statistically representative sample.</w:t>
      </w:r>
    </w:p>
    <w:p>
      <w:pPr>
        <w:spacing w:after="120" w:before="0" w:line="480" w:lineRule="auto"/>
      </w:pPr>
      <w:r>
        <w:rPr>
          <w:rFonts w:ascii="Times New Roman" w:hAnsi="Times New Roman" w:eastAsia="Times New Roman"/>
          <w:b w:val="0"/>
          <w:i w:val="0"/>
          <w:sz w:val="24"/>
        </w:rPr>
        <w:t>The sample is locked at 12 participants. Sample adequacy will not be determined by statistical power. It will be justified by information power: a narrow aim, a highly specific participant population, theoretically informed but not closed-ended dialogue, and an in-depth thematic analysis strategy (Malterud et al., 2016). Twelve is the planned recruitment target, not a finding that the gap is closed.</w:t>
      </w:r>
    </w:p>
    <w:p>
      <w:pPr>
        <w:spacing w:after="120" w:before="0" w:line="480" w:lineRule="auto"/>
      </w:pPr>
      <w:r>
        <w:rPr>
          <w:rFonts w:ascii="Times New Roman" w:hAnsi="Times New Roman" w:eastAsia="Times New Roman"/>
          <w:b w:val="0"/>
          <w:i w:val="0"/>
          <w:sz w:val="24"/>
        </w:rPr>
        <w:t>Recruitment and preliminary analysis will proceed through the locked sample of 12. Stopping is documented as an analytic decision: the researcher records whether additional interviews within that corpus still contribute new meaning units, categories, or thematic variation relevant to the research questions (Naeem et al., 2024). Guest et al. (2006) may be cited only as background that some homogeneous interview studies have observed early code stability; they are not used to claim that 12 interviews suffice in advance. The final participant count and the rationale for ending recruitment will be recorded in the study audit trail (Carcary, 2020).</w:t>
      </w:r>
    </w:p>
    <w:p>
      <w:pPr>
        <w:spacing w:after="160" w:before="240" w:line="480" w:lineRule="auto"/>
      </w:pPr>
      <w:r>
        <w:rPr>
          <w:rFonts w:ascii="Times New Roman" w:hAnsi="Times New Roman" w:eastAsia="Times New Roman"/>
          <w:b/>
          <w:i w:val="0"/>
          <w:color w:val="1F3A5F"/>
          <w:sz w:val="28"/>
        </w:rPr>
        <w:t>References (Chapter III methodological sources used in this SOP)</w:t>
      </w:r>
    </w:p>
    <w:p>
      <w:pPr>
        <w:spacing w:after="120" w:before="0" w:line="480" w:lineRule="auto"/>
      </w:pPr>
      <w:r>
        <w:rPr>
          <w:rFonts w:ascii="Times New Roman" w:hAnsi="Times New Roman" w:eastAsia="Times New Roman"/>
          <w:b w:val="0"/>
          <w:i w:val="0"/>
          <w:sz w:val="24"/>
        </w:rPr>
        <w:t xml:space="preserve">Agle, B. R., Mitchell, R. K., &amp; Sonnenfeld, J. A. (1999). Who matters to CEOs? An investigation of stakeholder attributes and salience, corporate performance, and CEO values. </w:t>
      </w:r>
      <w:r>
        <w:rPr>
          <w:rFonts w:ascii="Times New Roman" w:hAnsi="Times New Roman" w:eastAsia="Times New Roman"/>
          <w:i/>
          <w:sz w:val="24"/>
        </w:rPr>
        <w:t>Academy of Management Journal, 42</w:t>
      </w:r>
      <w:r>
        <w:rPr>
          <w:rFonts w:ascii="Times New Roman" w:hAnsi="Times New Roman" w:eastAsia="Times New Roman"/>
          <w:b w:val="0"/>
          <w:i w:val="0"/>
          <w:sz w:val="24"/>
        </w:rPr>
        <w:t>(5), 507–525. https://doi.org/10.5465/256973</w:t>
      </w:r>
    </w:p>
    <w:p>
      <w:pPr>
        <w:spacing w:after="120" w:before="0" w:line="480" w:lineRule="auto"/>
      </w:pPr>
      <w:r>
        <w:rPr>
          <w:rFonts w:ascii="Times New Roman" w:hAnsi="Times New Roman" w:eastAsia="Times New Roman"/>
          <w:b w:val="0"/>
          <w:i w:val="0"/>
          <w:sz w:val="24"/>
        </w:rPr>
        <w:t xml:space="preserve">Aronson, J. (1994). A pragmatic view of thematic analysis. </w:t>
      </w:r>
      <w:r>
        <w:rPr>
          <w:rFonts w:ascii="Times New Roman" w:hAnsi="Times New Roman" w:eastAsia="Times New Roman"/>
          <w:i/>
          <w:sz w:val="24"/>
        </w:rPr>
        <w:t>The Qualitative Report, 2</w:t>
      </w:r>
      <w:r>
        <w:rPr>
          <w:rFonts w:ascii="Times New Roman" w:hAnsi="Times New Roman" w:eastAsia="Times New Roman"/>
          <w:b w:val="0"/>
          <w:i w:val="0"/>
          <w:sz w:val="24"/>
        </w:rPr>
        <w:t>(1), 1–3. https://doi.org/10.46743/2160-3715/1995.2069</w:t>
      </w:r>
    </w:p>
    <w:p>
      <w:pPr>
        <w:spacing w:after="120" w:before="0" w:line="480" w:lineRule="auto"/>
      </w:pPr>
      <w:r>
        <w:rPr>
          <w:rFonts w:ascii="Times New Roman" w:hAnsi="Times New Roman" w:eastAsia="Times New Roman"/>
          <w:b w:val="0"/>
          <w:i w:val="0"/>
          <w:sz w:val="24"/>
        </w:rPr>
        <w:t xml:space="preserve">Braun, V., &amp; Clarke, V. (2019). Reflecting on reflexive thematic analysis. </w:t>
      </w:r>
      <w:r>
        <w:rPr>
          <w:rFonts w:ascii="Times New Roman" w:hAnsi="Times New Roman" w:eastAsia="Times New Roman"/>
          <w:i/>
          <w:sz w:val="24"/>
        </w:rPr>
        <w:t>Qualitative Research in Sport, Exercise and Health, 11</w:t>
      </w:r>
      <w:r>
        <w:rPr>
          <w:rFonts w:ascii="Times New Roman" w:hAnsi="Times New Roman" w:eastAsia="Times New Roman"/>
          <w:b w:val="0"/>
          <w:i w:val="0"/>
          <w:sz w:val="24"/>
        </w:rPr>
        <w:t>(4), 589–597. https://doi.org/10.1080/2159676X.2019.1628806</w:t>
      </w:r>
    </w:p>
    <w:p>
      <w:pPr>
        <w:spacing w:after="120" w:before="0" w:line="480" w:lineRule="auto"/>
      </w:pPr>
      <w:r>
        <w:rPr>
          <w:rFonts w:ascii="Times New Roman" w:hAnsi="Times New Roman" w:eastAsia="Times New Roman"/>
          <w:b w:val="0"/>
          <w:i w:val="0"/>
          <w:sz w:val="24"/>
        </w:rPr>
        <w:t xml:space="preserve">Braun, V., &amp; Clarke, V. (2021). One size fits all? What counts as quality practice in (reflexive) thematic analysis? </w:t>
      </w:r>
      <w:r>
        <w:rPr>
          <w:rFonts w:ascii="Times New Roman" w:hAnsi="Times New Roman" w:eastAsia="Times New Roman"/>
          <w:i/>
          <w:sz w:val="24"/>
        </w:rPr>
        <w:t>Qualitative Research in Psychology, 18</w:t>
      </w:r>
      <w:r>
        <w:rPr>
          <w:rFonts w:ascii="Times New Roman" w:hAnsi="Times New Roman" w:eastAsia="Times New Roman"/>
          <w:b w:val="0"/>
          <w:i w:val="0"/>
          <w:sz w:val="24"/>
        </w:rPr>
        <w:t>(3), 328–352. https://doi.org/10.1080/14780887.2020.1769238</w:t>
      </w:r>
    </w:p>
    <w:p>
      <w:pPr>
        <w:spacing w:after="120" w:before="0" w:line="480" w:lineRule="auto"/>
      </w:pPr>
      <w:r>
        <w:rPr>
          <w:rFonts w:ascii="Times New Roman" w:hAnsi="Times New Roman" w:eastAsia="Times New Roman"/>
          <w:b w:val="0"/>
          <w:i w:val="0"/>
          <w:sz w:val="24"/>
        </w:rPr>
        <w:t xml:space="preserve">Braun, V., &amp; Clarke, V. (2022). </w:t>
      </w:r>
      <w:r>
        <w:rPr>
          <w:rFonts w:ascii="Times New Roman" w:hAnsi="Times New Roman" w:eastAsia="Times New Roman"/>
          <w:i/>
          <w:sz w:val="24"/>
        </w:rPr>
        <w:t>Thematic analysis: A practical guide</w:t>
      </w:r>
      <w:r>
        <w:rPr>
          <w:rFonts w:ascii="Times New Roman" w:hAnsi="Times New Roman" w:eastAsia="Times New Roman"/>
          <w:b w:val="0"/>
          <w:i w:val="0"/>
          <w:sz w:val="24"/>
        </w:rPr>
        <w:t>. SAGE.</w:t>
      </w:r>
    </w:p>
    <w:p>
      <w:pPr>
        <w:spacing w:after="120" w:before="0" w:line="480" w:lineRule="auto"/>
      </w:pPr>
      <w:r>
        <w:rPr>
          <w:rFonts w:ascii="Times New Roman" w:hAnsi="Times New Roman" w:eastAsia="Times New Roman"/>
          <w:b w:val="0"/>
          <w:i w:val="0"/>
          <w:sz w:val="24"/>
        </w:rPr>
        <w:t xml:space="preserve">Butterfield, L. D., Borgen, W. A., Amundson, N. E., &amp; Maglio, A.-S. T. (2005). Fifty years of the critical incident technique: 1954–2004 and beyond. </w:t>
      </w:r>
      <w:r>
        <w:rPr>
          <w:rFonts w:ascii="Times New Roman" w:hAnsi="Times New Roman" w:eastAsia="Times New Roman"/>
          <w:i/>
          <w:sz w:val="24"/>
        </w:rPr>
        <w:t>Qualitative Research, 5</w:t>
      </w:r>
      <w:r>
        <w:rPr>
          <w:rFonts w:ascii="Times New Roman" w:hAnsi="Times New Roman" w:eastAsia="Times New Roman"/>
          <w:b w:val="0"/>
          <w:i w:val="0"/>
          <w:sz w:val="24"/>
        </w:rPr>
        <w:t>(4), 475–497. https://doi.org/10.1177/1468794105056924</w:t>
      </w:r>
    </w:p>
    <w:p>
      <w:pPr>
        <w:spacing w:after="120" w:before="0" w:line="480" w:lineRule="auto"/>
      </w:pPr>
      <w:r>
        <w:rPr>
          <w:rFonts w:ascii="Times New Roman" w:hAnsi="Times New Roman" w:eastAsia="Times New Roman"/>
          <w:b w:val="0"/>
          <w:i w:val="0"/>
          <w:sz w:val="24"/>
        </w:rPr>
        <w:t xml:space="preserve">Caelli, K., Ray, L., &amp; Mill, J. (2003). ‘Clear as mud’: Toward greater clarity in generic qualitative research. </w:t>
      </w:r>
      <w:r>
        <w:rPr>
          <w:rFonts w:ascii="Times New Roman" w:hAnsi="Times New Roman" w:eastAsia="Times New Roman"/>
          <w:i/>
          <w:sz w:val="24"/>
        </w:rPr>
        <w:t>International Journal of Qualitative Methods, 2</w:t>
      </w:r>
      <w:r>
        <w:rPr>
          <w:rFonts w:ascii="Times New Roman" w:hAnsi="Times New Roman" w:eastAsia="Times New Roman"/>
          <w:b w:val="0"/>
          <w:i w:val="0"/>
          <w:sz w:val="24"/>
        </w:rPr>
        <w:t>(2), 1–13. https://doi.org/10.1177/160940690300200201</w:t>
      </w:r>
    </w:p>
    <w:p>
      <w:pPr>
        <w:spacing w:after="120" w:before="0" w:line="480" w:lineRule="auto"/>
      </w:pPr>
      <w:r>
        <w:rPr>
          <w:rFonts w:ascii="Times New Roman" w:hAnsi="Times New Roman" w:eastAsia="Times New Roman"/>
          <w:b w:val="0"/>
          <w:i w:val="0"/>
          <w:sz w:val="24"/>
        </w:rPr>
        <w:t xml:space="preserve">Capella University. (n.d.-c). </w:t>
      </w:r>
      <w:r>
        <w:rPr>
          <w:rFonts w:ascii="Times New Roman" w:hAnsi="Times New Roman" w:eastAsia="Times New Roman"/>
          <w:i/>
          <w:sz w:val="24"/>
        </w:rPr>
        <w:t>Qualitative data collection and analysis methods – SOBT</w:t>
      </w:r>
      <w:r>
        <w:rPr>
          <w:rFonts w:ascii="Times New Roman" w:hAnsi="Times New Roman" w:eastAsia="Times New Roman"/>
          <w:b w:val="0"/>
          <w:i w:val="0"/>
          <w:sz w:val="24"/>
        </w:rPr>
        <w:t>. https://campustools.capella.edu/BBCourse_Production/PhD_Colloquia/Track_3/SOBT/phd_t3_sobt_u02s6_h01_qualcoll.html</w:t>
      </w:r>
    </w:p>
    <w:p>
      <w:pPr>
        <w:spacing w:after="120" w:before="0" w:line="480" w:lineRule="auto"/>
      </w:pPr>
      <w:r>
        <w:rPr>
          <w:rFonts w:ascii="Times New Roman" w:hAnsi="Times New Roman" w:eastAsia="Times New Roman"/>
          <w:b w:val="0"/>
          <w:i w:val="0"/>
          <w:sz w:val="24"/>
        </w:rPr>
        <w:t xml:space="preserve">Capella University. (n.d.-d). </w:t>
      </w:r>
      <w:r>
        <w:rPr>
          <w:rFonts w:ascii="Times New Roman" w:hAnsi="Times New Roman" w:eastAsia="Times New Roman"/>
          <w:i/>
          <w:sz w:val="24"/>
        </w:rPr>
        <w:t>Writing guiding questions</w:t>
      </w:r>
      <w:r>
        <w:rPr>
          <w:rFonts w:ascii="Times New Roman" w:hAnsi="Times New Roman" w:eastAsia="Times New Roman"/>
          <w:b w:val="0"/>
          <w:i w:val="0"/>
          <w:sz w:val="24"/>
        </w:rPr>
        <w:t>. https://campustools.capella.edu/BBCourse_Production/PhD_Colloquia_C4C/Track_3/phd_t3_u07s1_writeguide.html</w:t>
      </w:r>
    </w:p>
    <w:p>
      <w:pPr>
        <w:spacing w:after="120" w:before="0" w:line="480" w:lineRule="auto"/>
      </w:pPr>
      <w:r>
        <w:rPr>
          <w:rFonts w:ascii="Times New Roman" w:hAnsi="Times New Roman" w:eastAsia="Times New Roman"/>
          <w:b w:val="0"/>
          <w:i w:val="0"/>
          <w:sz w:val="24"/>
        </w:rPr>
        <w:t xml:space="preserve">Carcary, M. (2020). The research audit trail: Methodological guidance for application in practice. </w:t>
      </w:r>
      <w:r>
        <w:rPr>
          <w:rFonts w:ascii="Times New Roman" w:hAnsi="Times New Roman" w:eastAsia="Times New Roman"/>
          <w:i/>
          <w:sz w:val="24"/>
        </w:rPr>
        <w:t>Electronic Journal of Business Research Methods, 18</w:t>
      </w:r>
      <w:r>
        <w:rPr>
          <w:rFonts w:ascii="Times New Roman" w:hAnsi="Times New Roman" w:eastAsia="Times New Roman"/>
          <w:b w:val="0"/>
          <w:i w:val="0"/>
          <w:sz w:val="24"/>
        </w:rPr>
        <w:t>(2), 166–177. https://doi.org/10.34190/jbrm.18.2.008</w:t>
      </w:r>
    </w:p>
    <w:p>
      <w:pPr>
        <w:spacing w:after="120" w:before="0" w:line="480" w:lineRule="auto"/>
      </w:pPr>
      <w:r>
        <w:rPr>
          <w:rFonts w:ascii="Times New Roman" w:hAnsi="Times New Roman" w:eastAsia="Times New Roman"/>
          <w:b w:val="0"/>
          <w:i w:val="0"/>
          <w:sz w:val="24"/>
        </w:rPr>
        <w:t xml:space="preserve">Chell, E. (2004). Critical incident technique. In C. Cassell &amp; G. Symon (Eds.), </w:t>
      </w:r>
      <w:r>
        <w:rPr>
          <w:rFonts w:ascii="Times New Roman" w:hAnsi="Times New Roman" w:eastAsia="Times New Roman"/>
          <w:i/>
          <w:sz w:val="24"/>
        </w:rPr>
        <w:t>Essential guide to qualitative methods in organizational research</w:t>
      </w:r>
      <w:r>
        <w:rPr>
          <w:rFonts w:ascii="Times New Roman" w:hAnsi="Times New Roman" w:eastAsia="Times New Roman"/>
          <w:b w:val="0"/>
          <w:i w:val="0"/>
          <w:sz w:val="24"/>
        </w:rPr>
        <w:t xml:space="preserve"> (pp. 45–60). SAGE.</w:t>
      </w:r>
    </w:p>
    <w:p>
      <w:pPr>
        <w:spacing w:after="120" w:before="0" w:line="480" w:lineRule="auto"/>
      </w:pPr>
      <w:r>
        <w:rPr>
          <w:rFonts w:ascii="Times New Roman" w:hAnsi="Times New Roman" w:eastAsia="Times New Roman"/>
          <w:b w:val="0"/>
          <w:i w:val="0"/>
          <w:sz w:val="24"/>
        </w:rPr>
        <w:t xml:space="preserve">Creswell, J. W., &amp; Poth, C. N. (2018). </w:t>
      </w:r>
      <w:r>
        <w:rPr>
          <w:rFonts w:ascii="Times New Roman" w:hAnsi="Times New Roman" w:eastAsia="Times New Roman"/>
          <w:i/>
          <w:sz w:val="24"/>
        </w:rPr>
        <w:t>Qualitative inquiry and research design: Choosing among five approaches</w:t>
      </w:r>
      <w:r>
        <w:rPr>
          <w:rFonts w:ascii="Times New Roman" w:hAnsi="Times New Roman" w:eastAsia="Times New Roman"/>
          <w:b w:val="0"/>
          <w:i w:val="0"/>
          <w:sz w:val="24"/>
        </w:rPr>
        <w:t xml:space="preserve"> (4th ed.). SAGE.</w:t>
      </w:r>
    </w:p>
    <w:p>
      <w:pPr>
        <w:spacing w:after="120" w:before="0" w:line="480" w:lineRule="auto"/>
      </w:pPr>
      <w:r>
        <w:rPr>
          <w:rFonts w:ascii="Times New Roman" w:hAnsi="Times New Roman" w:eastAsia="Times New Roman"/>
          <w:b w:val="0"/>
          <w:i w:val="0"/>
          <w:sz w:val="24"/>
        </w:rPr>
        <w:t xml:space="preserve">Delve, Ho, L., &amp; Limpaecher, A. (n.d.). </w:t>
      </w:r>
      <w:r>
        <w:rPr>
          <w:rFonts w:ascii="Times New Roman" w:hAnsi="Times New Roman" w:eastAsia="Times New Roman"/>
          <w:i/>
          <w:sz w:val="24"/>
        </w:rPr>
        <w:t>Qualitative data analysis software</w:t>
      </w:r>
      <w:r>
        <w:rPr>
          <w:rFonts w:ascii="Times New Roman" w:hAnsi="Times New Roman" w:eastAsia="Times New Roman"/>
          <w:b w:val="0"/>
          <w:i w:val="0"/>
          <w:sz w:val="24"/>
        </w:rPr>
        <w:t>. Delve. https://delvetool.com/</w:t>
      </w:r>
    </w:p>
    <w:p>
      <w:pPr>
        <w:spacing w:after="120" w:before="0" w:line="480" w:lineRule="auto"/>
      </w:pPr>
      <w:r>
        <w:rPr>
          <w:rFonts w:ascii="Times New Roman" w:hAnsi="Times New Roman" w:eastAsia="Times New Roman"/>
          <w:b w:val="0"/>
          <w:i w:val="0"/>
          <w:sz w:val="24"/>
        </w:rPr>
        <w:t xml:space="preserve">Fereday, J., &amp; Muir-Cochrane, E. (2006). Demonstrating rigor using thematic analysis: A hybrid approach of inductive and deductive coding and theme development. </w:t>
      </w:r>
      <w:r>
        <w:rPr>
          <w:rFonts w:ascii="Times New Roman" w:hAnsi="Times New Roman" w:eastAsia="Times New Roman"/>
          <w:i/>
          <w:sz w:val="24"/>
        </w:rPr>
        <w:t>International Journal of Qualitative Methods, 5</w:t>
      </w:r>
      <w:r>
        <w:rPr>
          <w:rFonts w:ascii="Times New Roman" w:hAnsi="Times New Roman" w:eastAsia="Times New Roman"/>
          <w:b w:val="0"/>
          <w:i w:val="0"/>
          <w:sz w:val="24"/>
        </w:rPr>
        <w:t>(1), 80–92. https://doi.org/10.1177/160940690600500107</w:t>
      </w:r>
    </w:p>
    <w:p>
      <w:pPr>
        <w:spacing w:after="120" w:before="0" w:line="480" w:lineRule="auto"/>
      </w:pPr>
      <w:r>
        <w:rPr>
          <w:rFonts w:ascii="Times New Roman" w:hAnsi="Times New Roman" w:eastAsia="Times New Roman"/>
          <w:b w:val="0"/>
          <w:i w:val="0"/>
          <w:sz w:val="24"/>
        </w:rPr>
        <w:t xml:space="preserve">Flanagan, J. C. (1954). The critical incident technique. </w:t>
      </w:r>
      <w:r>
        <w:rPr>
          <w:rFonts w:ascii="Times New Roman" w:hAnsi="Times New Roman" w:eastAsia="Times New Roman"/>
          <w:i/>
          <w:sz w:val="24"/>
        </w:rPr>
        <w:t>Psychological Bulletin, 51</w:t>
      </w:r>
      <w:r>
        <w:rPr>
          <w:rFonts w:ascii="Times New Roman" w:hAnsi="Times New Roman" w:eastAsia="Times New Roman"/>
          <w:b w:val="0"/>
          <w:i w:val="0"/>
          <w:sz w:val="24"/>
        </w:rPr>
        <w:t>(4), 327–358. https://doi.org/10.1037/h0061470</w:t>
      </w:r>
    </w:p>
    <w:p>
      <w:pPr>
        <w:spacing w:after="120" w:before="0" w:line="480" w:lineRule="auto"/>
      </w:pPr>
      <w:r>
        <w:rPr>
          <w:rFonts w:ascii="Times New Roman" w:hAnsi="Times New Roman" w:eastAsia="Times New Roman"/>
          <w:b w:val="0"/>
          <w:i w:val="0"/>
          <w:sz w:val="24"/>
        </w:rPr>
        <w:t xml:space="preserve">Guest, G., Bunce, A., &amp; Johnson, L. (2006). How many interviews are enough? An experiment with data saturation and variability. </w:t>
      </w:r>
      <w:r>
        <w:rPr>
          <w:rFonts w:ascii="Times New Roman" w:hAnsi="Times New Roman" w:eastAsia="Times New Roman"/>
          <w:i/>
          <w:sz w:val="24"/>
        </w:rPr>
        <w:t>Field Methods, 18</w:t>
      </w:r>
      <w:r>
        <w:rPr>
          <w:rFonts w:ascii="Times New Roman" w:hAnsi="Times New Roman" w:eastAsia="Times New Roman"/>
          <w:b w:val="0"/>
          <w:i w:val="0"/>
          <w:sz w:val="24"/>
        </w:rPr>
        <w:t>(1), 59–82. https://doi.org/10.1177/1525822X05279903</w:t>
      </w:r>
    </w:p>
    <w:p>
      <w:pPr>
        <w:spacing w:after="120" w:before="0" w:line="480" w:lineRule="auto"/>
      </w:pPr>
      <w:r>
        <w:rPr>
          <w:rFonts w:ascii="Times New Roman" w:hAnsi="Times New Roman" w:eastAsia="Times New Roman"/>
          <w:b w:val="0"/>
          <w:i w:val="0"/>
          <w:sz w:val="24"/>
        </w:rPr>
        <w:t xml:space="preserve">Kahlke, R. M. (2014). Generic qualitative approaches: Pitfalls and benefits of methodological mixology. </w:t>
      </w:r>
      <w:r>
        <w:rPr>
          <w:rFonts w:ascii="Times New Roman" w:hAnsi="Times New Roman" w:eastAsia="Times New Roman"/>
          <w:i/>
          <w:sz w:val="24"/>
        </w:rPr>
        <w:t>International Journal of Qualitative Methods, 13</w:t>
      </w:r>
      <w:r>
        <w:rPr>
          <w:rFonts w:ascii="Times New Roman" w:hAnsi="Times New Roman" w:eastAsia="Times New Roman"/>
          <w:b w:val="0"/>
          <w:i w:val="0"/>
          <w:sz w:val="24"/>
        </w:rPr>
        <w:t>(1), 37–52. https://doi.org/10.1177/160940691401300119</w:t>
      </w:r>
    </w:p>
    <w:p>
      <w:pPr>
        <w:spacing w:after="120" w:before="0" w:line="480" w:lineRule="auto"/>
      </w:pPr>
      <w:r>
        <w:rPr>
          <w:rFonts w:ascii="Times New Roman" w:hAnsi="Times New Roman" w:eastAsia="Times New Roman"/>
          <w:b w:val="0"/>
          <w:i w:val="0"/>
          <w:sz w:val="24"/>
        </w:rPr>
        <w:t xml:space="preserve">Korstjens, I., &amp; Moser, A. (2018). Series: Practical guidance to qualitative research. Part 4: Trustworthiness and publishing. </w:t>
      </w:r>
      <w:r>
        <w:rPr>
          <w:rFonts w:ascii="Times New Roman" w:hAnsi="Times New Roman" w:eastAsia="Times New Roman"/>
          <w:i/>
          <w:sz w:val="24"/>
        </w:rPr>
        <w:t>European Journal of General Practice, 24</w:t>
      </w:r>
      <w:r>
        <w:rPr>
          <w:rFonts w:ascii="Times New Roman" w:hAnsi="Times New Roman" w:eastAsia="Times New Roman"/>
          <w:b w:val="0"/>
          <w:i w:val="0"/>
          <w:sz w:val="24"/>
        </w:rPr>
        <w:t>(1), 120–124. https://doi.org/10.1080/13814788.2017.1375092</w:t>
      </w:r>
    </w:p>
    <w:p>
      <w:pPr>
        <w:spacing w:after="120" w:before="0" w:line="480" w:lineRule="auto"/>
      </w:pPr>
      <w:r>
        <w:rPr>
          <w:rFonts w:ascii="Times New Roman" w:hAnsi="Times New Roman" w:eastAsia="Times New Roman"/>
          <w:b w:val="0"/>
          <w:i w:val="0"/>
          <w:sz w:val="24"/>
        </w:rPr>
        <w:t xml:space="preserve">Lester, J. N., Cho, Y., &amp; Lochmiller, C. R. (2020). Learning to do qualitative data analysis: A starting point. </w:t>
      </w:r>
      <w:r>
        <w:rPr>
          <w:rFonts w:ascii="Times New Roman" w:hAnsi="Times New Roman" w:eastAsia="Times New Roman"/>
          <w:i/>
          <w:sz w:val="24"/>
        </w:rPr>
        <w:t>Human Resource Development Review, 19</w:t>
      </w:r>
      <w:r>
        <w:rPr>
          <w:rFonts w:ascii="Times New Roman" w:hAnsi="Times New Roman" w:eastAsia="Times New Roman"/>
          <w:b w:val="0"/>
          <w:i w:val="0"/>
          <w:sz w:val="24"/>
        </w:rPr>
        <w:t>(1), 94–106. https://doi.org/10.1177/1534484320903890</w:t>
      </w:r>
    </w:p>
    <w:p>
      <w:pPr>
        <w:spacing w:after="120" w:before="0" w:line="480" w:lineRule="auto"/>
      </w:pPr>
      <w:r>
        <w:rPr>
          <w:rFonts w:ascii="Times New Roman" w:hAnsi="Times New Roman" w:eastAsia="Times New Roman"/>
          <w:b w:val="0"/>
          <w:i w:val="0"/>
          <w:sz w:val="24"/>
        </w:rPr>
        <w:t xml:space="preserve">Lincoln, Y. S., &amp; Guba, E. G. (1985). </w:t>
      </w:r>
      <w:r>
        <w:rPr>
          <w:rFonts w:ascii="Times New Roman" w:hAnsi="Times New Roman" w:eastAsia="Times New Roman"/>
          <w:i/>
          <w:sz w:val="24"/>
        </w:rPr>
        <w:t>Naturalistic inquiry</w:t>
      </w:r>
      <w:r>
        <w:rPr>
          <w:rFonts w:ascii="Times New Roman" w:hAnsi="Times New Roman" w:eastAsia="Times New Roman"/>
          <w:b w:val="0"/>
          <w:i w:val="0"/>
          <w:sz w:val="24"/>
        </w:rPr>
        <w:t>. SAGE.</w:t>
      </w:r>
    </w:p>
    <w:p>
      <w:pPr>
        <w:spacing w:after="120" w:before="0" w:line="480" w:lineRule="auto"/>
      </w:pPr>
      <w:r>
        <w:rPr>
          <w:rFonts w:ascii="Times New Roman" w:hAnsi="Times New Roman" w:eastAsia="Times New Roman"/>
          <w:b w:val="0"/>
          <w:i w:val="0"/>
          <w:sz w:val="24"/>
        </w:rPr>
        <w:t>Lowry, P. B., Petter, S., &amp; Leimeister, J. M. (2025). [Recoverability assurance and decision-relevant evidence as used in the project plan; full bibliographic details pending verification].</w:t>
      </w:r>
    </w:p>
    <w:p>
      <w:pPr>
        <w:spacing w:after="120" w:before="0" w:line="480" w:lineRule="auto"/>
      </w:pPr>
      <w:r>
        <w:rPr>
          <w:rFonts w:ascii="Times New Roman" w:hAnsi="Times New Roman" w:eastAsia="Times New Roman"/>
          <w:b w:val="0"/>
          <w:i w:val="0"/>
          <w:sz w:val="24"/>
        </w:rPr>
        <w:t xml:space="preserve">Malterud, K., Siersma, V. D., &amp; Guassora, A. D. (2016). Sample size in qualitative interview studies: Guided by information power. </w:t>
      </w:r>
      <w:r>
        <w:rPr>
          <w:rFonts w:ascii="Times New Roman" w:hAnsi="Times New Roman" w:eastAsia="Times New Roman"/>
          <w:i/>
          <w:sz w:val="24"/>
        </w:rPr>
        <w:t>Qualitative Health Research, 26</w:t>
      </w:r>
      <w:r>
        <w:rPr>
          <w:rFonts w:ascii="Times New Roman" w:hAnsi="Times New Roman" w:eastAsia="Times New Roman"/>
          <w:b w:val="0"/>
          <w:i w:val="0"/>
          <w:sz w:val="24"/>
        </w:rPr>
        <w:t>(13), 1753–1760. https://doi.org/10.1177/1049732315617444</w:t>
      </w:r>
    </w:p>
    <w:p>
      <w:pPr>
        <w:spacing w:after="120" w:before="0" w:line="480" w:lineRule="auto"/>
      </w:pPr>
      <w:r>
        <w:rPr>
          <w:rFonts w:ascii="Times New Roman" w:hAnsi="Times New Roman" w:eastAsia="Times New Roman"/>
          <w:b w:val="0"/>
          <w:i w:val="0"/>
          <w:sz w:val="24"/>
        </w:rPr>
        <w:t xml:space="preserve">Mitchell, R. K., Agle, B. R., &amp; Wood, D. J. (1997). Toward a theory of stakeholder identification and salience: Defining the principle of who and what really counts. </w:t>
      </w:r>
      <w:r>
        <w:rPr>
          <w:rFonts w:ascii="Times New Roman" w:hAnsi="Times New Roman" w:eastAsia="Times New Roman"/>
          <w:i/>
          <w:sz w:val="24"/>
        </w:rPr>
        <w:t>Academy of Management Review, 22</w:t>
      </w:r>
      <w:r>
        <w:rPr>
          <w:rFonts w:ascii="Times New Roman" w:hAnsi="Times New Roman" w:eastAsia="Times New Roman"/>
          <w:b w:val="0"/>
          <w:i w:val="0"/>
          <w:sz w:val="24"/>
        </w:rPr>
        <w:t>(4), 853–886. https://doi.org/10.5465/amr.1997.9711022105</w:t>
      </w:r>
    </w:p>
    <w:p>
      <w:pPr>
        <w:spacing w:after="120" w:before="0" w:line="480" w:lineRule="auto"/>
      </w:pPr>
      <w:r>
        <w:rPr>
          <w:rFonts w:ascii="Times New Roman" w:hAnsi="Times New Roman" w:eastAsia="Times New Roman"/>
          <w:b w:val="0"/>
          <w:i w:val="0"/>
          <w:sz w:val="24"/>
        </w:rPr>
        <w:t xml:space="preserve">Naeem, M., Ozuem, W., Howell, K., &amp; Ranfagni, S. (2024). Demystification and actualisation of data saturation in qualitative research through thematic analysis. </w:t>
      </w:r>
      <w:r>
        <w:rPr>
          <w:rFonts w:ascii="Times New Roman" w:hAnsi="Times New Roman" w:eastAsia="Times New Roman"/>
          <w:i/>
          <w:sz w:val="24"/>
        </w:rPr>
        <w:t>International Journal of Qualitative Methods, 23</w:t>
      </w:r>
      <w:r>
        <w:rPr>
          <w:rFonts w:ascii="Times New Roman" w:hAnsi="Times New Roman" w:eastAsia="Times New Roman"/>
          <w:b w:val="0"/>
          <w:i w:val="0"/>
          <w:sz w:val="24"/>
        </w:rPr>
        <w:t>, 1–17. https://doi.org/10.1177/16094069241229777</w:t>
      </w:r>
    </w:p>
    <w:p>
      <w:pPr>
        <w:spacing w:after="120" w:before="0" w:line="480" w:lineRule="auto"/>
      </w:pPr>
      <w:r>
        <w:rPr>
          <w:rFonts w:ascii="Times New Roman" w:hAnsi="Times New Roman" w:eastAsia="Times New Roman"/>
          <w:b w:val="0"/>
          <w:i w:val="0"/>
          <w:sz w:val="24"/>
        </w:rPr>
        <w:t xml:space="preserve">Neville, B. A., Bell, S. J., &amp; Whitwell, G. J. (2011). Stakeholder salience revisited: Refining, redefining, and refueling an underdeveloped conceptual tool. </w:t>
      </w:r>
      <w:r>
        <w:rPr>
          <w:rFonts w:ascii="Times New Roman" w:hAnsi="Times New Roman" w:eastAsia="Times New Roman"/>
          <w:i/>
          <w:sz w:val="24"/>
        </w:rPr>
        <w:t>Journal of Business Ethics, 102</w:t>
      </w:r>
      <w:r>
        <w:rPr>
          <w:rFonts w:ascii="Times New Roman" w:hAnsi="Times New Roman" w:eastAsia="Times New Roman"/>
          <w:b w:val="0"/>
          <w:i w:val="0"/>
          <w:sz w:val="24"/>
        </w:rPr>
        <w:t>(3), 357–378. https://doi.org/10.1007/s10551-011-0818-9</w:t>
      </w:r>
    </w:p>
    <w:p>
      <w:pPr>
        <w:spacing w:after="120" w:before="0" w:line="480" w:lineRule="auto"/>
      </w:pPr>
      <w:r>
        <w:rPr>
          <w:rFonts w:ascii="Times New Roman" w:hAnsi="Times New Roman" w:eastAsia="Times New Roman"/>
          <w:b w:val="0"/>
          <w:i w:val="0"/>
          <w:sz w:val="24"/>
        </w:rPr>
        <w:t xml:space="preserve">Nowell, L. S., Norris, J. M., White, D. E., &amp; Moules, N. J. (2017). Thematic analysis: Striving to meet the trustworthiness criteria. </w:t>
      </w:r>
      <w:r>
        <w:rPr>
          <w:rFonts w:ascii="Times New Roman" w:hAnsi="Times New Roman" w:eastAsia="Times New Roman"/>
          <w:i/>
          <w:sz w:val="24"/>
        </w:rPr>
        <w:t>International Journal of Qualitative Methods, 16</w:t>
      </w:r>
      <w:r>
        <w:rPr>
          <w:rFonts w:ascii="Times New Roman" w:hAnsi="Times New Roman" w:eastAsia="Times New Roman"/>
          <w:b w:val="0"/>
          <w:i w:val="0"/>
          <w:sz w:val="24"/>
        </w:rPr>
        <w:t>(1), 1–13. https://doi.org/10.1177/1609406917733847</w:t>
      </w:r>
    </w:p>
    <w:p>
      <w:pPr>
        <w:spacing w:after="120" w:before="0" w:line="480" w:lineRule="auto"/>
      </w:pPr>
      <w:r>
        <w:rPr>
          <w:rFonts w:ascii="Times New Roman" w:hAnsi="Times New Roman" w:eastAsia="Times New Roman"/>
          <w:b w:val="0"/>
          <w:i w:val="0"/>
          <w:sz w:val="24"/>
        </w:rPr>
        <w:t xml:space="preserve">O’Brien, B. C., Harris, I. B., Beckman, T. J., Reed, D. A., &amp; Cook, D. A. (2014). Standards for reporting qualitative research: A synthesis of recommendations. </w:t>
      </w:r>
      <w:r>
        <w:rPr>
          <w:rFonts w:ascii="Times New Roman" w:hAnsi="Times New Roman" w:eastAsia="Times New Roman"/>
          <w:i/>
          <w:sz w:val="24"/>
        </w:rPr>
        <w:t>Academic Medicine, 89</w:t>
      </w:r>
      <w:r>
        <w:rPr>
          <w:rFonts w:ascii="Times New Roman" w:hAnsi="Times New Roman" w:eastAsia="Times New Roman"/>
          <w:b w:val="0"/>
          <w:i w:val="0"/>
          <w:sz w:val="24"/>
        </w:rPr>
        <w:t>(9), 1245–1251. https://doi.org/10.1097/ACM.0000000000000388</w:t>
      </w:r>
    </w:p>
    <w:p>
      <w:pPr>
        <w:spacing w:after="120" w:before="0" w:line="480" w:lineRule="auto"/>
      </w:pPr>
      <w:r>
        <w:rPr>
          <w:rFonts w:ascii="Times New Roman" w:hAnsi="Times New Roman" w:eastAsia="Times New Roman"/>
          <w:b w:val="0"/>
          <w:i w:val="0"/>
          <w:sz w:val="24"/>
        </w:rPr>
        <w:t xml:space="preserve">O’Connor, C., &amp; Joffe, H. (2020). Intercoder reliability in qualitative research: Debates and practical guidelines. </w:t>
      </w:r>
      <w:r>
        <w:rPr>
          <w:rFonts w:ascii="Times New Roman" w:hAnsi="Times New Roman" w:eastAsia="Times New Roman"/>
          <w:i/>
          <w:sz w:val="24"/>
        </w:rPr>
        <w:t>International Journal of Qualitative Methods, 19</w:t>
      </w:r>
      <w:r>
        <w:rPr>
          <w:rFonts w:ascii="Times New Roman" w:hAnsi="Times New Roman" w:eastAsia="Times New Roman"/>
          <w:b w:val="0"/>
          <w:i w:val="0"/>
          <w:sz w:val="24"/>
        </w:rPr>
        <w:t>, 1–13. https://doi.org/10.1177/1609406919899220</w:t>
      </w:r>
    </w:p>
    <w:p>
      <w:pPr>
        <w:spacing w:after="120" w:before="0" w:line="480" w:lineRule="auto"/>
      </w:pPr>
      <w:r>
        <w:rPr>
          <w:rFonts w:ascii="Times New Roman" w:hAnsi="Times New Roman" w:eastAsia="Times New Roman"/>
          <w:b w:val="0"/>
          <w:i w:val="0"/>
          <w:sz w:val="24"/>
        </w:rPr>
        <w:t xml:space="preserve">Parent, M. M., &amp; Deephouse, D. L. (2007). A case study of stakeholder identification and prioritization by managers. </w:t>
      </w:r>
      <w:r>
        <w:rPr>
          <w:rFonts w:ascii="Times New Roman" w:hAnsi="Times New Roman" w:eastAsia="Times New Roman"/>
          <w:i/>
          <w:sz w:val="24"/>
        </w:rPr>
        <w:t>Journal of Business Ethics, 75</w:t>
      </w:r>
      <w:r>
        <w:rPr>
          <w:rFonts w:ascii="Times New Roman" w:hAnsi="Times New Roman" w:eastAsia="Times New Roman"/>
          <w:b w:val="0"/>
          <w:i w:val="0"/>
          <w:sz w:val="24"/>
        </w:rPr>
        <w:t>(1), 1–23. https://doi.org/10.1007/s10551-007-9533-y</w:t>
      </w:r>
    </w:p>
    <w:p>
      <w:pPr>
        <w:spacing w:after="120" w:before="0" w:line="480" w:lineRule="auto"/>
      </w:pPr>
      <w:r>
        <w:rPr>
          <w:rFonts w:ascii="Times New Roman" w:hAnsi="Times New Roman" w:eastAsia="Times New Roman"/>
          <w:b w:val="0"/>
          <w:i w:val="0"/>
          <w:sz w:val="24"/>
        </w:rPr>
        <w:t>Park, J., et al. (2023). [Recoverability-assurance definition source as used in the project plan; full bibliographic details pending verification].</w:t>
      </w:r>
    </w:p>
    <w:p>
      <w:pPr>
        <w:spacing w:after="120" w:before="0" w:line="480" w:lineRule="auto"/>
      </w:pPr>
      <w:r>
        <w:rPr>
          <w:rFonts w:ascii="Times New Roman" w:hAnsi="Times New Roman" w:eastAsia="Times New Roman"/>
          <w:b w:val="0"/>
          <w:i w:val="0"/>
          <w:sz w:val="24"/>
        </w:rPr>
        <w:t xml:space="preserve">Percy, W. H., Kostere, K., &amp; Kostere, S. (2015). Generic qualitative research in psychology. </w:t>
      </w:r>
      <w:r>
        <w:rPr>
          <w:rFonts w:ascii="Times New Roman" w:hAnsi="Times New Roman" w:eastAsia="Times New Roman"/>
          <w:i/>
          <w:sz w:val="24"/>
        </w:rPr>
        <w:t>The Qualitative Report, 20</w:t>
      </w:r>
      <w:r>
        <w:rPr>
          <w:rFonts w:ascii="Times New Roman" w:hAnsi="Times New Roman" w:eastAsia="Times New Roman"/>
          <w:b w:val="0"/>
          <w:i w:val="0"/>
          <w:sz w:val="24"/>
        </w:rPr>
        <w:t>(2), 76–85. https://doi.org/10.46743/2160-3715/2015.2097</w:t>
      </w:r>
    </w:p>
    <w:p>
      <w:pPr>
        <w:spacing w:after="120" w:before="0" w:line="480" w:lineRule="auto"/>
      </w:pPr>
      <w:r>
        <w:rPr>
          <w:rFonts w:ascii="Times New Roman" w:hAnsi="Times New Roman" w:eastAsia="Times New Roman"/>
          <w:b w:val="0"/>
          <w:i w:val="0"/>
          <w:sz w:val="24"/>
        </w:rPr>
        <w:t xml:space="preserve">Pezalla, A. E., Pettigrew, J., &amp; Miller-Day, M. (2012). Researching the researcher-as-instrument: An exercise in interviewer self-reflexivity. </w:t>
      </w:r>
      <w:r>
        <w:rPr>
          <w:rFonts w:ascii="Times New Roman" w:hAnsi="Times New Roman" w:eastAsia="Times New Roman"/>
          <w:i/>
          <w:sz w:val="24"/>
        </w:rPr>
        <w:t>Qualitative Research, 12</w:t>
      </w:r>
      <w:r>
        <w:rPr>
          <w:rFonts w:ascii="Times New Roman" w:hAnsi="Times New Roman" w:eastAsia="Times New Roman"/>
          <w:b w:val="0"/>
          <w:i w:val="0"/>
          <w:sz w:val="24"/>
        </w:rPr>
        <w:t>(2), 165–185. https://doi.org/10.1177/1468794111422107</w:t>
      </w:r>
    </w:p>
    <w:p>
      <w:pPr>
        <w:spacing w:after="120" w:before="0" w:line="480" w:lineRule="auto"/>
      </w:pPr>
      <w:r>
        <w:rPr>
          <w:rFonts w:ascii="Times New Roman" w:hAnsi="Times New Roman" w:eastAsia="Times New Roman"/>
          <w:b w:val="0"/>
          <w:i w:val="0"/>
          <w:sz w:val="24"/>
        </w:rPr>
        <w:t xml:space="preserve">Poland, B. D. (2002). Transcription quality. In J. F. Gubrium &amp; J. A. Holstein (Eds.), </w:t>
      </w:r>
      <w:r>
        <w:rPr>
          <w:rFonts w:ascii="Times New Roman" w:hAnsi="Times New Roman" w:eastAsia="Times New Roman"/>
          <w:i/>
          <w:sz w:val="24"/>
        </w:rPr>
        <w:t>Handbook of interview research</w:t>
      </w:r>
      <w:r>
        <w:rPr>
          <w:rFonts w:ascii="Times New Roman" w:hAnsi="Times New Roman" w:eastAsia="Times New Roman"/>
          <w:b w:val="0"/>
          <w:i w:val="0"/>
          <w:sz w:val="24"/>
        </w:rPr>
        <w:t xml:space="preserve"> (pp. 629–649). SAGE.</w:t>
      </w:r>
    </w:p>
    <w:p>
      <w:pPr>
        <w:spacing w:after="120" w:before="0" w:line="480" w:lineRule="auto"/>
      </w:pPr>
      <w:r>
        <w:rPr>
          <w:rFonts w:ascii="Times New Roman" w:hAnsi="Times New Roman" w:eastAsia="Times New Roman"/>
          <w:b w:val="0"/>
          <w:i w:val="0"/>
          <w:sz w:val="24"/>
        </w:rPr>
        <w:t xml:space="preserve">Taylor, S. J., &amp; Bogdan, R. (1998). </w:t>
      </w:r>
      <w:r>
        <w:rPr>
          <w:rFonts w:ascii="Times New Roman" w:hAnsi="Times New Roman" w:eastAsia="Times New Roman"/>
          <w:i/>
          <w:sz w:val="24"/>
        </w:rPr>
        <w:t>Introduction to qualitative research methods</w:t>
      </w:r>
      <w:r>
        <w:rPr>
          <w:rFonts w:ascii="Times New Roman" w:hAnsi="Times New Roman" w:eastAsia="Times New Roman"/>
          <w:b w:val="0"/>
          <w:i w:val="0"/>
          <w:sz w:val="24"/>
        </w:rPr>
        <w:t xml:space="preserve"> (3rd ed.). Wiley.</w:t>
      </w:r>
    </w:p>
    <w:p>
      <w:pPr>
        <w:spacing w:after="120" w:before="0" w:line="480" w:lineRule="auto"/>
      </w:pPr>
      <w:r>
        <w:rPr>
          <w:rFonts w:ascii="Times New Roman" w:hAnsi="Times New Roman" w:eastAsia="Times New Roman"/>
          <w:b w:val="0"/>
          <w:i w:val="0"/>
          <w:sz w:val="24"/>
        </w:rPr>
        <w:t xml:space="preserve">Tong, A., Sainsbury, P., &amp; Craig, J. (2007). Consolidated criteria for reporting qualitative research (COREQ): A 32-item checklist for interviews and focus groups. </w:t>
      </w:r>
      <w:r>
        <w:rPr>
          <w:rFonts w:ascii="Times New Roman" w:hAnsi="Times New Roman" w:eastAsia="Times New Roman"/>
          <w:i/>
          <w:sz w:val="24"/>
        </w:rPr>
        <w:t>International Journal for Quality in Health Care, 19</w:t>
      </w:r>
      <w:r>
        <w:rPr>
          <w:rFonts w:ascii="Times New Roman" w:hAnsi="Times New Roman" w:eastAsia="Times New Roman"/>
          <w:b w:val="0"/>
          <w:i w:val="0"/>
          <w:sz w:val="24"/>
        </w:rPr>
        <w:t>(6), 349–357. https://doi.org/10.1093/intqhc/mzm042</w:t>
      </w:r>
    </w:p>
    <w:p>
      <w:pPr>
        <w:spacing w:after="120" w:before="0" w:line="480" w:lineRule="auto"/>
      </w:pPr>
      <w:r>
        <w:rPr>
          <w:rFonts w:ascii="Times New Roman" w:hAnsi="Times New Roman" w:eastAsia="Times New Roman"/>
          <w:b w:val="0"/>
          <w:i w:val="0"/>
          <w:sz w:val="24"/>
        </w:rPr>
        <w:t xml:space="preserve">Vasileiou, K., Barnett, J., Thorpe, S., &amp; Young, T. (2018). Characterising and justifying sample size sufficiency in interview-based studies: Systematic analysis of qualitative health research over a 15-year period. </w:t>
      </w:r>
      <w:r>
        <w:rPr>
          <w:rFonts w:ascii="Times New Roman" w:hAnsi="Times New Roman" w:eastAsia="Times New Roman"/>
          <w:i/>
          <w:sz w:val="24"/>
        </w:rPr>
        <w:t>BMC Medical Research Methodology, 18</w:t>
      </w:r>
      <w:r>
        <w:rPr>
          <w:rFonts w:ascii="Times New Roman" w:hAnsi="Times New Roman" w:eastAsia="Times New Roman"/>
          <w:b w:val="0"/>
          <w:i w:val="0"/>
          <w:sz w:val="24"/>
        </w:rPr>
        <w:t>, Article 148. https://doi.org/10.1186/s12874-018-0594-7</w:t>
      </w:r>
    </w:p>
    <w:p>
      <w:pPr>
        <w:spacing w:after="120" w:before="0" w:line="480" w:lineRule="auto"/>
      </w:pPr>
      <w:r>
        <w:rPr>
          <w:rFonts w:ascii="Times New Roman" w:hAnsi="Times New Roman" w:eastAsia="Times New Roman"/>
          <w:b w:val="0"/>
          <w:i w:val="0"/>
          <w:sz w:val="24"/>
        </w:rPr>
        <w:t xml:space="preserve">Walker, M. (2026). </w:t>
      </w:r>
      <w:r>
        <w:rPr>
          <w:rFonts w:ascii="Times New Roman" w:hAnsi="Times New Roman" w:eastAsia="Times New Roman"/>
          <w:i/>
          <w:sz w:val="24"/>
        </w:rPr>
        <w:t>GQI semi-structured interview guide: Where leverage sits</w:t>
      </w:r>
      <w:r>
        <w:rPr>
          <w:rFonts w:ascii="Times New Roman" w:hAnsi="Times New Roman" w:eastAsia="Times New Roman"/>
          <w:b w:val="0"/>
          <w:i w:val="0"/>
          <w:sz w:val="24"/>
        </w:rPr>
        <w:t xml:space="preserve"> (Instrument ID ITDR-GQI-INT-v0.1.1) [Unpublished research instrument]. Capella University, RSCH-V8927.</w:t>
      </w:r>
    </w:p>
    <w:p>
      <w:pPr>
        <w:spacing w:after="120" w:before="0" w:line="480" w:lineRule="auto"/>
      </w:pPr>
      <w:r>
        <w:rPr>
          <w:rFonts w:ascii="Times New Roman" w:hAnsi="Times New Roman" w:eastAsia="Times New Roman"/>
          <w:b w:val="0"/>
          <w:i w:val="0"/>
          <w:sz w:val="24"/>
        </w:rPr>
        <w:t xml:space="preserve">Walker, M. D. (2026, August 16). </w:t>
      </w:r>
      <w:r>
        <w:rPr>
          <w:rFonts w:ascii="Times New Roman" w:hAnsi="Times New Roman" w:eastAsia="Times New Roman"/>
          <w:i/>
          <w:sz w:val="24"/>
        </w:rPr>
        <w:t>Week 5 assignment: Data analysis practice 2</w:t>
      </w:r>
      <w:r>
        <w:rPr>
          <w:rFonts w:ascii="Times New Roman" w:hAnsi="Times New Roman" w:eastAsia="Times New Roman"/>
          <w:b w:val="0"/>
          <w:i w:val="0"/>
          <w:sz w:val="24"/>
        </w:rPr>
        <w:t xml:space="preserve"> [Unpublished course paper]. BMGT-8044, Capella University.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 xml:space="preserve">Download copy for Project Plan use  ·  Page </w:t>
    </w:r>
    <w:r/>
    <w:r>
      <w:rPr>
        <w:rFonts w:ascii="Times New Roman" w:hAnsi="Times New Roman" w:eastAsia="Times New Roman"/>
        <w:sz w:val="20"/>
      </w:rPr>
      <w:fldChar w:fldCharType="begin"/>
    </w:r>
    <w:r>
      <w:rPr>
        <w:rFonts w:ascii="Times New Roman" w:hAnsi="Times New Roman" w:eastAsia="Times New Roman"/>
        <w:sz w:val="20"/>
      </w:rPr>
      <w:instrText xml:space="preserve"> PAGE </w:instrText>
    </w:r>
    <w:r>
      <w:rPr>
        <w:rFonts w:ascii="Times New Roman" w:hAnsi="Times New Roman" w:eastAsia="Times New Roman"/>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sz w:val="20"/>
      </w:rPr>
      <w:t>Walker — RSCH-V8927 / BMGT8044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