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480" w:lineRule="auto"/>
        <w:jc w:val="center"/>
      </w:pPr>
      <w:r>
        <w:rPr>
          <w:rFonts w:ascii="Times New Roman" w:hAnsi="Times New Roman" w:eastAsia="Times New Roman"/>
          <w:b/>
          <w:i w:val="0"/>
          <w:sz w:val="24"/>
        </w:rPr>
        <w:t>Max D. Walker</w:t>
      </w:r>
    </w:p>
    <w:p>
      <w:pPr>
        <w:spacing w:after="0" w:before="0" w:line="480" w:lineRule="auto"/>
        <w:jc w:val="center"/>
      </w:pPr>
      <w:r>
        <w:rPr>
          <w:rFonts w:ascii="Times New Roman" w:hAnsi="Times New Roman" w:eastAsia="Times New Roman"/>
          <w:b w:val="0"/>
          <w:i w:val="0"/>
          <w:sz w:val="24"/>
        </w:rPr>
        <w:t>Capella University</w:t>
      </w:r>
    </w:p>
    <w:p>
      <w:pPr>
        <w:spacing w:after="0" w:before="0" w:line="480" w:lineRule="auto"/>
        <w:jc w:val="center"/>
      </w:pPr>
      <w:r>
        <w:rPr>
          <w:rFonts w:ascii="Times New Roman" w:hAnsi="Times New Roman" w:eastAsia="Times New Roman"/>
          <w:b w:val="0"/>
          <w:i w:val="0"/>
          <w:sz w:val="24"/>
        </w:rPr>
        <w:t>RSCH-V8927 Doctoral Project Development — Framework Development</w:t>
      </w:r>
    </w:p>
    <w:p>
      <w:pPr>
        <w:spacing w:after="240" w:before="0" w:line="480" w:lineRule="auto"/>
        <w:jc w:val="center"/>
      </w:pPr>
      <w:r>
        <w:rPr>
          <w:rFonts w:ascii="Times New Roman" w:hAnsi="Times New Roman" w:eastAsia="Times New Roman"/>
          <w:b w:val="0"/>
          <w:i/>
          <w:sz w:val="24"/>
        </w:rPr>
        <w:t>Project Plan paste — define the target population, APA 7, third person</w:t>
      </w:r>
    </w:p>
    <w:p>
      <w:pPr>
        <w:spacing w:after="360" w:before="0" w:line="480" w:lineRule="auto"/>
        <w:jc w:val="center"/>
      </w:pPr>
      <w:r>
        <w:rPr>
          <w:rFonts w:ascii="Times New Roman" w:hAnsi="Times New Roman" w:eastAsia="Times New Roman"/>
          <w:b/>
          <w:i w:val="0"/>
          <w:color w:val="1F3A5F"/>
          <w:sz w:val="32"/>
        </w:rPr>
        <w:t>Population</w:t>
      </w:r>
    </w:p>
    <w:p>
      <w:pPr>
        <w:spacing w:after="120" w:before="0" w:line="480" w:lineRule="auto"/>
      </w:pPr>
      <w:r>
        <w:rPr>
          <w:rFonts w:ascii="Times New Roman" w:hAnsi="Times New Roman" w:eastAsia="Times New Roman"/>
          <w:b w:val="0"/>
          <w:i w:val="0"/>
          <w:sz w:val="24"/>
        </w:rPr>
        <w:t>Courseroom paste only. Third person. APA 7. Completes the Population node that sits beside the locked n = 12 sample.</w:t>
      </w:r>
    </w:p>
    <w:p>
      <w:pPr>
        <w:spacing w:after="160" w:before="240" w:line="480" w:lineRule="auto"/>
      </w:pPr>
      <w:r>
        <w:rPr>
          <w:rFonts w:ascii="Times New Roman" w:hAnsi="Times New Roman" w:eastAsia="Times New Roman"/>
          <w:b/>
          <w:i w:val="0"/>
          <w:color w:val="1F3A5F"/>
          <w:sz w:val="28"/>
        </w:rPr>
        <w:t>Population</w:t>
      </w:r>
    </w:p>
    <w:p>
      <w:pPr>
        <w:spacing w:after="120" w:before="0" w:line="480" w:lineRule="auto"/>
      </w:pPr>
      <w:r>
        <w:rPr>
          <w:rFonts w:ascii="Times New Roman" w:hAnsi="Times New Roman" w:eastAsia="Times New Roman"/>
          <w:b w:val="0"/>
          <w:i w:val="0"/>
          <w:sz w:val="24"/>
        </w:rPr>
        <w:t>The target population for this generic qualitative inquiry is defined as U.S. IT, network, systems, infrastructure, or operations managers in small and medium-sized enterprises who have a direct operational role in IT disaster-recovery coordination that uses an external recovery platform, managed recovery service, ITDRPaaS, or a functionally equivalent cloud-recovery capability (Caelli et al., 2003; Kahlke, 2014; Percy et al., 2015). An SME in this study is bounded at 10 to 200 personnel so that the population remains inside SME governance rather than large-enterprise command structures. The population is not vendor staff whose only role is to operate a recovery platform for clients, and it is not executives who hold no operational recovery responsibility. That definition keeps the inquiry on managers who can recount how competing restoration claims were handled when restoration had to be ranked, delayed, or declared done.</w:t>
      </w:r>
    </w:p>
    <w:p>
      <w:pPr>
        <w:spacing w:after="120" w:before="0" w:line="480" w:lineRule="auto"/>
      </w:pPr>
      <w:r>
        <w:rPr>
          <w:rFonts w:ascii="Times New Roman" w:hAnsi="Times New Roman" w:eastAsia="Times New Roman"/>
          <w:b w:val="0"/>
          <w:i w:val="0"/>
          <w:sz w:val="24"/>
        </w:rPr>
        <w:t>Membership in the population further requires recent, firsthand, platform-mediated recovery experience. A qualifying member must be able to name at least one disruption, failover, recovery test, or operational recovery in the preceding 36 months in which the external capability was used. That named event is the unit of talk for the critical-incident interview (Flanagan, 1954; Chell, 2004). A manager who cannot name such an event is not in the population and will not enter the sample. This recency and platform bound distinguishes the population from the broader set of IT managers who only know a written plan or a vendor demonstration.</w:t>
      </w:r>
    </w:p>
    <w:p>
      <w:pPr>
        <w:spacing w:after="120" w:before="0" w:line="480" w:lineRule="auto"/>
      </w:pPr>
      <w:r>
        <w:rPr>
          <w:rFonts w:ascii="Times New Roman" w:hAnsi="Times New Roman" w:eastAsia="Times New Roman"/>
          <w:b w:val="0"/>
          <w:i w:val="0"/>
          <w:sz w:val="24"/>
        </w:rPr>
        <w:t>This population definition is the pool from which the locked sample of 12 participants will be drawn. It is not itself the sample, and it is not a statistically representative frame of all U.S. SME recovery settings (Creswell &amp; Poth, 2018; Percy et al., 2015). The definition is written this tightly because information power depends on sample specificity: a narrow class of SME recovery events and a dense participant profile increase the information available from each interview (Malterud et al., 2016). The 12-participant sample, the inclusion and exclusion screens, and the individual recruitment path all depend on this population boundary remaining stable.</w:t>
      </w:r>
    </w:p>
    <w:p>
      <w:pPr>
        <w:spacing w:after="160" w:before="240" w:line="480" w:lineRule="auto"/>
      </w:pPr>
      <w:r>
        <w:rPr>
          <w:rFonts w:ascii="Times New Roman" w:hAnsi="Times New Roman" w:eastAsia="Times New Roman"/>
          <w:b/>
          <w:i w:val="0"/>
          <w:color w:val="1F3A5F"/>
          <w:sz w:val="28"/>
        </w:rPr>
        <w:t>References</w:t>
      </w:r>
    </w:p>
    <w:p>
      <w:pPr>
        <w:spacing w:after="120" w:before="0" w:line="480" w:lineRule="auto"/>
      </w:pPr>
      <w:r>
        <w:rPr>
          <w:rFonts w:ascii="Times New Roman" w:hAnsi="Times New Roman" w:eastAsia="Times New Roman"/>
          <w:b w:val="0"/>
          <w:i w:val="0"/>
          <w:sz w:val="24"/>
        </w:rPr>
        <w:t xml:space="preserve">Caelli, K., Ray, L., &amp; Mill, J. (2003). ‘Clear as mud’: Toward greater clarity in generic qualitative research. </w:t>
      </w:r>
      <w:r>
        <w:rPr>
          <w:rFonts w:ascii="Times New Roman" w:hAnsi="Times New Roman" w:eastAsia="Times New Roman"/>
          <w:i/>
          <w:sz w:val="24"/>
        </w:rPr>
        <w:t>International Journal of Qualitative Methods, 2</w:t>
      </w:r>
      <w:r>
        <w:rPr>
          <w:rFonts w:ascii="Times New Roman" w:hAnsi="Times New Roman" w:eastAsia="Times New Roman"/>
          <w:b w:val="0"/>
          <w:i w:val="0"/>
          <w:sz w:val="24"/>
        </w:rPr>
        <w:t>(2), 1–13. https://doi.org/10.1177/160940690300200201</w:t>
      </w:r>
    </w:p>
    <w:p>
      <w:pPr>
        <w:spacing w:after="120" w:before="0" w:line="480" w:lineRule="auto"/>
      </w:pPr>
      <w:r>
        <w:rPr>
          <w:rFonts w:ascii="Times New Roman" w:hAnsi="Times New Roman" w:eastAsia="Times New Roman"/>
          <w:b w:val="0"/>
          <w:i w:val="0"/>
          <w:sz w:val="24"/>
        </w:rPr>
        <w:t xml:space="preserve">Chell, E. (2004). Critical incident technique. In C. Cassell &amp; G. Symon (Eds.), </w:t>
      </w:r>
      <w:r>
        <w:rPr>
          <w:rFonts w:ascii="Times New Roman" w:hAnsi="Times New Roman" w:eastAsia="Times New Roman"/>
          <w:i/>
          <w:sz w:val="24"/>
        </w:rPr>
        <w:t>Essential guide to qualitative methods in organizational research</w:t>
      </w:r>
      <w:r>
        <w:rPr>
          <w:rFonts w:ascii="Times New Roman" w:hAnsi="Times New Roman" w:eastAsia="Times New Roman"/>
          <w:b w:val="0"/>
          <w:i w:val="0"/>
          <w:sz w:val="24"/>
        </w:rPr>
        <w:t xml:space="preserve"> (pp. 45–60). SAGE.</w:t>
      </w:r>
    </w:p>
    <w:p>
      <w:pPr>
        <w:spacing w:after="120" w:before="0" w:line="480" w:lineRule="auto"/>
      </w:pPr>
      <w:r>
        <w:rPr>
          <w:rFonts w:ascii="Times New Roman" w:hAnsi="Times New Roman" w:eastAsia="Times New Roman"/>
          <w:b w:val="0"/>
          <w:i w:val="0"/>
          <w:sz w:val="24"/>
        </w:rPr>
        <w:t xml:space="preserve">Creswell, J. W., &amp; Poth, C. N. (2018). </w:t>
      </w:r>
      <w:r>
        <w:rPr>
          <w:rFonts w:ascii="Times New Roman" w:hAnsi="Times New Roman" w:eastAsia="Times New Roman"/>
          <w:i/>
          <w:sz w:val="24"/>
        </w:rPr>
        <w:t>Qualitative inquiry and research design: Choosing among five approaches</w:t>
      </w:r>
      <w:r>
        <w:rPr>
          <w:rFonts w:ascii="Times New Roman" w:hAnsi="Times New Roman" w:eastAsia="Times New Roman"/>
          <w:b w:val="0"/>
          <w:i w:val="0"/>
          <w:sz w:val="24"/>
        </w:rPr>
        <w:t xml:space="preserve"> (4th ed.). SAGE.</w:t>
      </w:r>
    </w:p>
    <w:p>
      <w:pPr>
        <w:spacing w:after="120" w:before="0" w:line="480" w:lineRule="auto"/>
      </w:pPr>
      <w:r>
        <w:rPr>
          <w:rFonts w:ascii="Times New Roman" w:hAnsi="Times New Roman" w:eastAsia="Times New Roman"/>
          <w:b w:val="0"/>
          <w:i w:val="0"/>
          <w:sz w:val="24"/>
        </w:rPr>
        <w:t xml:space="preserve">Flanagan, J. C. (1954). The critical incident technique. </w:t>
      </w:r>
      <w:r>
        <w:rPr>
          <w:rFonts w:ascii="Times New Roman" w:hAnsi="Times New Roman" w:eastAsia="Times New Roman"/>
          <w:i/>
          <w:sz w:val="24"/>
        </w:rPr>
        <w:t>Psychological Bulletin, 51</w:t>
      </w:r>
      <w:r>
        <w:rPr>
          <w:rFonts w:ascii="Times New Roman" w:hAnsi="Times New Roman" w:eastAsia="Times New Roman"/>
          <w:b w:val="0"/>
          <w:i w:val="0"/>
          <w:sz w:val="24"/>
        </w:rPr>
        <w:t>(4), 327–358. https://doi.org/10.1037/h0061470</w:t>
      </w:r>
    </w:p>
    <w:p>
      <w:pPr>
        <w:spacing w:after="120" w:before="0" w:line="480" w:lineRule="auto"/>
      </w:pPr>
      <w:r>
        <w:rPr>
          <w:rFonts w:ascii="Times New Roman" w:hAnsi="Times New Roman" w:eastAsia="Times New Roman"/>
          <w:b w:val="0"/>
          <w:i w:val="0"/>
          <w:sz w:val="24"/>
        </w:rPr>
        <w:t xml:space="preserve">Kahlke, R. M. (2014). Generic qualitative approaches: Pitfalls and benefits of methodological mixology. </w:t>
      </w:r>
      <w:r>
        <w:rPr>
          <w:rFonts w:ascii="Times New Roman" w:hAnsi="Times New Roman" w:eastAsia="Times New Roman"/>
          <w:i/>
          <w:sz w:val="24"/>
        </w:rPr>
        <w:t>International Journal of Qualitative Methods, 13</w:t>
      </w:r>
      <w:r>
        <w:rPr>
          <w:rFonts w:ascii="Times New Roman" w:hAnsi="Times New Roman" w:eastAsia="Times New Roman"/>
          <w:b w:val="0"/>
          <w:i w:val="0"/>
          <w:sz w:val="24"/>
        </w:rPr>
        <w:t>(1), 37–52. https://doi.org/10.1177/160940691401300119</w:t>
      </w:r>
    </w:p>
    <w:p>
      <w:pPr>
        <w:spacing w:after="120" w:before="0" w:line="480" w:lineRule="auto"/>
      </w:pPr>
      <w:r>
        <w:rPr>
          <w:rFonts w:ascii="Times New Roman" w:hAnsi="Times New Roman" w:eastAsia="Times New Roman"/>
          <w:b w:val="0"/>
          <w:i w:val="0"/>
          <w:sz w:val="24"/>
        </w:rPr>
        <w:t xml:space="preserve">Malterud, K., Siersma, V. D., &amp; Guassora, A. D. (2016). Sample size in qualitative interview studies: Guided by information power. </w:t>
      </w:r>
      <w:r>
        <w:rPr>
          <w:rFonts w:ascii="Times New Roman" w:hAnsi="Times New Roman" w:eastAsia="Times New Roman"/>
          <w:i/>
          <w:sz w:val="24"/>
        </w:rPr>
        <w:t>Qualitative Health Research, 26</w:t>
      </w:r>
      <w:r>
        <w:rPr>
          <w:rFonts w:ascii="Times New Roman" w:hAnsi="Times New Roman" w:eastAsia="Times New Roman"/>
          <w:b w:val="0"/>
          <w:i w:val="0"/>
          <w:sz w:val="24"/>
        </w:rPr>
        <w:t>(13), 1753–1760. https://doi.org/10.1177/1049732315617444</w:t>
      </w:r>
    </w:p>
    <w:p>
      <w:pPr>
        <w:spacing w:after="120" w:before="0" w:line="480" w:lineRule="auto"/>
      </w:pPr>
      <w:r>
        <w:rPr>
          <w:rFonts w:ascii="Times New Roman" w:hAnsi="Times New Roman" w:eastAsia="Times New Roman"/>
          <w:b w:val="0"/>
          <w:i w:val="0"/>
          <w:sz w:val="24"/>
        </w:rPr>
        <w:t xml:space="preserve">Percy, W. H., Kostere, K., &amp; Kostere, S. (2015). Generic qualitative research in psychology. </w:t>
      </w:r>
      <w:r>
        <w:rPr>
          <w:rFonts w:ascii="Times New Roman" w:hAnsi="Times New Roman" w:eastAsia="Times New Roman"/>
          <w:i/>
          <w:sz w:val="24"/>
        </w:rPr>
        <w:t>The Qualitative Report, 20</w:t>
      </w:r>
      <w:r>
        <w:rPr>
          <w:rFonts w:ascii="Times New Roman" w:hAnsi="Times New Roman" w:eastAsia="Times New Roman"/>
          <w:b w:val="0"/>
          <w:i w:val="0"/>
          <w:sz w:val="24"/>
        </w:rPr>
        <w:t>(2), 76–85. https://doi.org/10.46743/2160-3715/2015.2097</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t xml:space="preserve">Download copy for Project Plan use  ·  Page </w:t>
    </w:r>
    <w:r/>
    <w:r>
      <w:rPr>
        <w:rFonts w:ascii="Times New Roman" w:hAnsi="Times New Roman" w:eastAsia="Times New Roman"/>
        <w:sz w:val="20"/>
      </w:rPr>
      <w:fldChar w:fldCharType="begin"/>
    </w:r>
    <w:r>
      <w:rPr>
        <w:rFonts w:ascii="Times New Roman" w:hAnsi="Times New Roman" w:eastAsia="Times New Roman"/>
        <w:sz w:val="20"/>
      </w:rPr>
      <w:instrText xml:space="preserve"> PAGE </w:instrText>
    </w:r>
    <w:r>
      <w:rPr>
        <w:rFonts w:ascii="Times New Roman" w:hAnsi="Times New Roman" w:eastAsia="Times New Roman"/>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i/>
        <w:sz w:val="20"/>
      </w:rPr>
      <w:t>Walker — RSCH-V8927 / BMGT8044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