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Scored against The Alignment Map: Guiding Questions</w:t>
      </w:r>
    </w:p>
    <w:p>
      <w:pPr>
        <w:spacing w:after="360" w:before="0" w:line="480" w:lineRule="auto"/>
        <w:jc w:val="center"/>
      </w:pPr>
      <w:r>
        <w:rPr>
          <w:rFonts w:ascii="Times New Roman" w:hAnsi="Times New Roman" w:eastAsia="Times New Roman"/>
          <w:b/>
          <w:i w:val="0"/>
          <w:color w:val="1F3A5F"/>
          <w:sz w:val="32"/>
        </w:rPr>
        <w:t>Alignment Assessment of Data Collection Against the Gap</w:t>
      </w:r>
    </w:p>
    <w:p>
      <w:pPr>
        <w:spacing w:after="240" w:before="0" w:line="480" w:lineRule="auto"/>
      </w:pPr>
      <w:r>
        <w:rPr>
          <w:rFonts w:ascii="Times New Roman" w:hAnsi="Times New Roman" w:eastAsia="Times New Roman"/>
          <w:b w:val="0"/>
          <w:i/>
          <w:sz w:val="24"/>
        </w:rPr>
        <w:t>Items marked NEW or HIGHLIGHT are new written efforts that were not present as steps in the prior data-collection draft. Paste Section 9 of the revision packet into the Project Plan. Use the interview protocol and artifact pipeline as appendices.</w:t>
      </w:r>
    </w:p>
    <w:p>
      <w:pPr>
        <w:spacing w:after="120" w:before="0" w:line="480" w:lineRule="auto"/>
      </w:pPr>
      <w:r>
        <w:rPr>
          <w:rFonts w:ascii="Times New Roman" w:hAnsi="Times New Roman" w:eastAsia="Times New Roman"/>
          <w:b/>
          <w:i w:val="0"/>
          <w:sz w:val="24"/>
        </w:rPr>
        <w:t>Course context:</w:t>
      </w:r>
      <w:r>
        <w:rPr>
          <w:rFonts w:ascii="Times New Roman" w:hAnsi="Times New Roman" w:eastAsia="Times New Roman"/>
          <w:b w:val="0"/>
          <w:i w:val="0"/>
          <w:sz w:val="24"/>
        </w:rPr>
        <w:t xml:space="preserve"> RSCH-V8927 Doctoral Project Development — Framework Development (building on BMGT8044)</w:t>
      </w:r>
    </w:p>
    <w:p>
      <w:pPr>
        <w:spacing w:after="120" w:before="0" w:line="480" w:lineRule="auto"/>
      </w:pPr>
      <w:r>
        <w:rPr>
          <w:rFonts w:ascii="Times New Roman" w:hAnsi="Times New Roman" w:eastAsia="Times New Roman"/>
          <w:b/>
          <w:i w:val="0"/>
          <w:sz w:val="24"/>
        </w:rPr>
        <w:t>Project:</w:t>
      </w:r>
      <w:r>
        <w:rPr>
          <w:rFonts w:ascii="Times New Roman" w:hAnsi="Times New Roman" w:eastAsia="Times New Roman"/>
          <w:b w:val="0"/>
          <w:i w:val="0"/>
          <w:sz w:val="24"/>
        </w:rPr>
        <w:t xml:space="preserve"> Generic qualitative inquiry (GQI) of U.S. SME IT/network managers’ disaster-recovery governance on external platforms (ITDRPaaS)</w:t>
      </w:r>
    </w:p>
    <w:p>
      <w:pPr>
        <w:spacing w:after="120" w:before="0" w:line="480" w:lineRule="auto"/>
      </w:pPr>
      <w:r>
        <w:rPr>
          <w:rFonts w:ascii="Times New Roman" w:hAnsi="Times New Roman" w:eastAsia="Times New Roman"/>
          <w:b/>
          <w:i w:val="0"/>
          <w:sz w:val="24"/>
        </w:rPr>
        <w:t>Media applied:</w:t>
      </w:r>
      <w:r>
        <w:rPr>
          <w:rFonts w:ascii="Times New Roman" w:hAnsi="Times New Roman" w:eastAsia="Times New Roman"/>
          <w:b w:val="0"/>
          <w:i w:val="0"/>
          <w:sz w:val="24"/>
        </w:rPr>
        <w:t xml:space="preserve"> </w:t>
      </w:r>
      <w:r>
        <w:rPr>
          <w:rFonts w:ascii="Times New Roman" w:hAnsi="Times New Roman" w:eastAsia="Times New Roman"/>
          <w:i/>
          <w:sz w:val="24"/>
        </w:rPr>
        <w:t>The Alignment Map: Guiding Questions</w:t>
      </w:r>
      <w:r>
        <w:rPr>
          <w:rFonts w:ascii="Times New Roman" w:hAnsi="Times New Roman" w:eastAsia="Times New Roman"/>
          <w:b w:val="0"/>
          <w:i w:val="0"/>
          <w:sz w:val="24"/>
        </w:rPr>
        <w:t xml:space="preserve"> (courseroom interactive map: “Select each marker icon to learn about each component of the framework”) and </w:t>
      </w:r>
      <w:r>
        <w:rPr>
          <w:rFonts w:ascii="Times New Roman" w:hAnsi="Times New Roman" w:eastAsia="Times New Roman"/>
          <w:i/>
          <w:sz w:val="24"/>
        </w:rPr>
        <w:t>Project Plan Alignment Tracking</w:t>
      </w:r>
    </w:p>
    <w:p>
      <w:pPr>
        <w:spacing w:after="120" w:before="0" w:line="480" w:lineRule="auto"/>
      </w:pPr>
      <w:r>
        <w:rPr>
          <w:rFonts w:ascii="Times New Roman" w:hAnsi="Times New Roman" w:eastAsia="Times New Roman"/>
          <w:b/>
          <w:i w:val="0"/>
          <w:sz w:val="24"/>
        </w:rPr>
        <w:t>Paste-ready revisions:</w:t>
      </w:r>
      <w:r>
        <w:rPr>
          <w:rFonts w:ascii="Times New Roman" w:hAnsi="Times New Roman" w:eastAsia="Times New Roman"/>
          <w:b w:val="0"/>
          <w:i w:val="0"/>
          <w:sz w:val="24"/>
        </w:rPr>
        <w:t xml:space="preserve"> [collection-analysis-revision-packet.md](collection-analysis-revision-packet.md) — detailed protocol, artifact pipeline, analysis bridge, citation repairs, language-drift swaps, and ethics SOPs. Items marked </w:t>
      </w:r>
      <w:r>
        <w:rPr>
          <w:rFonts w:ascii="Times New Roman" w:hAnsi="Times New Roman" w:eastAsia="Times New Roman"/>
          <w:b/>
          <w:i w:val="0"/>
          <w:sz w:val="24"/>
        </w:rPr>
        <w:t>NEW</w:t>
      </w:r>
      <w:r>
        <w:rPr>
          <w:rFonts w:ascii="Times New Roman" w:hAnsi="Times New Roman" w:eastAsia="Times New Roman"/>
          <w:b w:val="0"/>
          <w:i w:val="0"/>
          <w:sz w:val="24"/>
        </w:rPr>
        <w:t xml:space="preserve"> did not exist as written steps in the prior draft.</w:t>
      </w:r>
    </w:p>
    <w:p>
      <w:pPr>
        <w:spacing w:after="160" w:before="240" w:line="480" w:lineRule="auto"/>
      </w:pPr>
      <w:r>
        <w:rPr>
          <w:rFonts w:ascii="Times New Roman" w:hAnsi="Times New Roman" w:eastAsia="Times New Roman"/>
          <w:b/>
          <w:i w:val="0"/>
          <w:color w:val="1F3A5F"/>
          <w:sz w:val="28"/>
        </w:rPr>
        <w:t>Executive Summary</w:t>
      </w:r>
    </w:p>
    <w:p>
      <w:pPr>
        <w:spacing w:after="120" w:before="0" w:line="480" w:lineRule="auto"/>
      </w:pPr>
      <w:r>
        <w:rPr>
          <w:rFonts w:ascii="Times New Roman" w:hAnsi="Times New Roman" w:eastAsia="Times New Roman"/>
          <w:b w:val="0"/>
          <w:i w:val="0"/>
          <w:sz w:val="24"/>
        </w:rPr>
        <w:t xml:space="preserve">Read against the official Alignment Map, the collection design is </w:t>
      </w:r>
      <w:r>
        <w:rPr>
          <w:rFonts w:ascii="Times New Roman" w:hAnsi="Times New Roman" w:eastAsia="Times New Roman"/>
          <w:b/>
          <w:i w:val="0"/>
          <w:sz w:val="24"/>
        </w:rPr>
        <w:t>conceptually strong and operationally incomplete</w:t>
      </w:r>
      <w:r>
        <w:rPr>
          <w:rFonts w:ascii="Times New Roman" w:hAnsi="Times New Roman" w:eastAsia="Times New Roman"/>
          <w:b w:val="0"/>
          <w:i w:val="0"/>
          <w:sz w:val="24"/>
        </w:rPr>
        <w:t>. The map requires a visible downward chain:</w:t>
      </w:r>
    </w:p>
    <w:p>
      <w:pPr>
        <w:spacing w:after="120" w:before="0" w:line="480" w:lineRule="auto"/>
      </w:pPr>
      <w:r>
        <w:rPr>
          <w:rFonts w:ascii="Times New Roman" w:hAnsi="Times New Roman" w:eastAsia="Times New Roman"/>
          <w:b/>
          <w:i w:val="0"/>
          <w:sz w:val="24"/>
        </w:rPr>
        <w:t>Topic/Problem → What We Know / What We Don’t Know → Gap → Questions → Constructs/Phenomena → Measures/Artifacts → Data Collection → Data Analysis</w:t>
      </w:r>
    </w:p>
    <w:p>
      <w:pPr>
        <w:spacing w:after="120" w:before="0" w:line="480" w:lineRule="auto"/>
      </w:pPr>
      <w:r>
        <w:rPr>
          <w:rFonts w:ascii="Times New Roman" w:hAnsi="Times New Roman" w:eastAsia="Times New Roman"/>
          <w:b w:val="0"/>
          <w:i w:val="0"/>
          <w:sz w:val="24"/>
        </w:rPr>
        <w:t>with a right-hand methodology column (</w:t>
      </w:r>
      <w:r>
        <w:rPr>
          <w:rFonts w:ascii="Times New Roman" w:hAnsi="Times New Roman" w:eastAsia="Times New Roman"/>
          <w:b/>
          <w:i w:val="0"/>
          <w:sz w:val="24"/>
        </w:rPr>
        <w:t>Methodology → Population → Sample → Recruitment</w:t>
      </w:r>
      <w:r>
        <w:rPr>
          <w:rFonts w:ascii="Times New Roman" w:hAnsi="Times New Roman" w:eastAsia="Times New Roman"/>
          <w:b w:val="0"/>
          <w:i w:val="0"/>
          <w:sz w:val="24"/>
        </w:rPr>
        <w:t>) and a left-hand quality column (</w:t>
      </w:r>
      <w:r>
        <w:rPr>
          <w:rFonts w:ascii="Times New Roman" w:hAnsi="Times New Roman" w:eastAsia="Times New Roman"/>
          <w:b/>
          <w:i w:val="0"/>
          <w:sz w:val="24"/>
        </w:rPr>
        <w:t>Procedures → Dependability</w:t>
      </w:r>
      <w:r>
        <w:rPr>
          <w:rFonts w:ascii="Times New Roman" w:hAnsi="Times New Roman" w:eastAsia="Times New Roman"/>
          <w:b w:val="0"/>
          <w:i w:val="0"/>
          <w:sz w:val="24"/>
        </w:rPr>
        <w:t>).</w:t>
      </w:r>
    </w:p>
    <w:p>
      <w:pPr>
        <w:spacing w:after="120" w:before="0" w:line="480" w:lineRule="auto"/>
      </w:pPr>
      <w:r>
        <w:rPr>
          <w:rFonts w:ascii="Times New Roman" w:hAnsi="Times New Roman" w:eastAsia="Times New Roman"/>
          <w:b w:val="0"/>
          <w:i w:val="0"/>
          <w:sz w:val="24"/>
        </w:rPr>
        <w:t xml:space="preserve">Your gap, constructs, and intended measures sit in the right boxes. </w:t>
      </w:r>
      <w:r>
        <w:rPr>
          <w:rFonts w:ascii="Times New Roman" w:hAnsi="Times New Roman" w:eastAsia="Times New Roman"/>
          <w:b/>
          <w:i w:val="0"/>
          <w:sz w:val="24"/>
        </w:rPr>
        <w:t>Data Collection</w:t>
      </w:r>
      <w:r>
        <w:rPr>
          <w:rFonts w:ascii="Times New Roman" w:hAnsi="Times New Roman" w:eastAsia="Times New Roman"/>
          <w:b w:val="0"/>
          <w:i w:val="0"/>
          <w:sz w:val="24"/>
        </w:rPr>
        <w:t xml:space="preserve"> is the weak node: the draft names instruments but does not show collection steps. Where those steps are missing, this memo does not invent a new framework. It uses </w:t>
      </w:r>
      <w:r>
        <w:rPr>
          <w:rFonts w:ascii="Times New Roman" w:hAnsi="Times New Roman" w:eastAsia="Times New Roman"/>
          <w:b/>
          <w:i w:val="0"/>
          <w:sz w:val="24"/>
        </w:rPr>
        <w:t>qualitative stakeholder-salience</w:t>
      </w:r>
      <w:r>
        <w:rPr>
          <w:rFonts w:ascii="Times New Roman" w:hAnsi="Times New Roman" w:eastAsia="Times New Roman"/>
          <w:b w:val="0"/>
          <w:i w:val="0"/>
          <w:sz w:val="24"/>
        </w:rPr>
        <w:t xml:space="preserve"> (power, legitimacy, urgency) to guide the missing questions, then follows the same incident into decision rights, escalation, and recoverability assurance (Mitchell et al., 1997).</w:t>
      </w:r>
    </w:p>
    <w:p>
      <w:pPr>
        <w:spacing w:after="120" w:before="0" w:line="480" w:lineRule="auto"/>
      </w:pPr>
      <w:r>
        <w:rPr>
          <w:rFonts w:ascii="Times New Roman" w:hAnsi="Times New Roman" w:eastAsia="Times New Roman"/>
          <w:b w:val="0"/>
          <w:i w:val="0"/>
          <w:sz w:val="24"/>
        </w:rPr>
        <w:t xml:space="preserve">Data Analysis Practice 2 already supplies the </w:t>
      </w:r>
      <w:r>
        <w:rPr>
          <w:rFonts w:ascii="Times New Roman" w:hAnsi="Times New Roman" w:eastAsia="Times New Roman"/>
          <w:b/>
          <w:i w:val="0"/>
          <w:sz w:val="24"/>
        </w:rPr>
        <w:t>Data Analysis</w:t>
      </w:r>
      <w:r>
        <w:rPr>
          <w:rFonts w:ascii="Times New Roman" w:hAnsi="Times New Roman" w:eastAsia="Times New Roman"/>
          <w:b w:val="0"/>
          <w:i w:val="0"/>
          <w:sz w:val="24"/>
        </w:rPr>
        <w:t xml:space="preserve"> node (four-step generic thematic reduction). That node stays aligned only if the seven labels remain sensitizing probes, not pre-named themes.</w:t>
      </w:r>
    </w:p>
    <w:p>
      <w:pPr>
        <w:spacing w:after="120" w:before="0" w:line="480" w:lineRule="auto"/>
      </w:pPr>
      <w:r>
        <w:rPr>
          <w:rFonts w:ascii="Times New Roman" w:hAnsi="Times New Roman" w:eastAsia="Times New Roman"/>
          <w:b/>
          <w:i w:val="0"/>
          <w:sz w:val="24"/>
        </w:rPr>
        <w:t>Overall Alignment Map rating: Partial.</w:t>
      </w:r>
      <w:r>
        <w:rPr>
          <w:rFonts w:ascii="Times New Roman" w:hAnsi="Times New Roman" w:eastAsia="Times New Roman"/>
          <w:b w:val="0"/>
          <w:i w:val="0"/>
          <w:sz w:val="24"/>
        </w:rPr>
        <w:t xml:space="preserve"> Gap → Questions → Constructs is coherent. Measures/Artifacts → Data Collection → Data Analysis is not yet shown as a collectable, reducible path.</w:t>
      </w:r>
    </w:p>
    <w:p>
      <w:pPr>
        <w:spacing w:after="160" w:before="240" w:line="480" w:lineRule="auto"/>
      </w:pPr>
      <w:r>
        <w:rPr>
          <w:rFonts w:ascii="Times New Roman" w:hAnsi="Times New Roman" w:eastAsia="Times New Roman"/>
          <w:b/>
          <w:i w:val="0"/>
          <w:color w:val="1F3A5F"/>
          <w:sz w:val="28"/>
        </w:rPr>
        <w:t>1. The Official Alignment Map</w:t>
      </w:r>
    </w:p>
    <w:p>
      <w:pPr>
        <w:spacing w:after="120" w:before="0" w:line="480" w:lineRule="auto"/>
      </w:pPr>
      <w:r>
        <w:rPr>
          <w:rFonts w:ascii="Times New Roman" w:hAnsi="Times New Roman" w:eastAsia="Times New Roman"/>
          <w:b w:val="0"/>
          <w:i w:val="0"/>
          <w:sz w:val="24"/>
        </w:rPr>
        <w:t>The courseroom media is an interactive flowchart. Each node has a marker icon; selecting the marker opens that component’s guiding questions. Nodes marked with an asterisk (*) on the map are the design/operations cluster (methodology, population, sample, recruitment, procedures, dependability, data collection).</w:t>
      </w:r>
    </w:p>
    <w:p>
      <w:pPr>
        <w:spacing w:after="120" w:before="0" w:line="480" w:lineRule="auto"/>
      </w:pPr>
      <w:r>
        <w:rPr>
          <w:rFonts w:ascii="Times New Roman" w:hAnsi="Times New Roman" w:eastAsia="Times New Roman"/>
          <w:b/>
          <w:i w:val="0"/>
          <w:sz w:val="24"/>
        </w:rPr>
        <w:t>Data Collection is not a free-standing choice.</w:t>
      </w:r>
      <w:r>
        <w:rPr>
          <w:rFonts w:ascii="Times New Roman" w:hAnsi="Times New Roman" w:eastAsia="Times New Roman"/>
          <w:b w:val="0"/>
          <w:i w:val="0"/>
          <w:sz w:val="24"/>
        </w:rPr>
        <w:t xml:space="preserve"> On the map it is preceded by Measures/Artifacts, which are preceded by Constructs, which are preceded by Questions, which are preceded by the Gap. Laterally it must stay consistent with Procedures and Dependability, and with the Methodology → Population → Sample → Recruitment column.</w:t>
      </w:r>
    </w:p>
    <w:p>
      <w:pPr>
        <w:spacing w:after="120" w:before="0" w:line="480" w:lineRule="auto"/>
      </w:pPr>
      <w:r>
        <w:rPr>
          <w:rFonts w:ascii="Times New Roman" w:hAnsi="Times New Roman" w:eastAsia="Times New Roman"/>
          <w:b/>
          <w:i w:val="0"/>
          <w:sz w:val="24"/>
        </w:rPr>
        <w:t>Fallback rule.</w:t>
      </w:r>
      <w:r>
        <w:rPr>
          <w:rFonts w:ascii="Times New Roman" w:hAnsi="Times New Roman" w:eastAsia="Times New Roman"/>
          <w:b w:val="0"/>
          <w:i w:val="0"/>
          <w:sz w:val="24"/>
        </w:rPr>
        <w:t xml:space="preserve"> If a node has no written steps in the project-plan draft, qualitative stakeholder-salience guides that node: whose claim had power, whose claim was treated as legitimate, what made recovery urgent, who held the decision right, what triggered escalation, and what counted as enough proof (Mitchell et al., 1997; Lowry et al., 2025).</w:t>
      </w:r>
    </w:p>
    <w:p>
      <w:pPr>
        <w:spacing w:after="120" w:before="0" w:line="480" w:lineRule="auto"/>
      </w:pPr>
      <w:r>
        <w:rPr>
          <w:rFonts w:ascii="Times New Roman" w:hAnsi="Times New Roman" w:eastAsia="Times New Roman"/>
          <w:b w:val="0"/>
          <w:i w:val="0"/>
          <w:sz w:val="24"/>
        </w:rPr>
        <w:t>Supporting Capella guides (not a substitute for the map):</w:t>
      </w:r>
    </w:p>
    <w:p>
      <w:pPr>
        <w:pStyle w:val="ListBullet"/>
        <w:spacing w:line="480" w:lineRule="auto"/>
      </w:pPr>
      <w:r>
        <w:rPr>
          <w:rFonts w:ascii="Times New Roman" w:hAnsi="Times New Roman" w:eastAsia="Times New Roman"/>
          <w:b w:val="0"/>
          <w:i w:val="0"/>
          <w:sz w:val="24"/>
        </w:rPr>
        <w:t>[Writing Guiding Questions](https://campustools.capella.edu/BBCourse_Production/PhD_Colloquia_C4C/Track_3/phd_t3_u07s1_writeguide.html) — open, answerable, assumption-explicit items mapped to the question.</w:t>
      </w:r>
    </w:p>
    <w:p>
      <w:pPr>
        <w:pStyle w:val="ListBullet"/>
        <w:spacing w:line="480" w:lineRule="auto"/>
      </w:pPr>
      <w:r>
        <w:rPr>
          <w:rFonts w:ascii="Times New Roman" w:hAnsi="Times New Roman" w:eastAsia="Times New Roman"/>
          <w:b w:val="0"/>
          <w:i w:val="0"/>
          <w:sz w:val="24"/>
        </w:rPr>
        <w:t xml:space="preserve">[Qualitative Data Collection Methods – SOBT](https://campustools.capella.edu/BBCourse_Production/PhD_Colloquia/Track_3/SOBT/phd_t3_sobt_u02s6_h01_qualcoll.html) — GQI collects theoretically informed accounts of </w:t>
      </w:r>
      <w:r>
        <w:rPr>
          <w:rFonts w:ascii="Times New Roman" w:hAnsi="Times New Roman" w:eastAsia="Times New Roman"/>
          <w:b/>
          <w:i w:val="0"/>
          <w:sz w:val="24"/>
        </w:rPr>
        <w:t>external events and practices</w:t>
      </w:r>
      <w:r>
        <w:rPr>
          <w:rFonts w:ascii="Times New Roman" w:hAnsi="Times New Roman" w:eastAsia="Times New Roman"/>
          <w:b w:val="0"/>
          <w:i w:val="0"/>
          <w:sz w:val="24"/>
        </w:rPr>
        <w:t>, not phenomenological essence.</w:t>
      </w:r>
    </w:p>
    <w:p>
      <w:pPr>
        <w:spacing w:after="160" w:before="240" w:line="480" w:lineRule="auto"/>
      </w:pPr>
      <w:r>
        <w:rPr>
          <w:rFonts w:ascii="Times New Roman" w:hAnsi="Times New Roman" w:eastAsia="Times New Roman"/>
          <w:b/>
          <w:i w:val="0"/>
          <w:color w:val="1F3A5F"/>
          <w:sz w:val="28"/>
        </w:rPr>
        <w:t>2. Node-by-Node Alignment (Marker Walk)</w:t>
      </w:r>
    </w:p>
    <w:p>
      <w:pPr>
        <w:spacing w:after="120" w:before="0" w:line="480" w:lineRule="auto"/>
      </w:pPr>
      <w:r>
        <w:rPr>
          <w:rFonts w:ascii="Times New Roman" w:hAnsi="Times New Roman" w:eastAsia="Times New Roman"/>
          <w:b w:val="0"/>
          <w:i w:val="0"/>
          <w:sz w:val="24"/>
        </w:rPr>
        <w:t xml:space="preserve">Each marker below is scored </w:t>
      </w:r>
      <w:r>
        <w:rPr>
          <w:rFonts w:ascii="Times New Roman" w:hAnsi="Times New Roman" w:eastAsia="Times New Roman"/>
          <w:b/>
          <w:i w:val="0"/>
          <w:sz w:val="24"/>
        </w:rPr>
        <w:t>Strong / Partial / Weak</w:t>
      </w:r>
      <w:r>
        <w:rPr>
          <w:rFonts w:ascii="Times New Roman" w:hAnsi="Times New Roman" w:eastAsia="Times New Roman"/>
          <w:b w:val="0"/>
          <w:i w:val="0"/>
          <w:sz w:val="24"/>
        </w:rPr>
        <w:t xml:space="preserve"> against the draft you supplied (gap, proposed data sources, detailed procedures, trustworthiness) and against Data Analysis Practice 2.</w:t>
      </w:r>
    </w:p>
    <w:p>
      <w:pPr>
        <w:spacing w:after="160" w:before="240" w:line="480" w:lineRule="auto"/>
      </w:pPr>
      <w:r>
        <w:rPr>
          <w:rFonts w:ascii="Times New Roman" w:hAnsi="Times New Roman" w:eastAsia="Times New Roman"/>
          <w:b/>
          <w:i w:val="0"/>
          <w:color w:val="1F3A5F"/>
          <w:sz w:val="24"/>
        </w:rPr>
        <w:t>2.1 Topic / Problem — Strong</w:t>
      </w:r>
    </w:p>
    <w:p>
      <w:pPr>
        <w:spacing w:after="120" w:before="0" w:line="480" w:lineRule="auto"/>
      </w:pPr>
      <w:r>
        <w:rPr>
          <w:rFonts w:ascii="Times New Roman" w:hAnsi="Times New Roman" w:eastAsia="Times New Roman"/>
          <w:b w:val="0"/>
          <w:i w:val="0"/>
          <w:sz w:val="24"/>
        </w:rPr>
        <w:t>The topic is SME IT disaster-recovery governance on external platforms during organizational disruption. The problem is not “recovery tools fail.” It is that managers must handle competing stakeholder claims under time pressure without a clear account of how authority and proof are enacted. That is a qualitative practice problem, not a variance problem. The Chapter I Need opening states the specialization (PhD in Business Management, Information Technology Management) and how this IT-governance problem specifically aligns with it ([chapter-i-need-for-the-study.md](chapter-i-need-for-the-study.md)).</w:t>
      </w:r>
    </w:p>
    <w:p>
      <w:pPr>
        <w:spacing w:after="160" w:before="240" w:line="480" w:lineRule="auto"/>
      </w:pPr>
      <w:r>
        <w:rPr>
          <w:rFonts w:ascii="Times New Roman" w:hAnsi="Times New Roman" w:eastAsia="Times New Roman"/>
          <w:b/>
          <w:i w:val="0"/>
          <w:color w:val="1F3A5F"/>
          <w:sz w:val="24"/>
        </w:rPr>
        <w:t>2.2 What We Know — Strong</w:t>
      </w:r>
    </w:p>
    <w:p>
      <w:pPr>
        <w:spacing w:after="120" w:before="0" w:line="480" w:lineRule="auto"/>
      </w:pPr>
      <w:r>
        <w:rPr>
          <w:rFonts w:ascii="Times New Roman" w:hAnsi="Times New Roman" w:eastAsia="Times New Roman"/>
          <w:b w:val="0"/>
          <w:i w:val="0"/>
          <w:sz w:val="24"/>
        </w:rPr>
        <w:t>The draft correctly treats as known:</w:t>
      </w:r>
    </w:p>
    <w:p>
      <w:pPr>
        <w:pStyle w:val="ListBullet"/>
        <w:spacing w:line="480" w:lineRule="auto"/>
      </w:pPr>
      <w:r>
        <w:rPr>
          <w:rFonts w:ascii="Times New Roman" w:hAnsi="Times New Roman" w:eastAsia="Times New Roman"/>
          <w:b w:val="0"/>
          <w:i w:val="0"/>
          <w:sz w:val="24"/>
        </w:rPr>
        <w:t>Organizations must manage competing stakeholder claims and sustain legitimacy (Donaldson &amp; Preston, 1995; Freeman et al., 2004).</w:t>
      </w:r>
    </w:p>
    <w:p>
      <w:pPr>
        <w:pStyle w:val="ListBullet"/>
        <w:spacing w:line="480" w:lineRule="auto"/>
      </w:pPr>
      <w:r>
        <w:rPr>
          <w:rFonts w:ascii="Times New Roman" w:hAnsi="Times New Roman" w:eastAsia="Times New Roman"/>
          <w:b w:val="0"/>
          <w:i w:val="0"/>
          <w:sz w:val="24"/>
        </w:rPr>
        <w:t xml:space="preserve">Freeman et al. (2020) update that foundation with </w:t>
      </w:r>
      <w:r>
        <w:rPr>
          <w:rFonts w:ascii="Times New Roman" w:hAnsi="Times New Roman" w:eastAsia="Times New Roman"/>
          <w:b/>
          <w:i w:val="0"/>
          <w:sz w:val="24"/>
        </w:rPr>
        <w:t>value-creation stakeholder theory</w:t>
      </w:r>
      <w:r>
        <w:rPr>
          <w:rFonts w:ascii="Times New Roman" w:hAnsi="Times New Roman" w:eastAsia="Times New Roman"/>
          <w:b w:val="0"/>
          <w:i w:val="0"/>
          <w:sz w:val="24"/>
        </w:rPr>
        <w:t>: distinctive stakeholder work describes human actors cooperatively engaged in value creation and trade, and treats many tensions between stakeholder management and strategic-technical objectives as more apparent than real. Placement: Need / What We Know only (</w:t>
      </w:r>
      <w:r>
        <w:rPr>
          <w:rFonts w:ascii="Times New Roman" w:hAnsi="Times New Roman" w:eastAsia="Times New Roman"/>
          <w:i/>
          <w:sz w:val="24"/>
        </w:rPr>
        <w:t>VCST</w:t>
      </w:r>
      <w:r>
        <w:rPr>
          <w:rFonts w:ascii="Times New Roman" w:hAnsi="Times New Roman" w:eastAsia="Times New Roman"/>
          <w:b w:val="0"/>
          <w:i w:val="0"/>
          <w:sz w:val="24"/>
        </w:rPr>
        <w:t>). See [chapter-i-need-for-the-study.md](chapter-i-need-for-the-study.md).</w:t>
      </w:r>
    </w:p>
    <w:p>
      <w:pPr>
        <w:pStyle w:val="ListBullet"/>
        <w:spacing w:line="480" w:lineRule="auto"/>
      </w:pPr>
      <w:r>
        <w:rPr>
          <w:rFonts w:ascii="Times New Roman" w:hAnsi="Times New Roman" w:eastAsia="Times New Roman"/>
          <w:b w:val="0"/>
          <w:i w:val="0"/>
          <w:sz w:val="24"/>
        </w:rPr>
        <w:t>Salience theory specifies the attention mechanism: power, legitimacy, and urgency determine whose claims count (Mitchell et al., 1997).</w:t>
      </w:r>
    </w:p>
    <w:p>
      <w:pPr>
        <w:pStyle w:val="ListBullet"/>
        <w:spacing w:line="480" w:lineRule="auto"/>
      </w:pPr>
      <w:r>
        <w:rPr>
          <w:rFonts w:ascii="Times New Roman" w:hAnsi="Times New Roman" w:eastAsia="Times New Roman"/>
          <w:b w:val="0"/>
          <w:i w:val="0"/>
          <w:sz w:val="24"/>
        </w:rPr>
        <w:t>Recoverability assurance can be stated as reviewable, decision-relevant evidence that prioritized services can be restored within tolerance (Lowry et al., 2025; Park et al., 2023, as used in the draft).</w:t>
      </w:r>
    </w:p>
    <w:p>
      <w:pPr>
        <w:spacing w:after="160" w:before="240" w:line="480" w:lineRule="auto"/>
      </w:pPr>
      <w:r>
        <w:rPr>
          <w:rFonts w:ascii="Times New Roman" w:hAnsi="Times New Roman" w:eastAsia="Times New Roman"/>
          <w:b/>
          <w:i w:val="0"/>
          <w:color w:val="1F3A5F"/>
          <w:sz w:val="24"/>
        </w:rPr>
        <w:t>2.3 What We Don’t Know — Strong</w:t>
      </w:r>
    </w:p>
    <w:p>
      <w:pPr>
        <w:spacing w:after="120" w:before="0" w:line="480" w:lineRule="auto"/>
      </w:pPr>
      <w:r>
        <w:rPr>
          <w:rFonts w:ascii="Times New Roman" w:hAnsi="Times New Roman" w:eastAsia="Times New Roman"/>
          <w:b w:val="0"/>
          <w:i w:val="0"/>
          <w:sz w:val="24"/>
        </w:rPr>
        <w:t xml:space="preserve">The unknown is operational, not definitional: how SME IT managers </w:t>
      </w:r>
      <w:r>
        <w:rPr>
          <w:rFonts w:ascii="Times New Roman" w:hAnsi="Times New Roman" w:eastAsia="Times New Roman"/>
          <w:b/>
          <w:i w:val="0"/>
          <w:sz w:val="24"/>
        </w:rPr>
        <w:t>translate</w:t>
      </w:r>
      <w:r>
        <w:rPr>
          <w:rFonts w:ascii="Times New Roman" w:hAnsi="Times New Roman" w:eastAsia="Times New Roman"/>
          <w:b w:val="0"/>
          <w:i w:val="0"/>
          <w:sz w:val="24"/>
        </w:rPr>
        <w:t xml:space="preserve"> salience shifts into decision rights, escalation pathways, and evidence standards inside ITDRPaaS when disruption forces time-critical choices (Lowry et al., 2025; Mitchell et al., 1997). That unknown is what Data Collection must be built to capture.</w:t>
      </w:r>
    </w:p>
    <w:p>
      <w:pPr>
        <w:spacing w:after="160" w:before="240" w:line="480" w:lineRule="auto"/>
      </w:pPr>
      <w:r>
        <w:rPr>
          <w:rFonts w:ascii="Times New Roman" w:hAnsi="Times New Roman" w:eastAsia="Times New Roman"/>
          <w:b/>
          <w:i w:val="0"/>
          <w:color w:val="1F3A5F"/>
          <w:sz w:val="24"/>
        </w:rPr>
        <w:t>2.4 Gap — Strong</w:t>
      </w:r>
    </w:p>
    <w:p>
      <w:pPr>
        <w:spacing w:after="120" w:before="0" w:line="480" w:lineRule="auto"/>
      </w:pPr>
      <w:r>
        <w:rPr>
          <w:rFonts w:ascii="Times New Roman" w:hAnsi="Times New Roman" w:eastAsia="Times New Roman"/>
          <w:b w:val="0"/>
          <w:i w:val="0"/>
          <w:sz w:val="24"/>
        </w:rPr>
        <w:t>The gap sits where the map places it: the difference between what we know (stakeholder theory + salience mechanism) and what we don’t know (enactment in SME ITDRPaaS). It answers “who cares” (SME managers and the stakeholders who depend on their services) and “why now” (legitimacy judgments move faster in modern information environments; Dorobantu et al., 2024).</w:t>
      </w:r>
    </w:p>
    <w:p>
      <w:pPr>
        <w:spacing w:after="120" w:before="0" w:line="480" w:lineRule="auto"/>
      </w:pPr>
      <w:r>
        <w:rPr>
          <w:rFonts w:ascii="Times New Roman" w:hAnsi="Times New Roman" w:eastAsia="Times New Roman"/>
          <w:b w:val="0"/>
          <w:i w:val="0"/>
          <w:sz w:val="24"/>
        </w:rPr>
        <w:t>Data the Gap requires, which later nodes must deliver: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Gap element</w:t>
            </w:r>
          </w:p>
        </w:tc>
        <w:tc>
          <w:tcPr>
            <w:tcW w:type="dxa" w:w="4680"/>
          </w:tcPr>
          <w:p>
            <w:pPr>
              <w:spacing w:after="40" w:before="40" w:line="240" w:lineRule="auto"/>
            </w:pPr>
            <w:r/>
            <w:r>
              <w:rPr>
                <w:rFonts w:ascii="Times New Roman" w:hAnsi="Times New Roman" w:eastAsia="Times New Roman"/>
                <w:b/>
                <w:i w:val="0"/>
                <w:sz w:val="20"/>
              </w:rPr>
              <w:t>Data the later nodes must produce</w:t>
            </w:r>
          </w:p>
        </w:tc>
      </w:tr>
      <w:tr>
        <w:tc>
          <w:tcPr>
            <w:tcW w:type="dxa" w:w="4680"/>
          </w:tcPr>
          <w:p>
            <w:pPr>
              <w:spacing w:after="40" w:before="40" w:line="240" w:lineRule="auto"/>
            </w:pPr>
            <w:r/>
            <w:r>
              <w:rPr>
                <w:rFonts w:ascii="Times New Roman" w:hAnsi="Times New Roman" w:eastAsia="Times New Roman"/>
                <w:b w:val="0"/>
                <w:i w:val="0"/>
                <w:sz w:val="20"/>
              </w:rPr>
              <w:t>Stakeholder-claim management in SME ITDRPaaS</w:t>
            </w:r>
          </w:p>
        </w:tc>
        <w:tc>
          <w:tcPr>
            <w:tcW w:type="dxa" w:w="4680"/>
          </w:tcPr>
          <w:p>
            <w:pPr>
              <w:spacing w:after="40" w:before="40" w:line="240" w:lineRule="auto"/>
            </w:pPr>
            <w:r/>
            <w:r>
              <w:rPr>
                <w:rFonts w:ascii="Times New Roman" w:hAnsi="Times New Roman" w:eastAsia="Times New Roman"/>
                <w:b w:val="0"/>
                <w:i w:val="0"/>
                <w:sz w:val="20"/>
              </w:rPr>
              <w:t>Incident narratives in which two or more parties made competing recovery claims</w:t>
            </w:r>
          </w:p>
        </w:tc>
      </w:tr>
      <w:tr>
        <w:tc>
          <w:tcPr>
            <w:tcW w:type="dxa" w:w="4680"/>
          </w:tcPr>
          <w:p>
            <w:pPr>
              <w:spacing w:after="40" w:before="40" w:line="240" w:lineRule="auto"/>
            </w:pPr>
            <w:r/>
            <w:r>
              <w:rPr>
                <w:rFonts w:ascii="Times New Roman" w:hAnsi="Times New Roman" w:eastAsia="Times New Roman"/>
                <w:b w:val="0"/>
                <w:i w:val="0"/>
                <w:sz w:val="20"/>
              </w:rPr>
              <w:t>Salience shifts (power, legitimacy, urgency)</w:t>
            </w:r>
          </w:p>
        </w:tc>
        <w:tc>
          <w:tcPr>
            <w:tcW w:type="dxa" w:w="4680"/>
          </w:tcPr>
          <w:p>
            <w:pPr>
              <w:spacing w:after="40" w:before="40" w:line="240" w:lineRule="auto"/>
            </w:pPr>
            <w:r/>
            <w:r>
              <w:rPr>
                <w:rFonts w:ascii="Times New Roman" w:hAnsi="Times New Roman" w:eastAsia="Times New Roman"/>
                <w:b w:val="0"/>
                <w:i w:val="0"/>
                <w:sz w:val="20"/>
              </w:rPr>
              <w:t>Accounts of whose demand counted, why, and how that ranking changed mid-incident</w:t>
            </w:r>
          </w:p>
        </w:tc>
      </w:tr>
      <w:tr>
        <w:tc>
          <w:tcPr>
            <w:tcW w:type="dxa" w:w="4680"/>
          </w:tcPr>
          <w:p>
            <w:pPr>
              <w:spacing w:after="40" w:before="40" w:line="240" w:lineRule="auto"/>
            </w:pPr>
            <w:r/>
            <w:r>
              <w:rPr>
                <w:rFonts w:ascii="Times New Roman" w:hAnsi="Times New Roman" w:eastAsia="Times New Roman"/>
                <w:b w:val="0"/>
                <w:i w:val="0"/>
                <w:sz w:val="20"/>
              </w:rPr>
              <w:t>Decision rights and escalation</w:t>
            </w:r>
          </w:p>
        </w:tc>
        <w:tc>
          <w:tcPr>
            <w:tcW w:type="dxa" w:w="4680"/>
          </w:tcPr>
          <w:p>
            <w:pPr>
              <w:spacing w:after="40" w:before="40" w:line="240" w:lineRule="auto"/>
            </w:pPr>
            <w:r/>
            <w:r>
              <w:rPr>
                <w:rFonts w:ascii="Times New Roman" w:hAnsi="Times New Roman" w:eastAsia="Times New Roman"/>
                <w:b w:val="0"/>
                <w:i w:val="0"/>
                <w:sz w:val="20"/>
              </w:rPr>
              <w:t>Who was authorized, who was bypassed, what triggered escalation</w:t>
            </w:r>
          </w:p>
        </w:tc>
      </w:tr>
      <w:tr>
        <w:tc>
          <w:tcPr>
            <w:tcW w:type="dxa" w:w="4680"/>
          </w:tcPr>
          <w:p>
            <w:pPr>
              <w:spacing w:after="40" w:before="40" w:line="240" w:lineRule="auto"/>
            </w:pPr>
            <w:r/>
            <w:r>
              <w:rPr>
                <w:rFonts w:ascii="Times New Roman" w:hAnsi="Times New Roman" w:eastAsia="Times New Roman"/>
                <w:b w:val="0"/>
                <w:i w:val="0"/>
                <w:sz w:val="20"/>
              </w:rPr>
              <w:t>Evidentiary standards / recoverability assurance</w:t>
            </w:r>
          </w:p>
        </w:tc>
        <w:tc>
          <w:tcPr>
            <w:tcW w:type="dxa" w:w="4680"/>
          </w:tcPr>
          <w:p>
            <w:pPr>
              <w:spacing w:after="40" w:before="40" w:line="240" w:lineRule="auto"/>
            </w:pPr>
            <w:r/>
            <w:r>
              <w:rPr>
                <w:rFonts w:ascii="Times New Roman" w:hAnsi="Times New Roman" w:eastAsia="Times New Roman"/>
                <w:b w:val="0"/>
                <w:i w:val="0"/>
                <w:sz w:val="20"/>
              </w:rPr>
              <w:t>What counted as enough proof, whether the threshold was renegotiated, which artifacts were treated as reviewable</w:t>
            </w:r>
          </w:p>
        </w:tc>
      </w:tr>
      <w:tr>
        <w:tc>
          <w:tcPr>
            <w:tcW w:type="dxa" w:w="4680"/>
          </w:tcPr>
          <w:p>
            <w:pPr>
              <w:spacing w:after="40" w:before="40" w:line="240" w:lineRule="auto"/>
            </w:pPr>
            <w:r/>
            <w:r>
              <w:rPr>
                <w:rFonts w:ascii="Times New Roman" w:hAnsi="Times New Roman" w:eastAsia="Times New Roman"/>
                <w:b w:val="0"/>
                <w:i w:val="0"/>
                <w:sz w:val="20"/>
              </w:rPr>
              <w:t>Who cares / why now</w:t>
            </w:r>
          </w:p>
        </w:tc>
        <w:tc>
          <w:tcPr>
            <w:tcW w:type="dxa" w:w="4680"/>
          </w:tcPr>
          <w:p>
            <w:pPr>
              <w:spacing w:after="40" w:before="40" w:line="240" w:lineRule="auto"/>
            </w:pPr>
            <w:r/>
            <w:r>
              <w:rPr>
                <w:rFonts w:ascii="Times New Roman" w:hAnsi="Times New Roman" w:eastAsia="Times New Roman"/>
                <w:b w:val="0"/>
                <w:i w:val="0"/>
                <w:sz w:val="20"/>
              </w:rPr>
              <w:t>How unclear authority or contested proof produced inconsistent or disputed restoration</w:t>
            </w:r>
          </w:p>
        </w:tc>
      </w:tr>
    </w:tbl>
    <w:p/>
    <w:p>
      <w:pPr>
        <w:spacing w:after="160" w:before="240" w:line="480" w:lineRule="auto"/>
      </w:pPr>
      <w:r>
        <w:rPr>
          <w:rFonts w:ascii="Times New Roman" w:hAnsi="Times New Roman" w:eastAsia="Times New Roman"/>
          <w:b/>
          <w:i w:val="0"/>
          <w:color w:val="1F3A5F"/>
          <w:sz w:val="24"/>
        </w:rPr>
        <w:t>2.5 Questions — Partial</w:t>
      </w:r>
    </w:p>
    <w:p>
      <w:pPr>
        <w:spacing w:after="120" w:before="0" w:line="480" w:lineRule="auto"/>
      </w:pPr>
      <w:r>
        <w:rPr>
          <w:rFonts w:ascii="Times New Roman" w:hAnsi="Times New Roman" w:eastAsia="Times New Roman"/>
          <w:b w:val="0"/>
          <w:i w:val="0"/>
          <w:sz w:val="24"/>
        </w:rPr>
        <w:t>The map requires Questions to be a restatement of the Gap, not a new study. Official project-question wording was not in the source draft. Until it is pasted here, Alignment Tracking uses these implied questions (GQI wording: external events, not inner essence):</w:t>
      </w:r>
    </w:p>
    <w:p>
      <w:pPr>
        <w:pStyle w:val="ListBullet"/>
        <w:spacing w:line="480" w:lineRule="auto"/>
      </w:pPr>
      <w:r>
        <w:rPr>
          <w:rFonts w:ascii="Times New Roman" w:hAnsi="Times New Roman" w:eastAsia="Times New Roman"/>
          <w:b/>
          <w:i w:val="0"/>
          <w:sz w:val="24"/>
        </w:rPr>
        <w:t>PQ1.</w:t>
      </w:r>
      <w:r>
        <w:rPr>
          <w:rFonts w:ascii="Times New Roman" w:hAnsi="Times New Roman" w:eastAsia="Times New Roman"/>
          <w:b w:val="0"/>
          <w:i w:val="0"/>
          <w:sz w:val="24"/>
        </w:rPr>
        <w:t xml:space="preserve"> How do U.S. SME IT and network managers describe stakeholder-claim management and salience shifts (power, legitimacy, urgency) during ITDRPaaS recovery or testing incidents?</w:t>
      </w:r>
    </w:p>
    <w:p>
      <w:pPr>
        <w:pStyle w:val="ListBullet"/>
        <w:spacing w:line="480" w:lineRule="auto"/>
      </w:pPr>
      <w:r>
        <w:rPr>
          <w:rFonts w:ascii="Times New Roman" w:hAnsi="Times New Roman" w:eastAsia="Times New Roman"/>
          <w:b/>
          <w:i w:val="0"/>
          <w:sz w:val="24"/>
        </w:rPr>
        <w:t>PQ2.</w:t>
      </w:r>
      <w:r>
        <w:rPr>
          <w:rFonts w:ascii="Times New Roman" w:hAnsi="Times New Roman" w:eastAsia="Times New Roman"/>
          <w:b w:val="0"/>
          <w:i w:val="0"/>
          <w:sz w:val="24"/>
        </w:rPr>
        <w:t xml:space="preserve"> How do those shifts get enacted as decision rights, escalation pathways, and evidentiary / recoverability-assurance standards that managers can defend to stakeholders?</w:t>
      </w:r>
    </w:p>
    <w:p>
      <w:pPr>
        <w:spacing w:after="120" w:before="0" w:line="480" w:lineRule="auto"/>
      </w:pPr>
      <w:r>
        <w:rPr>
          <w:rFonts w:ascii="Times New Roman" w:hAnsi="Times New Roman" w:eastAsia="Times New Roman"/>
          <w:b/>
          <w:i w:val="0"/>
          <w:sz w:val="24"/>
        </w:rPr>
        <w:t>Strong</w:t>
      </w:r>
      <w:r>
        <w:rPr>
          <w:rFonts w:ascii="Times New Roman" w:hAnsi="Times New Roman" w:eastAsia="Times New Roman"/>
          <w:b w:val="0"/>
          <w:i w:val="0"/>
          <w:sz w:val="24"/>
        </w:rPr>
        <w:t xml:space="preserve"> as a restatement of the Gap. </w:t>
      </w:r>
      <w:r>
        <w:rPr>
          <w:rFonts w:ascii="Times New Roman" w:hAnsi="Times New Roman" w:eastAsia="Times New Roman"/>
          <w:b/>
          <w:i w:val="0"/>
          <w:sz w:val="24"/>
        </w:rPr>
        <w:t>Partial</w:t>
      </w:r>
      <w:r>
        <w:rPr>
          <w:rFonts w:ascii="Times New Roman" w:hAnsi="Times New Roman" w:eastAsia="Times New Roman"/>
          <w:b w:val="0"/>
          <w:i w:val="0"/>
          <w:sz w:val="24"/>
        </w:rPr>
        <w:t xml:space="preserve"> as documentation (official questions not shown). Paste official RQ/PQ wording over these lines before courseroom submission.</w:t>
      </w:r>
    </w:p>
    <w:p>
      <w:pPr>
        <w:spacing w:after="160" w:before="240" w:line="480" w:lineRule="auto"/>
      </w:pPr>
      <w:r>
        <w:rPr>
          <w:rFonts w:ascii="Times New Roman" w:hAnsi="Times New Roman" w:eastAsia="Times New Roman"/>
          <w:b/>
          <w:i w:val="0"/>
          <w:color w:val="1F3A5F"/>
          <w:sz w:val="24"/>
        </w:rPr>
        <w:t>2.6 Constructs / Phenomena / Variables — Strong as a list, Partial as use</w:t>
      </w:r>
    </w:p>
    <w:p>
      <w:pPr>
        <w:spacing w:after="120" w:before="0" w:line="480" w:lineRule="auto"/>
      </w:pPr>
      <w:r>
        <w:rPr>
          <w:rFonts w:ascii="Times New Roman" w:hAnsi="Times New Roman" w:eastAsia="Times New Roman"/>
          <w:b w:val="0"/>
          <w:i w:val="0"/>
          <w:sz w:val="24"/>
        </w:rPr>
        <w:t>The map places Constructs under Questions, not under Methodology. Your seven labels match the Gap almost one-to-one: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Construct / phenomenon</w:t>
            </w:r>
          </w:p>
        </w:tc>
        <w:tc>
          <w:tcPr>
            <w:tcW w:type="dxa" w:w="4680"/>
          </w:tcPr>
          <w:p>
            <w:pPr>
              <w:spacing w:after="40" w:before="40" w:line="240" w:lineRule="auto"/>
            </w:pPr>
            <w:r/>
            <w:r>
              <w:rPr>
                <w:rFonts w:ascii="Times New Roman" w:hAnsi="Times New Roman" w:eastAsia="Times New Roman"/>
                <w:b/>
                <w:i w:val="0"/>
                <w:sz w:val="20"/>
              </w:rPr>
              <w:t>Role on the map</w:t>
            </w:r>
          </w:p>
        </w:tc>
      </w:tr>
      <w:tr>
        <w:tc>
          <w:tcPr>
            <w:tcW w:type="dxa" w:w="4680"/>
          </w:tcPr>
          <w:p>
            <w:pPr>
              <w:spacing w:after="40" w:before="40" w:line="240" w:lineRule="auto"/>
            </w:pPr>
            <w:r/>
            <w:r>
              <w:rPr>
                <w:rFonts w:ascii="Times New Roman" w:hAnsi="Times New Roman" w:eastAsia="Times New Roman"/>
                <w:b w:val="0"/>
                <w:i w:val="0"/>
                <w:sz w:val="20"/>
              </w:rPr>
              <w:t>Power, Legitimacy, Urgency</w:t>
            </w:r>
          </w:p>
        </w:tc>
        <w:tc>
          <w:tcPr>
            <w:tcW w:type="dxa" w:w="4680"/>
          </w:tcPr>
          <w:p>
            <w:pPr>
              <w:spacing w:after="40" w:before="40" w:line="240" w:lineRule="auto"/>
            </w:pPr>
            <w:r/>
            <w:r>
              <w:rPr>
                <w:rFonts w:ascii="Times New Roman" w:hAnsi="Times New Roman" w:eastAsia="Times New Roman"/>
                <w:b w:val="0"/>
                <w:i w:val="0"/>
                <w:sz w:val="20"/>
              </w:rPr>
              <w:t>Salience mechanism (PQ1)</w:t>
            </w:r>
          </w:p>
        </w:tc>
      </w:tr>
      <w:tr>
        <w:tc>
          <w:tcPr>
            <w:tcW w:type="dxa" w:w="4680"/>
          </w:tcPr>
          <w:p>
            <w:pPr>
              <w:spacing w:after="40" w:before="40" w:line="240" w:lineRule="auto"/>
            </w:pPr>
            <w:r/>
            <w:r>
              <w:rPr>
                <w:rFonts w:ascii="Times New Roman" w:hAnsi="Times New Roman" w:eastAsia="Times New Roman"/>
                <w:b w:val="0"/>
                <w:i w:val="0"/>
                <w:sz w:val="20"/>
              </w:rPr>
              <w:t>Decision Rights, Escalation</w:t>
            </w:r>
          </w:p>
        </w:tc>
        <w:tc>
          <w:tcPr>
            <w:tcW w:type="dxa" w:w="4680"/>
          </w:tcPr>
          <w:p>
            <w:pPr>
              <w:spacing w:after="40" w:before="40" w:line="240" w:lineRule="auto"/>
            </w:pPr>
            <w:r/>
            <w:r>
              <w:rPr>
                <w:rFonts w:ascii="Times New Roman" w:hAnsi="Times New Roman" w:eastAsia="Times New Roman"/>
                <w:b w:val="0"/>
                <w:i w:val="0"/>
                <w:sz w:val="20"/>
              </w:rPr>
              <w:t>Enactment of whose claim counted (PQ2)</w:t>
            </w:r>
          </w:p>
        </w:tc>
      </w:tr>
      <w:tr>
        <w:tc>
          <w:tcPr>
            <w:tcW w:type="dxa" w:w="4680"/>
          </w:tcPr>
          <w:p>
            <w:pPr>
              <w:spacing w:after="40" w:before="40" w:line="240" w:lineRule="auto"/>
            </w:pPr>
            <w:r/>
            <w:r>
              <w:rPr>
                <w:rFonts w:ascii="Times New Roman" w:hAnsi="Times New Roman" w:eastAsia="Times New Roman"/>
                <w:b w:val="0"/>
                <w:i w:val="0"/>
                <w:sz w:val="20"/>
              </w:rPr>
              <w:t>Evidentiary Standards, Recoverability Assurance</w:t>
            </w:r>
          </w:p>
        </w:tc>
        <w:tc>
          <w:tcPr>
            <w:tcW w:type="dxa" w:w="4680"/>
          </w:tcPr>
          <w:p>
            <w:pPr>
              <w:spacing w:after="40" w:before="40" w:line="240" w:lineRule="auto"/>
            </w:pPr>
            <w:r/>
            <w:r>
              <w:rPr>
                <w:rFonts w:ascii="Times New Roman" w:hAnsi="Times New Roman" w:eastAsia="Times New Roman"/>
                <w:b w:val="0"/>
                <w:i w:val="0"/>
                <w:sz w:val="20"/>
              </w:rPr>
              <w:t>Defensible proof of restoration (PQ2)</w:t>
            </w:r>
          </w:p>
        </w:tc>
      </w:tr>
    </w:tbl>
    <w:p/>
    <w:p>
      <w:pPr>
        <w:spacing w:after="120" w:before="0" w:line="480" w:lineRule="auto"/>
      </w:pPr>
      <w:r>
        <w:rPr>
          <w:rFonts w:ascii="Times New Roman" w:hAnsi="Times New Roman" w:eastAsia="Times New Roman"/>
          <w:b w:val="0"/>
          <w:i w:val="0"/>
          <w:sz w:val="24"/>
        </w:rPr>
        <w:t xml:space="preserve">These are </w:t>
      </w:r>
      <w:r>
        <w:rPr>
          <w:rFonts w:ascii="Times New Roman" w:hAnsi="Times New Roman" w:eastAsia="Times New Roman"/>
          <w:b/>
          <w:i w:val="0"/>
          <w:sz w:val="24"/>
        </w:rPr>
        <w:t>phenomena / sensitizing constructs</w:t>
      </w:r>
      <w:r>
        <w:rPr>
          <w:rFonts w:ascii="Times New Roman" w:hAnsi="Times New Roman" w:eastAsia="Times New Roman"/>
          <w:b w:val="0"/>
          <w:i w:val="0"/>
          <w:sz w:val="24"/>
        </w:rPr>
        <w:t xml:space="preserve">, not quantitative variables. The draft’s phrase “absolute methodological alignment” to seven </w:t>
      </w:r>
      <w:r>
        <w:rPr>
          <w:rFonts w:ascii="Times New Roman" w:hAnsi="Times New Roman" w:eastAsia="Times New Roman"/>
          <w:b/>
          <w:i w:val="0"/>
          <w:sz w:val="24"/>
        </w:rPr>
        <w:t>codes</w:t>
      </w:r>
      <w:r>
        <w:rPr>
          <w:rFonts w:ascii="Times New Roman" w:hAnsi="Times New Roman" w:eastAsia="Times New Roman"/>
          <w:b w:val="0"/>
          <w:i w:val="0"/>
          <w:sz w:val="24"/>
        </w:rPr>
        <w:t xml:space="preserve"> over-uses this node. On the Alignment Map, constructs inform Measures/Artifacts. They do not pre-write Data Analysis themes. Practice 2 already forbids naming themes before meaning units are locked (Aronson, 1994).</w:t>
      </w:r>
    </w:p>
    <w:p>
      <w:pPr>
        <w:spacing w:after="160" w:before="240" w:line="480" w:lineRule="auto"/>
      </w:pPr>
      <w:r>
        <w:rPr>
          <w:rFonts w:ascii="Times New Roman" w:hAnsi="Times New Roman" w:eastAsia="Times New Roman"/>
          <w:b/>
          <w:i w:val="0"/>
          <w:color w:val="1F3A5F"/>
          <w:sz w:val="24"/>
        </w:rPr>
        <w:t>2.7 Methodology* — Strong, if phenomenological language is removed</w:t>
      </w:r>
    </w:p>
    <w:p>
      <w:pPr>
        <w:spacing w:after="120" w:before="0" w:line="480" w:lineRule="auto"/>
      </w:pPr>
      <w:r>
        <w:rPr>
          <w:rFonts w:ascii="Times New Roman" w:hAnsi="Times New Roman" w:eastAsia="Times New Roman"/>
          <w:b w:val="0"/>
          <w:i w:val="0"/>
          <w:sz w:val="24"/>
        </w:rPr>
        <w:t>Questions branch right to Methodology. GQI is the congruent choice: patterned accounts of real-world events, decisions, and conditions, with interview items that may be built from theoretical constructs (Percy et al., 2015; Kahlke, 2014; Caelli et al., 2003; Capella SOBT GQI guide). Critical-incident technique is the congruent interview stance because it anchors talk in one recovery or test event.</w:t>
      </w:r>
    </w:p>
    <w:p>
      <w:pPr>
        <w:spacing w:after="120" w:before="0" w:line="480" w:lineRule="auto"/>
      </w:pPr>
      <w:r>
        <w:rPr>
          <w:rFonts w:ascii="Times New Roman" w:hAnsi="Times New Roman" w:eastAsia="Times New Roman"/>
          <w:b w:val="0"/>
          <w:i w:val="0"/>
          <w:sz w:val="24"/>
        </w:rPr>
        <w:t>Not congruent with this node:</w:t>
      </w:r>
    </w:p>
    <w:p>
      <w:pPr>
        <w:pStyle w:val="ListBullet"/>
        <w:spacing w:line="480" w:lineRule="auto"/>
      </w:pPr>
      <w:r>
        <w:rPr>
          <w:rFonts w:ascii="Times New Roman" w:hAnsi="Times New Roman" w:eastAsia="Times New Roman"/>
          <w:b w:val="0"/>
          <w:i w:val="0"/>
          <w:sz w:val="24"/>
        </w:rPr>
        <w:t>“Lived experiences,” “socially constructed realities,” and “voices” (phenomenology, not GQI).</w:t>
      </w:r>
    </w:p>
    <w:p>
      <w:pPr>
        <w:pStyle w:val="ListBullet"/>
        <w:spacing w:line="480" w:lineRule="auto"/>
      </w:pPr>
      <w:r>
        <w:rPr>
          <w:rFonts w:ascii="Times New Roman" w:hAnsi="Times New Roman" w:eastAsia="Times New Roman"/>
          <w:b w:val="0"/>
          <w:i w:val="0"/>
          <w:sz w:val="24"/>
        </w:rPr>
        <w:t>Scoring NIST/ISO/BCM documents as compliance variables (audit, not GQI).</w:t>
      </w:r>
    </w:p>
    <w:p>
      <w:pPr>
        <w:pStyle w:val="ListBullet"/>
        <w:spacing w:line="480" w:lineRule="auto"/>
      </w:pPr>
      <w:r>
        <w:rPr>
          <w:rFonts w:ascii="Times New Roman" w:hAnsi="Times New Roman" w:eastAsia="Times New Roman"/>
          <w:b w:val="0"/>
          <w:i w:val="0"/>
          <w:sz w:val="24"/>
        </w:rPr>
        <w:t>Treating the seven constructs as findings before interviews.</w:t>
      </w:r>
    </w:p>
    <w:p>
      <w:pPr>
        <w:spacing w:after="120" w:before="0" w:line="480" w:lineRule="auto"/>
      </w:pPr>
      <w:r>
        <w:rPr>
          <w:rFonts w:ascii="Times New Roman" w:hAnsi="Times New Roman" w:eastAsia="Times New Roman"/>
          <w:b w:val="0"/>
          <w:i w:val="0"/>
          <w:sz w:val="24"/>
        </w:rPr>
        <w:t>Cite CIT to Flanagan (1954), Chell (2004), or Butterfield et al. (2005), not to Donaldson and Preston (1995) or Guest et al. (2006).</w:t>
      </w:r>
    </w:p>
    <w:p>
      <w:pPr>
        <w:spacing w:after="160" w:before="240" w:line="480" w:lineRule="auto"/>
      </w:pPr>
      <w:r>
        <w:rPr>
          <w:rFonts w:ascii="Times New Roman" w:hAnsi="Times New Roman" w:eastAsia="Times New Roman"/>
          <w:b/>
          <w:i w:val="0"/>
          <w:color w:val="1F3A5F"/>
          <w:sz w:val="24"/>
        </w:rPr>
        <w:t>2.8 Measures/Artifacts — Partial (the hinge into Data Collection)</w:t>
      </w:r>
    </w:p>
    <w:p>
      <w:pPr>
        <w:spacing w:after="120" w:before="0" w:line="480" w:lineRule="auto"/>
      </w:pPr>
      <w:r>
        <w:rPr>
          <w:rFonts w:ascii="Times New Roman" w:hAnsi="Times New Roman" w:eastAsia="Times New Roman"/>
          <w:b w:val="0"/>
          <w:i w:val="0"/>
          <w:sz w:val="24"/>
        </w:rPr>
        <w:t>This is the node that must turn Constructs into things a participant can complete or a researcher can review. The draft names the right two measures:</w:t>
      </w:r>
    </w:p>
    <w:p>
      <w:pPr>
        <w:pStyle w:val="ListNumber"/>
        <w:spacing w:line="480" w:lineRule="auto"/>
      </w:pPr>
      <w:r>
        <w:rPr>
          <w:rFonts w:ascii="Times New Roman" w:hAnsi="Times New Roman" w:eastAsia="Times New Roman"/>
          <w:b w:val="0"/>
          <w:i w:val="0"/>
          <w:sz w:val="24"/>
        </w:rPr>
        <w:t>Semi-structured critical-incident interview protocol.</w:t>
      </w:r>
    </w:p>
    <w:p>
      <w:pPr>
        <w:pStyle w:val="ListNumber"/>
        <w:spacing w:line="480" w:lineRule="auto"/>
      </w:pPr>
      <w:r>
        <w:rPr>
          <w:rFonts w:ascii="Times New Roman" w:hAnsi="Times New Roman" w:eastAsia="Times New Roman"/>
          <w:b w:val="0"/>
          <w:i w:val="0"/>
          <w:sz w:val="24"/>
        </w:rPr>
        <w:t>Situated organizational artifacts referenced in the incident (DR plans, escalation matrices, test records, tickets, authorization actions)—not a NIST/BCM checklist.</w:t>
      </w:r>
    </w:p>
    <w:p>
      <w:pPr>
        <w:spacing w:after="120" w:before="0" w:line="480" w:lineRule="auto"/>
      </w:pPr>
      <w:r>
        <w:rPr>
          <w:rFonts w:ascii="Times New Roman" w:hAnsi="Times New Roman" w:eastAsia="Times New Roman"/>
          <w:b w:val="0"/>
          <w:i w:val="0"/>
          <w:sz w:val="24"/>
        </w:rPr>
        <w:t>Recoverability assurance is already operationalized as the right artifact class: documented restoration outcomes, integrity checks, recorded authorization. That is aligned with PQ2.</w:t>
      </w:r>
    </w:p>
    <w:p>
      <w:pPr>
        <w:spacing w:after="120" w:before="0" w:line="480" w:lineRule="auto"/>
      </w:pPr>
      <w:r>
        <w:rPr>
          <w:rFonts w:ascii="Times New Roman" w:hAnsi="Times New Roman" w:eastAsia="Times New Roman"/>
          <w:b w:val="0"/>
          <w:i w:val="0"/>
          <w:sz w:val="24"/>
        </w:rPr>
        <w:t xml:space="preserve">The map’s guiding-question test for this node is: </w:t>
      </w:r>
      <w:r>
        <w:rPr>
          <w:rFonts w:ascii="Times New Roman" w:hAnsi="Times New Roman" w:eastAsia="Times New Roman"/>
          <w:i/>
          <w:sz w:val="24"/>
        </w:rPr>
        <w:t>Does each measure/artifact collect evidence of a named construct, and can a participant actually complete it?</w:t>
      </w:r>
      <w:r>
        <w:rPr>
          <w:rFonts w:ascii="Times New Roman" w:hAnsi="Times New Roman" w:eastAsia="Times New Roman"/>
          <w:b w:val="0"/>
          <w:i w:val="0"/>
          <w:sz w:val="24"/>
        </w:rPr>
        <w:t xml:space="preserve"> The draft asserts construct-mapped questions. </w:t>
      </w:r>
      <w:r>
        <w:rPr>
          <w:rFonts w:ascii="Times New Roman" w:hAnsi="Times New Roman" w:eastAsia="Times New Roman"/>
          <w:b/>
          <w:i w:val="0"/>
          <w:sz w:val="24"/>
        </w:rPr>
        <w:t>No items are displayed.</w:t>
      </w:r>
      <w:r>
        <w:rPr>
          <w:rFonts w:ascii="Times New Roman" w:hAnsi="Times New Roman" w:eastAsia="Times New Roman"/>
          <w:b w:val="0"/>
          <w:i w:val="0"/>
          <w:sz w:val="24"/>
        </w:rPr>
        <w:t xml:space="preserve"> Capella treats an undescribed protocol as incomplete instrumentation.</w:t>
      </w:r>
    </w:p>
    <w:p>
      <w:pPr>
        <w:spacing w:after="120" w:before="0" w:line="480" w:lineRule="auto"/>
      </w:pPr>
      <w:r>
        <w:rPr>
          <w:rFonts w:ascii="Times New Roman" w:hAnsi="Times New Roman" w:eastAsia="Times New Roman"/>
          <w:b w:val="0"/>
          <w:i w:val="0"/>
          <w:sz w:val="24"/>
        </w:rPr>
        <w:t xml:space="preserve">Because this node has </w:t>
      </w:r>
      <w:r>
        <w:rPr>
          <w:rFonts w:ascii="Times New Roman" w:hAnsi="Times New Roman" w:eastAsia="Times New Roman"/>
          <w:b/>
          <w:i w:val="0"/>
          <w:sz w:val="24"/>
        </w:rPr>
        <w:t>no written steps</w:t>
      </w:r>
      <w:r>
        <w:rPr>
          <w:rFonts w:ascii="Times New Roman" w:hAnsi="Times New Roman" w:eastAsia="Times New Roman"/>
          <w:b w:val="0"/>
          <w:i w:val="0"/>
          <w:sz w:val="24"/>
        </w:rPr>
        <w:t>, stakeholder-salience guides the measure (Section 4).</w:t>
      </w:r>
    </w:p>
    <w:p>
      <w:pPr>
        <w:spacing w:after="160" w:before="240" w:line="480" w:lineRule="auto"/>
      </w:pPr>
      <w:r>
        <w:rPr>
          <w:rFonts w:ascii="Times New Roman" w:hAnsi="Times New Roman" w:eastAsia="Times New Roman"/>
          <w:b/>
          <w:i w:val="0"/>
          <w:color w:val="1F3A5F"/>
          <w:sz w:val="24"/>
        </w:rPr>
        <w:t>2.9 Data Collection* — Partial / Weak (focus of this assessment)</w:t>
      </w:r>
    </w:p>
    <w:p>
      <w:pPr>
        <w:spacing w:after="120" w:before="0" w:line="480" w:lineRule="auto"/>
      </w:pPr>
      <w:r>
        <w:rPr>
          <w:rFonts w:ascii="Times New Roman" w:hAnsi="Times New Roman" w:eastAsia="Times New Roman"/>
          <w:b w:val="0"/>
          <w:i w:val="0"/>
          <w:sz w:val="24"/>
        </w:rPr>
        <w:t>On the map, Data Collection hangs off Measures/Artifacts and points down to Data Analysis. It is the process of using those measures with the sample.</w:t>
      </w:r>
    </w:p>
    <w:p>
      <w:pPr>
        <w:spacing w:after="120" w:before="0" w:line="480" w:lineRule="auto"/>
      </w:pPr>
      <w:r>
        <w:rPr>
          <w:rFonts w:ascii="Times New Roman" w:hAnsi="Times New Roman" w:eastAsia="Times New Roman"/>
          <w:b w:val="0"/>
          <w:i w:val="0"/>
          <w:sz w:val="24"/>
        </w:rPr>
        <w:t>What is present: virtual, recorded, English-language interviews after consent; CIT opening; intent to probe salience; field notes on referenced artifacts; verbatim transcription; de-identification; encrypted storage.</w:t>
      </w:r>
    </w:p>
    <w:p>
      <w:pPr>
        <w:spacing w:after="120" w:before="0" w:line="480" w:lineRule="auto"/>
      </w:pPr>
      <w:r>
        <w:rPr>
          <w:rFonts w:ascii="Times New Roman" w:hAnsi="Times New Roman" w:eastAsia="Times New Roman"/>
          <w:b w:val="0"/>
          <w:i w:val="0"/>
          <w:sz w:val="24"/>
        </w:rPr>
        <w:t>What the marker still cannot see:</w:t>
      </w:r>
    </w:p>
    <w:p>
      <w:pPr>
        <w:pStyle w:val="ListBullet"/>
        <w:spacing w:line="480" w:lineRule="auto"/>
      </w:pPr>
      <w:r>
        <w:rPr>
          <w:rFonts w:ascii="Times New Roman" w:hAnsi="Times New Roman" w:eastAsia="Times New Roman"/>
          <w:b w:val="0"/>
          <w:i w:val="0"/>
          <w:sz w:val="24"/>
        </w:rPr>
        <w:t>No interview steps (opening prompt, topical questions, probes, close).</w:t>
      </w:r>
    </w:p>
    <w:p>
      <w:pPr>
        <w:pStyle w:val="ListBullet"/>
        <w:spacing w:line="480" w:lineRule="auto"/>
      </w:pPr>
      <w:r>
        <w:rPr>
          <w:rFonts w:ascii="Times New Roman" w:hAnsi="Times New Roman" w:eastAsia="Times New Roman"/>
          <w:b w:val="0"/>
          <w:i w:val="0"/>
          <w:sz w:val="24"/>
        </w:rPr>
        <w:t>No artifact-request step or fallback if a DR plan cannot be shared.</w:t>
      </w:r>
    </w:p>
    <w:p>
      <w:pPr>
        <w:pStyle w:val="ListBullet"/>
        <w:spacing w:line="480" w:lineRule="auto"/>
      </w:pPr>
      <w:r>
        <w:rPr>
          <w:rFonts w:ascii="Times New Roman" w:hAnsi="Times New Roman" w:eastAsia="Times New Roman"/>
          <w:b w:val="0"/>
          <w:i w:val="0"/>
          <w:sz w:val="24"/>
        </w:rPr>
        <w:t>No rule for entering an artifact into the same meaning-unit table as talk.</w:t>
      </w:r>
    </w:p>
    <w:p>
      <w:pPr>
        <w:pStyle w:val="ListBullet"/>
        <w:spacing w:line="480" w:lineRule="auto"/>
      </w:pPr>
      <w:r>
        <w:rPr>
          <w:rFonts w:ascii="Times New Roman" w:hAnsi="Times New Roman" w:eastAsia="Times New Roman"/>
          <w:b w:val="0"/>
          <w:i w:val="0"/>
          <w:sz w:val="24"/>
        </w:rPr>
        <w:t>Interview length and recruitment channel not stated in the collection paragraphs.</w:t>
      </w:r>
    </w:p>
    <w:p>
      <w:pPr>
        <w:pStyle w:val="ListBullet"/>
        <w:spacing w:line="480" w:lineRule="auto"/>
      </w:pPr>
      <w:r>
        <w:rPr>
          <w:rFonts w:ascii="Times New Roman" w:hAnsi="Times New Roman" w:eastAsia="Times New Roman"/>
          <w:b w:val="0"/>
          <w:i w:val="0"/>
          <w:sz w:val="24"/>
        </w:rPr>
        <w:t>Wrong citations for CIT and for NIST-as-method.</w:t>
      </w:r>
    </w:p>
    <w:p>
      <w:pPr>
        <w:spacing w:after="120" w:before="0" w:line="480" w:lineRule="auto"/>
      </w:pPr>
      <w:r>
        <w:rPr>
          <w:rFonts w:ascii="Times New Roman" w:hAnsi="Times New Roman" w:eastAsia="Times New Roman"/>
          <w:b w:val="0"/>
          <w:i w:val="0"/>
          <w:sz w:val="24"/>
        </w:rPr>
        <w:t>Until those steps exist, Data Collection cannot be said to address the Gap. The protocol in Section 4 is the missing content of this node.</w:t>
      </w:r>
    </w:p>
    <w:p>
      <w:pPr>
        <w:spacing w:after="160" w:before="240" w:line="480" w:lineRule="auto"/>
      </w:pPr>
      <w:r>
        <w:rPr>
          <w:rFonts w:ascii="Times New Roman" w:hAnsi="Times New Roman" w:eastAsia="Times New Roman"/>
          <w:b/>
          <w:i w:val="0"/>
          <w:color w:val="1F3A5F"/>
          <w:sz w:val="24"/>
        </w:rPr>
        <w:t>2.10 Procedures* — Partial</w:t>
      </w:r>
    </w:p>
    <w:p>
      <w:pPr>
        <w:spacing w:after="120" w:before="0" w:line="480" w:lineRule="auto"/>
      </w:pPr>
      <w:r>
        <w:rPr>
          <w:rFonts w:ascii="Times New Roman" w:hAnsi="Times New Roman" w:eastAsia="Times New Roman"/>
          <w:b w:val="0"/>
          <w:i w:val="0"/>
          <w:sz w:val="24"/>
        </w:rPr>
        <w:t>Procedures hang left off Measures/Artifacts and point down to Dependability. They are how participants or the researcher complete the instruments.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Procedure step</w:t>
            </w:r>
          </w:p>
        </w:tc>
        <w:tc>
          <w:tcPr>
            <w:tcW w:type="dxa" w:w="3120"/>
          </w:tcPr>
          <w:p>
            <w:pPr>
              <w:spacing w:after="40" w:before="40" w:line="240" w:lineRule="auto"/>
            </w:pPr>
            <w:r/>
            <w:r>
              <w:rPr>
                <w:rFonts w:ascii="Times New Roman" w:hAnsi="Times New Roman" w:eastAsia="Times New Roman"/>
                <w:b/>
                <w:i w:val="0"/>
                <w:sz w:val="20"/>
              </w:rPr>
              <w:t>Rating</w:t>
            </w:r>
          </w:p>
        </w:tc>
        <w:tc>
          <w:tcPr>
            <w:tcW w:type="dxa" w:w="3120"/>
          </w:tcPr>
          <w:p>
            <w:pPr>
              <w:spacing w:after="40" w:before="40" w:line="240" w:lineRule="auto"/>
            </w:pPr>
            <w:r/>
            <w:r>
              <w:rPr>
                <w:rFonts w:ascii="Times New Roman" w:hAnsi="Times New Roman" w:eastAsia="Times New Roman"/>
                <w:b/>
                <w:i w:val="0"/>
                <w:sz w:val="20"/>
              </w:rPr>
              <w:t>Note</w:t>
            </w:r>
          </w:p>
        </w:tc>
      </w:tr>
      <w:tr>
        <w:tc>
          <w:tcPr>
            <w:tcW w:type="dxa" w:w="3120"/>
          </w:tcPr>
          <w:p>
            <w:pPr>
              <w:spacing w:after="40" w:before="40" w:line="240" w:lineRule="auto"/>
            </w:pPr>
            <w:r/>
            <w:r>
              <w:rPr>
                <w:rFonts w:ascii="Times New Roman" w:hAnsi="Times New Roman" w:eastAsia="Times New Roman"/>
                <w:b w:val="0"/>
                <w:i w:val="0"/>
                <w:sz w:val="20"/>
              </w:rPr>
              <w:t>Screen 10–15 U.S. SME IT/network managers, 10–200 staff, external-platform recovery, ≥1 event in 36 months; exclude vendor-only staff</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Matches Population/Sample</w:t>
            </w:r>
          </w:p>
        </w:tc>
      </w:tr>
      <w:tr>
        <w:tc>
          <w:tcPr>
            <w:tcW w:type="dxa" w:w="3120"/>
          </w:tcPr>
          <w:p>
            <w:pPr>
              <w:spacing w:after="40" w:before="40" w:line="240" w:lineRule="auto"/>
            </w:pPr>
            <w:r/>
            <w:r>
              <w:rPr>
                <w:rFonts w:ascii="Times New Roman" w:hAnsi="Times New Roman" w:eastAsia="Times New Roman"/>
                <w:b w:val="0"/>
                <w:i w:val="0"/>
                <w:sz w:val="20"/>
              </w:rPr>
              <w:t>Email consent, then schedule</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Correct onboarding order</w:t>
            </w:r>
          </w:p>
        </w:tc>
      </w:tr>
      <w:tr>
        <w:tc>
          <w:tcPr>
            <w:tcW w:type="dxa" w:w="3120"/>
          </w:tcPr>
          <w:p>
            <w:pPr>
              <w:spacing w:after="40" w:before="40" w:line="240" w:lineRule="auto"/>
            </w:pPr>
            <w:r/>
            <w:r>
              <w:rPr>
                <w:rFonts w:ascii="Times New Roman" w:hAnsi="Times New Roman" w:eastAsia="Times New Roman"/>
                <w:b w:val="0"/>
                <w:i w:val="0"/>
                <w:sz w:val="20"/>
              </w:rPr>
              <w:t>Standardized ethics script + CIT opening + flexible probes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Sequence right; items missing — use salience (Section 4)</w:t>
            </w:r>
          </w:p>
        </w:tc>
      </w:tr>
      <w:tr>
        <w:tc>
          <w:tcPr>
            <w:tcW w:type="dxa" w:w="3120"/>
          </w:tcPr>
          <w:p>
            <w:pPr>
              <w:spacing w:after="40" w:before="40" w:line="240" w:lineRule="auto"/>
            </w:pPr>
            <w:r/>
            <w:r>
              <w:rPr>
                <w:rFonts w:ascii="Times New Roman" w:hAnsi="Times New Roman" w:eastAsia="Times New Roman"/>
                <w:b w:val="0"/>
                <w:i w:val="0"/>
                <w:sz w:val="20"/>
              </w:rPr>
              <w:t>Artifact review as situated objects</w:t>
            </w:r>
          </w:p>
        </w:tc>
        <w:tc>
          <w:tcPr>
            <w:tcW w:type="dxa" w:w="3120"/>
          </w:tcPr>
          <w:p>
            <w:pPr>
              <w:spacing w:after="40" w:before="40" w:line="240" w:lineRule="auto"/>
            </w:pPr>
            <w:r/>
            <w:r>
              <w:rPr>
                <w:rFonts w:ascii="Times New Roman" w:hAnsi="Times New Roman" w:eastAsia="Times New Roman"/>
                <w:b w:val="0"/>
                <w:i w:val="0"/>
                <w:sz w:val="20"/>
              </w:rPr>
              <w:t>Weak</w:t>
            </w:r>
          </w:p>
        </w:tc>
        <w:tc>
          <w:tcPr>
            <w:tcW w:type="dxa" w:w="3120"/>
          </w:tcPr>
          <w:p>
            <w:pPr>
              <w:spacing w:after="40" w:before="40" w:line="240" w:lineRule="auto"/>
            </w:pPr>
            <w:r/>
            <w:r>
              <w:rPr>
                <w:rFonts w:ascii="Times New Roman" w:hAnsi="Times New Roman" w:eastAsia="Times New Roman"/>
                <w:b w:val="0"/>
                <w:i w:val="0"/>
                <w:sz w:val="20"/>
              </w:rPr>
              <w:t>No obtain / refuse / de-identify / map rule</w:t>
            </w:r>
          </w:p>
        </w:tc>
      </w:tr>
      <w:tr>
        <w:tc>
          <w:tcPr>
            <w:tcW w:type="dxa" w:w="3120"/>
          </w:tcPr>
          <w:p>
            <w:pPr>
              <w:spacing w:after="40" w:before="40" w:line="240" w:lineRule="auto"/>
            </w:pPr>
            <w:r/>
            <w:r>
              <w:rPr>
                <w:rFonts w:ascii="Times New Roman" w:hAnsi="Times New Roman" w:eastAsia="Times New Roman"/>
                <w:b w:val="0"/>
                <w:i w:val="0"/>
                <w:sz w:val="20"/>
              </w:rPr>
              <w:t>Member check + encrypted storage</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Storage is fine; member-check rules can sanitize PQ2 data</w:t>
            </w:r>
          </w:p>
        </w:tc>
      </w:tr>
    </w:tbl>
    <w:p/>
    <w:p>
      <w:pPr>
        <w:spacing w:after="160" w:before="240" w:line="480" w:lineRule="auto"/>
      </w:pPr>
      <w:r>
        <w:rPr>
          <w:rFonts w:ascii="Times New Roman" w:hAnsi="Times New Roman" w:eastAsia="Times New Roman"/>
          <w:b/>
          <w:i w:val="0"/>
          <w:color w:val="1F3A5F"/>
          <w:sz w:val="24"/>
        </w:rPr>
        <w:t>2.11 Dependability* — Partial</w:t>
      </w:r>
    </w:p>
    <w:p>
      <w:pPr>
        <w:spacing w:after="120" w:before="0" w:line="480" w:lineRule="auto"/>
      </w:pPr>
      <w:r>
        <w:rPr>
          <w:rFonts w:ascii="Times New Roman" w:hAnsi="Times New Roman" w:eastAsia="Times New Roman"/>
          <w:b w:val="0"/>
          <w:i w:val="0"/>
          <w:sz w:val="24"/>
        </w:rPr>
        <w:t>Dependability hangs off Procedures. The draft correctly uses Lincoln and Guba (1985) and Korstjens and Moser (2018) instead of Cronbach’s alpha. Protocol documentation and an analytic trail are named.</w:t>
      </w:r>
    </w:p>
    <w:p>
      <w:pPr>
        <w:spacing w:after="120" w:before="0" w:line="480" w:lineRule="auto"/>
      </w:pPr>
      <w:r>
        <w:rPr>
          <w:rFonts w:ascii="Times New Roman" w:hAnsi="Times New Roman" w:eastAsia="Times New Roman"/>
          <w:b w:val="0"/>
          <w:i w:val="0"/>
          <w:sz w:val="24"/>
        </w:rPr>
        <w:t xml:space="preserve">The map’s test is whether another reader could repeat the </w:t>
      </w:r>
      <w:r>
        <w:rPr>
          <w:rFonts w:ascii="Times New Roman" w:hAnsi="Times New Roman" w:eastAsia="Times New Roman"/>
          <w:i/>
          <w:sz w:val="24"/>
        </w:rPr>
        <w:t>process</w:t>
      </w:r>
      <w:r>
        <w:rPr>
          <w:rFonts w:ascii="Times New Roman" w:hAnsi="Times New Roman" w:eastAsia="Times New Roman"/>
          <w:b w:val="0"/>
          <w:i w:val="0"/>
          <w:sz w:val="24"/>
        </w:rPr>
        <w:t xml:space="preserve">. That requires the MU table from Practice 2 (meaning-claim, inclusion bound, confirming excerpt, boundary case), a visible interview protocol, and a written artifact fallback. Those are not yet in the project-plan data sections. Credibility, confirmability, and transferability are discussed in the draft; they are adjacent quality claims, but this marker is specifically </w:t>
      </w:r>
      <w:r>
        <w:rPr>
          <w:rFonts w:ascii="Times New Roman" w:hAnsi="Times New Roman" w:eastAsia="Times New Roman"/>
          <w:b/>
          <w:i w:val="0"/>
          <w:sz w:val="24"/>
        </w:rPr>
        <w:t>Dependability</w:t>
      </w:r>
      <w:r>
        <w:rPr>
          <w:rFonts w:ascii="Times New Roman" w:hAnsi="Times New Roman" w:eastAsia="Times New Roman"/>
          <w:b w:val="0"/>
          <w:i w:val="0"/>
          <w:sz w:val="24"/>
        </w:rPr>
        <w:t>.</w:t>
      </w:r>
    </w:p>
    <w:p>
      <w:pPr>
        <w:spacing w:after="120" w:before="0" w:line="480" w:lineRule="auto"/>
      </w:pPr>
      <w:r>
        <w:rPr>
          <w:rFonts w:ascii="Times New Roman" w:hAnsi="Times New Roman" w:eastAsia="Times New Roman"/>
          <w:b w:val="0"/>
          <w:i w:val="0"/>
          <w:sz w:val="24"/>
        </w:rPr>
        <w:t>Threats that damage Gap data if Procedures stay thin: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Threat</w:t>
            </w:r>
          </w:p>
        </w:tc>
        <w:tc>
          <w:tcPr>
            <w:tcW w:type="dxa" w:w="3120"/>
          </w:tcPr>
          <w:p>
            <w:pPr>
              <w:spacing w:after="40" w:before="40" w:line="240" w:lineRule="auto"/>
            </w:pPr>
            <w:r/>
            <w:r>
              <w:rPr>
                <w:rFonts w:ascii="Times New Roman" w:hAnsi="Times New Roman" w:eastAsia="Times New Roman"/>
                <w:b/>
                <w:i w:val="0"/>
                <w:sz w:val="20"/>
              </w:rPr>
              <w:t>Damage to Gap data</w:t>
            </w:r>
          </w:p>
        </w:tc>
        <w:tc>
          <w:tcPr>
            <w:tcW w:type="dxa" w:w="3120"/>
          </w:tcPr>
          <w:p>
            <w:pPr>
              <w:spacing w:after="40" w:before="40" w:line="240" w:lineRule="auto"/>
            </w:pPr>
            <w:r/>
            <w:r>
              <w:rPr>
                <w:rFonts w:ascii="Times New Roman" w:hAnsi="Times New Roman" w:eastAsia="Times New Roman"/>
                <w:b/>
                <w:i w:val="0"/>
                <w:sz w:val="20"/>
              </w:rPr>
              <w:t>Mitigation</w:t>
            </w:r>
          </w:p>
        </w:tc>
      </w:tr>
      <w:tr>
        <w:tc>
          <w:tcPr>
            <w:tcW w:type="dxa" w:w="3120"/>
          </w:tcPr>
          <w:p>
            <w:pPr>
              <w:spacing w:after="40" w:before="40" w:line="240" w:lineRule="auto"/>
            </w:pPr>
            <w:r/>
            <w:r>
              <w:rPr>
                <w:rFonts w:ascii="Times New Roman" w:hAnsi="Times New Roman" w:eastAsia="Times New Roman"/>
                <w:b w:val="0"/>
                <w:i w:val="0"/>
                <w:sz w:val="20"/>
              </w:rPr>
              <w:t>Organizational disclosure of DR plans or vendor detail</w:t>
            </w:r>
          </w:p>
        </w:tc>
        <w:tc>
          <w:tcPr>
            <w:tcW w:type="dxa" w:w="3120"/>
          </w:tcPr>
          <w:p>
            <w:pPr>
              <w:spacing w:after="40" w:before="40" w:line="240" w:lineRule="auto"/>
            </w:pPr>
            <w:r/>
            <w:r>
              <w:rPr>
                <w:rFonts w:ascii="Times New Roman" w:hAnsi="Times New Roman" w:eastAsia="Times New Roman"/>
                <w:b w:val="0"/>
                <w:i w:val="0"/>
                <w:sz w:val="20"/>
              </w:rPr>
              <w:t>PQ2 proof talk is withheld</w:t>
            </w:r>
          </w:p>
        </w:tc>
        <w:tc>
          <w:tcPr>
            <w:tcW w:type="dxa" w:w="3120"/>
          </w:tcPr>
          <w:p>
            <w:pPr>
              <w:spacing w:after="40" w:before="40" w:line="240" w:lineRule="auto"/>
            </w:pPr>
            <w:r/>
            <w:r>
              <w:rPr>
                <w:rFonts w:ascii="Times New Roman" w:hAnsi="Times New Roman" w:eastAsia="Times New Roman"/>
                <w:b w:val="0"/>
                <w:i w:val="0"/>
                <w:sz w:val="20"/>
              </w:rPr>
              <w:t>Artifact sharing optional; field-note reconstruction is enough</w:t>
            </w:r>
          </w:p>
        </w:tc>
      </w:tr>
      <w:tr>
        <w:tc>
          <w:tcPr>
            <w:tcW w:type="dxa" w:w="3120"/>
          </w:tcPr>
          <w:p>
            <w:pPr>
              <w:spacing w:after="40" w:before="40" w:line="240" w:lineRule="auto"/>
            </w:pPr>
            <w:r/>
            <w:r>
              <w:rPr>
                <w:rFonts w:ascii="Times New Roman" w:hAnsi="Times New Roman" w:eastAsia="Times New Roman"/>
                <w:b w:val="0"/>
                <w:i w:val="0"/>
                <w:sz w:val="20"/>
              </w:rPr>
              <w:t>Dual identifiability (person + firm + vendor)</w:t>
            </w:r>
          </w:p>
        </w:tc>
        <w:tc>
          <w:tcPr>
            <w:tcW w:type="dxa" w:w="3120"/>
          </w:tcPr>
          <w:p>
            <w:pPr>
              <w:spacing w:after="40" w:before="40" w:line="240" w:lineRule="auto"/>
            </w:pPr>
            <w:r/>
            <w:r>
              <w:rPr>
                <w:rFonts w:ascii="Times New Roman" w:hAnsi="Times New Roman" w:eastAsia="Times New Roman"/>
                <w:b w:val="0"/>
                <w:i w:val="0"/>
                <w:sz w:val="20"/>
              </w:rPr>
              <w:t>Decision-rights talk is sanitized</w:t>
            </w:r>
          </w:p>
        </w:tc>
        <w:tc>
          <w:tcPr>
            <w:tcW w:type="dxa" w:w="3120"/>
          </w:tcPr>
          <w:p>
            <w:pPr>
              <w:spacing w:after="40" w:before="40" w:line="240" w:lineRule="auto"/>
            </w:pPr>
            <w:r/>
            <w:r>
              <w:rPr>
                <w:rFonts w:ascii="Times New Roman" w:hAnsi="Times New Roman" w:eastAsia="Times New Roman"/>
                <w:b w:val="0"/>
                <w:i w:val="0"/>
                <w:sz w:val="20"/>
              </w:rPr>
              <w:t>Strip identifiers; alphanumeric codes; encrypted storage</w:t>
            </w:r>
          </w:p>
        </w:tc>
      </w:tr>
      <w:tr>
        <w:tc>
          <w:tcPr>
            <w:tcW w:type="dxa" w:w="3120"/>
          </w:tcPr>
          <w:p>
            <w:pPr>
              <w:spacing w:after="40" w:before="40" w:line="240" w:lineRule="auto"/>
            </w:pPr>
            <w:r/>
            <w:r>
              <w:rPr>
                <w:rFonts w:ascii="Times New Roman" w:hAnsi="Times New Roman" w:eastAsia="Times New Roman"/>
                <w:b w:val="0"/>
                <w:i w:val="0"/>
                <w:sz w:val="20"/>
              </w:rPr>
              <w:t>Member checking as political edit</w:t>
            </w:r>
          </w:p>
        </w:tc>
        <w:tc>
          <w:tcPr>
            <w:tcW w:type="dxa" w:w="3120"/>
          </w:tcPr>
          <w:p>
            <w:pPr>
              <w:spacing w:after="40" w:before="40" w:line="240" w:lineRule="auto"/>
            </w:pPr>
            <w:r/>
            <w:r>
              <w:rPr>
                <w:rFonts w:ascii="Times New Roman" w:hAnsi="Times New Roman" w:eastAsia="Times New Roman"/>
                <w:b w:val="0"/>
                <w:i w:val="0"/>
                <w:sz w:val="20"/>
              </w:rPr>
              <w:t>Contested proof disappears</w:t>
            </w:r>
          </w:p>
        </w:tc>
        <w:tc>
          <w:tcPr>
            <w:tcW w:type="dxa" w:w="3120"/>
          </w:tcPr>
          <w:p>
            <w:pPr>
              <w:spacing w:after="40" w:before="40" w:line="240" w:lineRule="auto"/>
            </w:pPr>
            <w:r/>
            <w:r>
              <w:rPr>
                <w:rFonts w:ascii="Times New Roman" w:hAnsi="Times New Roman" w:eastAsia="Times New Roman"/>
                <w:b w:val="0"/>
                <w:i w:val="0"/>
                <w:sz w:val="20"/>
              </w:rPr>
              <w:t>Factual correction only; stated review window</w:t>
            </w:r>
          </w:p>
        </w:tc>
      </w:tr>
      <w:tr>
        <w:tc>
          <w:tcPr>
            <w:tcW w:type="dxa" w:w="3120"/>
          </w:tcPr>
          <w:p>
            <w:pPr>
              <w:spacing w:after="40" w:before="40" w:line="240" w:lineRule="auto"/>
            </w:pPr>
            <w:r/>
            <w:r>
              <w:rPr>
                <w:rFonts w:ascii="Times New Roman" w:hAnsi="Times New Roman" w:eastAsia="Times New Roman"/>
                <w:b w:val="0"/>
                <w:i w:val="0"/>
                <w:sz w:val="20"/>
              </w:rPr>
              <w:t>Seven codes treated as findings</w:t>
            </w:r>
          </w:p>
        </w:tc>
        <w:tc>
          <w:tcPr>
            <w:tcW w:type="dxa" w:w="3120"/>
          </w:tcPr>
          <w:p>
            <w:pPr>
              <w:spacing w:after="40" w:before="40" w:line="240" w:lineRule="auto"/>
            </w:pPr>
            <w:r/>
            <w:r>
              <w:rPr>
                <w:rFonts w:ascii="Times New Roman" w:hAnsi="Times New Roman" w:eastAsia="Times New Roman"/>
                <w:b w:val="0"/>
                <w:i w:val="0"/>
                <w:sz w:val="20"/>
              </w:rPr>
              <w:t>Confirmability failure</w:t>
            </w:r>
          </w:p>
        </w:tc>
        <w:tc>
          <w:tcPr>
            <w:tcW w:type="dxa" w:w="3120"/>
          </w:tcPr>
          <w:p>
            <w:pPr>
              <w:spacing w:after="40" w:before="40" w:line="240" w:lineRule="auto"/>
            </w:pPr>
            <w:r/>
            <w:r>
              <w:rPr>
                <w:rFonts w:ascii="Times New Roman" w:hAnsi="Times New Roman" w:eastAsia="Times New Roman"/>
                <w:b w:val="0"/>
                <w:i w:val="0"/>
                <w:sz w:val="20"/>
              </w:rPr>
              <w:t>Sensitizing probes + reflexive memo (Braun &amp; Clarke, 2019)</w:t>
            </w:r>
          </w:p>
        </w:tc>
      </w:tr>
      <w:tr>
        <w:tc>
          <w:tcPr>
            <w:tcW w:type="dxa" w:w="3120"/>
          </w:tcPr>
          <w:p>
            <w:pPr>
              <w:spacing w:after="40" w:before="40" w:line="240" w:lineRule="auto"/>
            </w:pPr>
            <w:r/>
            <w:r>
              <w:rPr>
                <w:rFonts w:ascii="Times New Roman" w:hAnsi="Times New Roman" w:eastAsia="Times New Roman"/>
                <w:b w:val="0"/>
                <w:i w:val="0"/>
                <w:sz w:val="20"/>
              </w:rPr>
              <w:t>Recording failure</w:t>
            </w:r>
          </w:p>
        </w:tc>
        <w:tc>
          <w:tcPr>
            <w:tcW w:type="dxa" w:w="3120"/>
          </w:tcPr>
          <w:p>
            <w:pPr>
              <w:spacing w:after="40" w:before="40" w:line="240" w:lineRule="auto"/>
            </w:pPr>
            <w:r/>
            <w:r>
              <w:rPr>
                <w:rFonts w:ascii="Times New Roman" w:hAnsi="Times New Roman" w:eastAsia="Times New Roman"/>
                <w:b w:val="0"/>
                <w:i w:val="0"/>
                <w:sz w:val="20"/>
              </w:rPr>
              <w:t>Lost incident narrative</w:t>
            </w:r>
          </w:p>
        </w:tc>
        <w:tc>
          <w:tcPr>
            <w:tcW w:type="dxa" w:w="3120"/>
          </w:tcPr>
          <w:p>
            <w:pPr>
              <w:spacing w:after="40" w:before="40" w:line="240" w:lineRule="auto"/>
            </w:pPr>
            <w:r/>
            <w:r>
              <w:rPr>
                <w:rFonts w:ascii="Times New Roman" w:hAnsi="Times New Roman" w:eastAsia="Times New Roman"/>
                <w:b w:val="0"/>
                <w:i w:val="0"/>
                <w:sz w:val="20"/>
              </w:rPr>
              <w:t>Stop and reschedule if the CIT story is incomplete</w:t>
            </w:r>
          </w:p>
        </w:tc>
      </w:tr>
      <w:tr>
        <w:tc>
          <w:tcPr>
            <w:tcW w:type="dxa" w:w="3120"/>
          </w:tcPr>
          <w:p>
            <w:pPr>
              <w:spacing w:after="40" w:before="40" w:line="240" w:lineRule="auto"/>
            </w:pPr>
            <w:r/>
            <w:r>
              <w:rPr>
                <w:rFonts w:ascii="Times New Roman" w:hAnsi="Times New Roman" w:eastAsia="Times New Roman"/>
                <w:b w:val="0"/>
                <w:i w:val="0"/>
                <w:sz w:val="20"/>
              </w:rPr>
              <w:t>Supervisor-visible recruitment</w:t>
            </w:r>
          </w:p>
        </w:tc>
        <w:tc>
          <w:tcPr>
            <w:tcW w:type="dxa" w:w="3120"/>
          </w:tcPr>
          <w:p>
            <w:pPr>
              <w:spacing w:after="40" w:before="40" w:line="240" w:lineRule="auto"/>
            </w:pPr>
            <w:r/>
            <w:r>
              <w:rPr>
                <w:rFonts w:ascii="Times New Roman" w:hAnsi="Times New Roman" w:eastAsia="Times New Roman"/>
                <w:b w:val="0"/>
                <w:i w:val="0"/>
                <w:sz w:val="20"/>
              </w:rPr>
              <w:t>Inflated legitimacy of official plans</w:t>
            </w:r>
          </w:p>
        </w:tc>
        <w:tc>
          <w:tcPr>
            <w:tcW w:type="dxa" w:w="3120"/>
          </w:tcPr>
          <w:p>
            <w:pPr>
              <w:spacing w:after="40" w:before="40" w:line="240" w:lineRule="auto"/>
            </w:pPr>
            <w:r/>
            <w:r>
              <w:rPr>
                <w:rFonts w:ascii="Times New Roman" w:hAnsi="Times New Roman" w:eastAsia="Times New Roman"/>
                <w:b w:val="0"/>
                <w:i w:val="0"/>
                <w:sz w:val="20"/>
              </w:rPr>
              <w:t>Individual recruitment</w:t>
            </w:r>
          </w:p>
        </w:tc>
      </w:tr>
      <w:tr>
        <w:tc>
          <w:tcPr>
            <w:tcW w:type="dxa" w:w="3120"/>
          </w:tcPr>
          <w:p>
            <w:pPr>
              <w:spacing w:after="40" w:before="40" w:line="240" w:lineRule="auto"/>
            </w:pPr>
            <w:r/>
            <w:r>
              <w:rPr>
                <w:rFonts w:ascii="Times New Roman" w:hAnsi="Times New Roman" w:eastAsia="Times New Roman"/>
                <w:b w:val="0"/>
                <w:i w:val="0"/>
                <w:sz w:val="20"/>
              </w:rPr>
              <w:t>Self-justification treated as proof</w:t>
            </w:r>
          </w:p>
        </w:tc>
        <w:tc>
          <w:tcPr>
            <w:tcW w:type="dxa" w:w="3120"/>
          </w:tcPr>
          <w:p>
            <w:pPr>
              <w:spacing w:after="40" w:before="40" w:line="240" w:lineRule="auto"/>
            </w:pPr>
            <w:r/>
            <w:r>
              <w:rPr>
                <w:rFonts w:ascii="Times New Roman" w:hAnsi="Times New Roman" w:eastAsia="Times New Roman"/>
                <w:b w:val="0"/>
                <w:i w:val="0"/>
                <w:sz w:val="20"/>
              </w:rPr>
              <w:t>Assurance becomes rhetoric</w:t>
            </w:r>
          </w:p>
        </w:tc>
        <w:tc>
          <w:tcPr>
            <w:tcW w:type="dxa" w:w="3120"/>
          </w:tcPr>
          <w:p>
            <w:pPr>
              <w:spacing w:after="40" w:before="40" w:line="240" w:lineRule="auto"/>
            </w:pPr>
            <w:r/>
            <w:r>
              <w:rPr>
                <w:rFonts w:ascii="Times New Roman" w:hAnsi="Times New Roman" w:eastAsia="Times New Roman"/>
                <w:b w:val="0"/>
                <w:i w:val="0"/>
                <w:sz w:val="20"/>
              </w:rPr>
              <w:t>Code “what I told them” separately from “what artifact existed”</w:t>
            </w:r>
          </w:p>
        </w:tc>
      </w:tr>
    </w:tbl>
    <w:p/>
    <w:p>
      <w:pPr>
        <w:spacing w:after="160" w:before="240" w:line="480" w:lineRule="auto"/>
      </w:pPr>
      <w:r>
        <w:rPr>
          <w:rFonts w:ascii="Times New Roman" w:hAnsi="Times New Roman" w:eastAsia="Times New Roman"/>
          <w:b/>
          <w:i w:val="0"/>
          <w:color w:val="1F3A5F"/>
          <w:sz w:val="24"/>
        </w:rPr>
        <w:t>2.12 Population</w:t>
      </w:r>
      <w:r>
        <w:rPr>
          <w:rFonts w:ascii="Times New Roman" w:hAnsi="Times New Roman" w:eastAsia="Times New Roman"/>
          <w:i/>
          <w:color w:val="1F3A5F"/>
          <w:sz w:val="24"/>
        </w:rPr>
        <w:t xml:space="preserve"> → Sample</w:t>
      </w:r>
      <w:r>
        <w:rPr>
          <w:rFonts w:ascii="Times New Roman" w:hAnsi="Times New Roman" w:eastAsia="Times New Roman"/>
          <w:b/>
          <w:i w:val="0"/>
          <w:color w:val="1F3A5F"/>
          <w:sz w:val="24"/>
        </w:rPr>
        <w:t xml:space="preserve"> → Recruitment* — Strong / Partial</w:t>
      </w:r>
    </w:p>
    <w:p>
      <w:pPr>
        <w:spacing w:after="120" w:before="0" w:line="480" w:lineRule="auto"/>
      </w:pPr>
      <w:r>
        <w:rPr>
          <w:rFonts w:ascii="Times New Roman" w:hAnsi="Times New Roman" w:eastAsia="Times New Roman"/>
          <w:b w:val="0"/>
          <w:i w:val="0"/>
          <w:sz w:val="24"/>
        </w:rPr>
        <w:t>This is the right-hand column under Methodology.</w:t>
      </w:r>
    </w:p>
    <w:p>
      <w:pPr>
        <w:pStyle w:val="ListBullet"/>
        <w:spacing w:line="480" w:lineRule="auto"/>
      </w:pPr>
      <w:r>
        <w:rPr>
          <w:rFonts w:ascii="Times New Roman" w:hAnsi="Times New Roman" w:eastAsia="Times New Roman"/>
          <w:b/>
          <w:i w:val="0"/>
          <w:sz w:val="24"/>
        </w:rPr>
        <w:t>Population:</w:t>
      </w:r>
      <w:r>
        <w:rPr>
          <w:rFonts w:ascii="Times New Roman" w:hAnsi="Times New Roman" w:eastAsia="Times New Roman"/>
          <w:b w:val="0"/>
          <w:i w:val="0"/>
          <w:sz w:val="24"/>
        </w:rPr>
        <w:t xml:space="preserve"> U.S. SME IT/network (or equivalent operations) managers with operational responsibility for external-platform recovery. Strong.</w:t>
      </w:r>
    </w:p>
    <w:p>
      <w:pPr>
        <w:pStyle w:val="ListBullet"/>
        <w:spacing w:line="480" w:lineRule="auto"/>
      </w:pPr>
      <w:r>
        <w:rPr>
          <w:rFonts w:ascii="Times New Roman" w:hAnsi="Times New Roman" w:eastAsia="Times New Roman"/>
          <w:b/>
          <w:i w:val="0"/>
          <w:sz w:val="24"/>
        </w:rPr>
        <w:t>Sample:</w:t>
      </w:r>
      <w:r>
        <w:rPr>
          <w:rFonts w:ascii="Times New Roman" w:hAnsi="Times New Roman" w:eastAsia="Times New Roman"/>
          <w:b w:val="0"/>
          <w:i w:val="0"/>
          <w:sz w:val="24"/>
        </w:rPr>
        <w:t xml:space="preserve"> Purposive/criterion, n = 10–15, firm size 10–200, event within 36 months, vendors excluded. Strong as a fit to the Gap; Partial as justification. Write information power (Malterud et al., 2016), not a claim that 10–15 interviews saturate the Gap. Guest et al. (2006) may support a stopping discussion; they are not a CIT or recruitment-method source. Naeem et al. (2024) treat saturation as a decision guide, which is how Practice 2 already used it.</w:t>
      </w:r>
    </w:p>
    <w:p>
      <w:pPr>
        <w:pStyle w:val="ListBullet"/>
        <w:spacing w:line="480" w:lineRule="auto"/>
      </w:pPr>
      <w:r>
        <w:rPr>
          <w:rFonts w:ascii="Times New Roman" w:hAnsi="Times New Roman" w:eastAsia="Times New Roman"/>
          <w:b/>
          <w:i w:val="0"/>
          <w:sz w:val="24"/>
        </w:rPr>
        <w:t>Recruitment:</w:t>
      </w:r>
      <w:r>
        <w:rPr>
          <w:rFonts w:ascii="Times New Roman" w:hAnsi="Times New Roman" w:eastAsia="Times New Roman"/>
          <w:b w:val="0"/>
          <w:i w:val="0"/>
          <w:sz w:val="24"/>
        </w:rPr>
        <w:t xml:space="preserve"> Email screening and consent are present. Channel (networks, LinkedIn, associations) and interview length (60–75 minutes fits CIT plus salience/assurance probes) still need to be stated.</w:t>
      </w:r>
    </w:p>
    <w:p>
      <w:pPr>
        <w:spacing w:after="160" w:before="240" w:line="480" w:lineRule="auto"/>
      </w:pPr>
      <w:r>
        <w:rPr>
          <w:rFonts w:ascii="Times New Roman" w:hAnsi="Times New Roman" w:eastAsia="Times New Roman"/>
          <w:b/>
          <w:i w:val="0"/>
          <w:color w:val="1F3A5F"/>
          <w:sz w:val="24"/>
        </w:rPr>
        <w:t>2.13 Data Analysis — Strong as a practiced method; Weak if codes are pre-named themes</w:t>
      </w:r>
    </w:p>
    <w:p>
      <w:pPr>
        <w:spacing w:after="120" w:before="0" w:line="480" w:lineRule="auto"/>
      </w:pPr>
      <w:r>
        <w:rPr>
          <w:rFonts w:ascii="Times New Roman" w:hAnsi="Times New Roman" w:eastAsia="Times New Roman"/>
          <w:b w:val="0"/>
          <w:i w:val="0"/>
          <w:sz w:val="24"/>
        </w:rPr>
        <w:t>The map places Data Analysis under Data Collection. The collection draft does not include this node. Data Analysis Practice 2 (Walker, 16 August 2026) already operationalizes it:</w:t>
      </w:r>
    </w:p>
    <w:p>
      <w:pPr>
        <w:pStyle w:val="ListNumber"/>
        <w:spacing w:line="480" w:lineRule="auto"/>
      </w:pPr>
      <w:r>
        <w:rPr>
          <w:rFonts w:ascii="Times New Roman" w:hAnsi="Times New Roman" w:eastAsia="Times New Roman"/>
          <w:b w:val="0"/>
          <w:i w:val="0"/>
          <w:sz w:val="24"/>
        </w:rPr>
        <w:t>Lock meaning units before theme names (Aronson, 1994; Taylor &amp; Bogdan, 1998).</w:t>
      </w:r>
    </w:p>
    <w:p>
      <w:pPr>
        <w:pStyle w:val="ListNumber"/>
        <w:spacing w:line="480" w:lineRule="auto"/>
      </w:pPr>
      <w:r>
        <w:rPr>
          <w:rFonts w:ascii="Times New Roman" w:hAnsi="Times New Roman" w:eastAsia="Times New Roman"/>
          <w:b w:val="0"/>
          <w:i w:val="0"/>
          <w:sz w:val="24"/>
        </w:rPr>
        <w:t xml:space="preserve">Confirm each unit with a named excerpt </w:t>
      </w:r>
      <w:r>
        <w:rPr>
          <w:rFonts w:ascii="Times New Roman" w:hAnsi="Times New Roman" w:eastAsia="Times New Roman"/>
          <w:b/>
          <w:i w:val="0"/>
          <w:sz w:val="24"/>
        </w:rPr>
        <w:t>and</w:t>
      </w:r>
      <w:r>
        <w:rPr>
          <w:rFonts w:ascii="Times New Roman" w:hAnsi="Times New Roman" w:eastAsia="Times New Roman"/>
          <w:b w:val="0"/>
          <w:i w:val="0"/>
          <w:sz w:val="24"/>
        </w:rPr>
        <w:t xml:space="preserve"> a boundary case.</w:t>
      </w:r>
    </w:p>
    <w:p>
      <w:pPr>
        <w:pStyle w:val="ListNumber"/>
        <w:spacing w:line="480" w:lineRule="auto"/>
      </w:pPr>
      <w:r>
        <w:rPr>
          <w:rFonts w:ascii="Times New Roman" w:hAnsi="Times New Roman" w:eastAsia="Times New Roman"/>
          <w:b w:val="0"/>
          <w:i w:val="0"/>
          <w:sz w:val="24"/>
        </w:rPr>
        <w:t xml:space="preserve">Group related units only when they describe the same </w:t>
      </w:r>
      <w:r>
        <w:rPr>
          <w:rFonts w:ascii="Times New Roman" w:hAnsi="Times New Roman" w:eastAsia="Times New Roman"/>
          <w:b/>
          <w:i w:val="0"/>
          <w:sz w:val="24"/>
        </w:rPr>
        <w:t>bargain</w:t>
      </w:r>
      <w:r>
        <w:rPr>
          <w:rFonts w:ascii="Times New Roman" w:hAnsi="Times New Roman" w:eastAsia="Times New Roman"/>
          <w:b w:val="0"/>
          <w:i w:val="0"/>
          <w:sz w:val="24"/>
        </w:rPr>
        <w:t>, not the same topic; themes state a meaning-claim, not a noun.</w:t>
      </w:r>
    </w:p>
    <w:p>
      <w:pPr>
        <w:pStyle w:val="ListNumber"/>
        <w:spacing w:line="480" w:lineRule="auto"/>
      </w:pPr>
      <w:r>
        <w:rPr>
          <w:rFonts w:ascii="Times New Roman" w:hAnsi="Times New Roman" w:eastAsia="Times New Roman"/>
          <w:b w:val="0"/>
          <w:i w:val="0"/>
          <w:sz w:val="24"/>
        </w:rPr>
        <w:t xml:space="preserve">Synthesize so </w:t>
      </w:r>
      <w:r>
        <w:rPr>
          <w:rFonts w:ascii="Times New Roman" w:hAnsi="Times New Roman" w:eastAsia="Times New Roman"/>
          <w:b/>
          <w:i w:val="0"/>
          <w:sz w:val="24"/>
        </w:rPr>
        <w:t>each question is answered separately</w:t>
      </w:r>
      <w:r>
        <w:rPr>
          <w:rFonts w:ascii="Times New Roman" w:hAnsi="Times New Roman" w:eastAsia="Times New Roman"/>
          <w:b w:val="0"/>
          <w:i w:val="0"/>
          <w:sz w:val="24"/>
        </w:rPr>
        <w:t xml:space="preserve"> (Braun &amp; Clarke, 2021; Percy et al., 2015; Lester et al., 2020).</w:t>
      </w:r>
    </w:p>
    <w:p>
      <w:pPr>
        <w:spacing w:after="120" w:before="0" w:line="480" w:lineRule="auto"/>
      </w:pPr>
      <w:r>
        <w:rPr>
          <w:rFonts w:ascii="Times New Roman" w:hAnsi="Times New Roman" w:eastAsia="Times New Roman"/>
          <w:b w:val="0"/>
          <w:i w:val="0"/>
          <w:sz w:val="24"/>
        </w:rPr>
        <w:t>What transfers from Practice 2 to this Gap:</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Practice 2 rule</w:t>
            </w:r>
          </w:p>
        </w:tc>
        <w:tc>
          <w:tcPr>
            <w:tcW w:type="dxa" w:w="4680"/>
          </w:tcPr>
          <w:p>
            <w:pPr>
              <w:spacing w:after="40" w:before="40" w:line="240" w:lineRule="auto"/>
            </w:pPr>
            <w:r/>
            <w:r>
              <w:rPr>
                <w:rFonts w:ascii="Times New Roman" w:hAnsi="Times New Roman" w:eastAsia="Times New Roman"/>
                <w:b/>
                <w:i w:val="0"/>
                <w:sz w:val="20"/>
              </w:rPr>
              <w:t>Alignment Map use</w:t>
            </w:r>
          </w:p>
        </w:tc>
      </w:tr>
      <w:tr>
        <w:tc>
          <w:tcPr>
            <w:tcW w:type="dxa" w:w="4680"/>
          </w:tcPr>
          <w:p>
            <w:pPr>
              <w:spacing w:after="40" w:before="40" w:line="240" w:lineRule="auto"/>
            </w:pPr>
            <w:r/>
            <w:r>
              <w:rPr>
                <w:rFonts w:ascii="Times New Roman" w:hAnsi="Times New Roman" w:eastAsia="Times New Roman"/>
                <w:b w:val="0"/>
                <w:i w:val="0"/>
                <w:sz w:val="20"/>
              </w:rPr>
              <w:t>MU table</w:t>
            </w:r>
          </w:p>
        </w:tc>
        <w:tc>
          <w:tcPr>
            <w:tcW w:type="dxa" w:w="4680"/>
          </w:tcPr>
          <w:p>
            <w:pPr>
              <w:spacing w:after="40" w:before="40" w:line="240" w:lineRule="auto"/>
            </w:pPr>
            <w:r/>
            <w:r>
              <w:rPr>
                <w:rFonts w:ascii="Times New Roman" w:hAnsi="Times New Roman" w:eastAsia="Times New Roman"/>
                <w:b w:val="0"/>
                <w:i w:val="0"/>
                <w:sz w:val="20"/>
              </w:rPr>
              <w:t>Dependability trail from Data Collection into Data Analysis</w:t>
            </w:r>
          </w:p>
        </w:tc>
      </w:tr>
      <w:tr>
        <w:tc>
          <w:tcPr>
            <w:tcW w:type="dxa" w:w="4680"/>
          </w:tcPr>
          <w:p>
            <w:pPr>
              <w:spacing w:after="40" w:before="40" w:line="240" w:lineRule="auto"/>
            </w:pPr>
            <w:r/>
            <w:r>
              <w:rPr>
                <w:rFonts w:ascii="Times New Roman" w:hAnsi="Times New Roman" w:eastAsia="Times New Roman"/>
                <w:b w:val="0"/>
                <w:i w:val="0"/>
                <w:sz w:val="20"/>
              </w:rPr>
              <w:t>Theme 2, “conditional virtual evidence”</w:t>
            </w:r>
          </w:p>
        </w:tc>
        <w:tc>
          <w:tcPr>
            <w:tcW w:type="dxa" w:w="4680"/>
          </w:tcPr>
          <w:p>
            <w:pPr>
              <w:spacing w:after="40" w:before="40" w:line="240" w:lineRule="auto"/>
            </w:pPr>
            <w:r/>
            <w:r>
              <w:rPr>
                <w:rFonts w:ascii="Times New Roman" w:hAnsi="Times New Roman" w:eastAsia="Times New Roman"/>
                <w:b w:val="0"/>
                <w:i w:val="0"/>
                <w:sz w:val="20"/>
              </w:rPr>
              <w:t>Analog of recoverability assurance: proof accepted when it reduces risk, dismissed when it does not</w:t>
            </w:r>
          </w:p>
        </w:tc>
      </w:tr>
      <w:tr>
        <w:tc>
          <w:tcPr>
            <w:tcW w:type="dxa" w:w="4680"/>
          </w:tcPr>
          <w:p>
            <w:pPr>
              <w:spacing w:after="40" w:before="40" w:line="240" w:lineRule="auto"/>
            </w:pPr>
            <w:r/>
            <w:r>
              <w:rPr>
                <w:rFonts w:ascii="Times New Roman" w:hAnsi="Times New Roman" w:eastAsia="Times New Roman"/>
                <w:b w:val="0"/>
                <w:i w:val="0"/>
                <w:sz w:val="20"/>
              </w:rPr>
              <w:t>Separate answers for main and sub-questions</w:t>
            </w:r>
          </w:p>
        </w:tc>
        <w:tc>
          <w:tcPr>
            <w:tcW w:type="dxa" w:w="4680"/>
          </w:tcPr>
          <w:p>
            <w:pPr>
              <w:spacing w:after="40" w:before="40" w:line="240" w:lineRule="auto"/>
            </w:pPr>
            <w:r/>
            <w:r>
              <w:rPr>
                <w:rFonts w:ascii="Times New Roman" w:hAnsi="Times New Roman" w:eastAsia="Times New Roman"/>
                <w:b w:val="0"/>
                <w:i w:val="0"/>
                <w:sz w:val="20"/>
              </w:rPr>
              <w:t>PQ1 and PQ2 must not collapse into one recovery story</w:t>
            </w:r>
          </w:p>
        </w:tc>
      </w:tr>
      <w:tr>
        <w:tc>
          <w:tcPr>
            <w:tcW w:type="dxa" w:w="4680"/>
          </w:tcPr>
          <w:p>
            <w:pPr>
              <w:spacing w:after="40" w:before="40" w:line="240" w:lineRule="auto"/>
            </w:pPr>
            <w:r/>
            <w:r>
              <w:rPr>
                <w:rFonts w:ascii="Times New Roman" w:hAnsi="Times New Roman" w:eastAsia="Times New Roman"/>
                <w:b w:val="0"/>
                <w:i w:val="0"/>
                <w:sz w:val="20"/>
              </w:rPr>
              <w:t>Boundary cases kept inside the theme</w:t>
            </w:r>
          </w:p>
        </w:tc>
        <w:tc>
          <w:tcPr>
            <w:tcW w:type="dxa" w:w="4680"/>
          </w:tcPr>
          <w:p>
            <w:pPr>
              <w:spacing w:after="40" w:before="40" w:line="240" w:lineRule="auto"/>
            </w:pPr>
            <w:r/>
            <w:r>
              <w:rPr>
                <w:rFonts w:ascii="Times New Roman" w:hAnsi="Times New Roman" w:eastAsia="Times New Roman"/>
                <w:b w:val="0"/>
                <w:i w:val="0"/>
                <w:sz w:val="20"/>
              </w:rPr>
              <w:t>Contested authority and failed-proof incidents stay in the finding</w:t>
            </w:r>
          </w:p>
        </w:tc>
      </w:tr>
      <w:tr>
        <w:tc>
          <w:tcPr>
            <w:tcW w:type="dxa" w:w="4680"/>
          </w:tcPr>
          <w:p>
            <w:pPr>
              <w:spacing w:after="40" w:before="40" w:line="240" w:lineRule="auto"/>
            </w:pPr>
            <w:r/>
            <w:r>
              <w:rPr>
                <w:rFonts w:ascii="Times New Roman" w:hAnsi="Times New Roman" w:eastAsia="Times New Roman"/>
                <w:b w:val="0"/>
                <w:i w:val="0"/>
                <w:sz w:val="20"/>
              </w:rPr>
              <w:t>Stimulus paper held out of confirming data</w:t>
            </w:r>
          </w:p>
        </w:tc>
        <w:tc>
          <w:tcPr>
            <w:tcW w:type="dxa" w:w="4680"/>
          </w:tcPr>
          <w:p>
            <w:pPr>
              <w:spacing w:after="40" w:before="40" w:line="240" w:lineRule="auto"/>
            </w:pPr>
            <w:r/>
            <w:r>
              <w:rPr>
                <w:rFonts w:ascii="Times New Roman" w:hAnsi="Times New Roman" w:eastAsia="Times New Roman"/>
                <w:b w:val="0"/>
                <w:i w:val="0"/>
                <w:sz w:val="20"/>
              </w:rPr>
              <w:t>NIST/BCM/ISO stay in What We Know as context; they do not confirm a theme</w:t>
            </w:r>
          </w:p>
        </w:tc>
      </w:tr>
    </w:tbl>
    <w:p/>
    <w:p>
      <w:pPr>
        <w:spacing w:after="120" w:before="0" w:line="480" w:lineRule="auto"/>
      </w:pPr>
      <w:r>
        <w:rPr>
          <w:rFonts w:ascii="Times New Roman" w:hAnsi="Times New Roman" w:eastAsia="Times New Roman"/>
          <w:b w:val="0"/>
          <w:i w:val="0"/>
          <w:sz w:val="24"/>
        </w:rPr>
        <w:t>Conflict: the collection draft pre-names seven codes. Practice 2 forbids writing theme names first. If Data Analysis starts from Power/Legitimacy/Urgency as locked themes, Measures/Artifacts and Data Analysis are out of alignment with each other.</w:t>
      </w:r>
    </w:p>
    <w:p>
      <w:pPr>
        <w:spacing w:after="120" w:before="0" w:line="480" w:lineRule="auto"/>
      </w:pPr>
      <w:r>
        <w:rPr>
          <w:rFonts w:ascii="Times New Roman" w:hAnsi="Times New Roman" w:eastAsia="Times New Roman"/>
          <w:b w:val="0"/>
          <w:i w:val="0"/>
          <w:sz w:val="24"/>
        </w:rPr>
        <w:t xml:space="preserve">Bridge: keep the seven labels as the </w:t>
      </w:r>
      <w:r>
        <w:rPr>
          <w:rFonts w:ascii="Times New Roman" w:hAnsi="Times New Roman" w:eastAsia="Times New Roman"/>
          <w:b/>
          <w:i w:val="0"/>
          <w:sz w:val="24"/>
        </w:rPr>
        <w:t>Constructs</w:t>
      </w:r>
      <w:r>
        <w:rPr>
          <w:rFonts w:ascii="Times New Roman" w:hAnsi="Times New Roman" w:eastAsia="Times New Roman"/>
          <w:b w:val="0"/>
          <w:i w:val="0"/>
          <w:sz w:val="24"/>
        </w:rPr>
        <w:t xml:space="preserve"> node and as topical collection probes. Run Practice 2 Steps 1–2 on talk plus artifact maps. In Step 3, test for a salience-to-assurance bargain (who counted → who decided → what counted as proof). Then map emergent themes back to the Gap. Keep at least one boundary case per construct. Answer PQ1 and PQ2 in separate paragraphs.</w:t>
      </w:r>
    </w:p>
    <w:p>
      <w:pPr>
        <w:spacing w:after="160" w:before="240" w:line="480" w:lineRule="auto"/>
      </w:pPr>
      <w:r>
        <w:rPr>
          <w:rFonts w:ascii="Times New Roman" w:hAnsi="Times New Roman" w:eastAsia="Times New Roman"/>
          <w:b/>
          <w:i w:val="0"/>
          <w:color w:val="1F3A5F"/>
          <w:sz w:val="28"/>
        </w:rPr>
        <w:t>3. Construct-to-Measure Tracking Table</w:t>
      </w:r>
    </w:p>
    <w:p>
      <w:pPr>
        <w:spacing w:after="120" w:before="0" w:line="480" w:lineRule="auto"/>
      </w:pPr>
      <w:r>
        <w:rPr>
          <w:rFonts w:ascii="Times New Roman" w:hAnsi="Times New Roman" w:eastAsia="Times New Roman"/>
          <w:b w:val="0"/>
          <w:i w:val="0"/>
          <w:sz w:val="24"/>
        </w:rPr>
        <w:t>This is the Alignment Map test for the Measures/Artifacts and Data Collection markers: each Gap/Construct cell must have a collectable measure.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line="240" w:lineRule="auto"/>
            </w:pPr>
            <w:r/>
            <w:r>
              <w:rPr>
                <w:rFonts w:ascii="Times New Roman" w:hAnsi="Times New Roman" w:eastAsia="Times New Roman"/>
                <w:b/>
                <w:i w:val="0"/>
                <w:sz w:val="20"/>
              </w:rPr>
              <w:t>Gap / construct</w:t>
            </w:r>
          </w:p>
        </w:tc>
        <w:tc>
          <w:tcPr>
            <w:tcW w:type="dxa" w:w="1872"/>
          </w:tcPr>
          <w:p>
            <w:pPr>
              <w:spacing w:after="40" w:before="40" w:line="240" w:lineRule="auto"/>
            </w:pPr>
            <w:r/>
            <w:r>
              <w:rPr>
                <w:rFonts w:ascii="Times New Roman" w:hAnsi="Times New Roman" w:eastAsia="Times New Roman"/>
                <w:b/>
                <w:i w:val="0"/>
                <w:sz w:val="20"/>
              </w:rPr>
              <w:t>Data required</w:t>
            </w:r>
          </w:p>
        </w:tc>
        <w:tc>
          <w:tcPr>
            <w:tcW w:type="dxa" w:w="1872"/>
          </w:tcPr>
          <w:p>
            <w:pPr>
              <w:spacing w:after="40" w:before="40" w:line="240" w:lineRule="auto"/>
            </w:pPr>
            <w:r/>
            <w:r>
              <w:rPr>
                <w:rFonts w:ascii="Times New Roman" w:hAnsi="Times New Roman" w:eastAsia="Times New Roman"/>
                <w:b/>
                <w:i w:val="0"/>
                <w:sz w:val="20"/>
              </w:rPr>
              <w:t>What the draft collects</w:t>
            </w:r>
          </w:p>
        </w:tc>
        <w:tc>
          <w:tcPr>
            <w:tcW w:type="dxa" w:w="1872"/>
          </w:tcPr>
          <w:p>
            <w:pPr>
              <w:spacing w:after="40" w:before="40" w:line="240" w:lineRule="auto"/>
            </w:pPr>
            <w:r/>
            <w:r>
              <w:rPr>
                <w:rFonts w:ascii="Times New Roman" w:hAnsi="Times New Roman" w:eastAsia="Times New Roman"/>
                <w:b/>
                <w:i w:val="0"/>
                <w:sz w:val="20"/>
              </w:rPr>
              <w:t>Rating</w:t>
            </w:r>
          </w:p>
        </w:tc>
        <w:tc>
          <w:tcPr>
            <w:tcW w:type="dxa" w:w="1872"/>
          </w:tcPr>
          <w:p>
            <w:pPr>
              <w:spacing w:after="40" w:before="40" w:line="240" w:lineRule="auto"/>
            </w:pPr>
            <w:r/>
            <w:r>
              <w:rPr>
                <w:rFonts w:ascii="Times New Roman" w:hAnsi="Times New Roman" w:eastAsia="Times New Roman"/>
                <w:b/>
                <w:i w:val="0"/>
                <w:sz w:val="20"/>
              </w:rPr>
              <w:t>Fix</w:t>
            </w:r>
          </w:p>
        </w:tc>
      </w:tr>
      <w:tr>
        <w:tc>
          <w:tcPr>
            <w:tcW w:type="dxa" w:w="1872"/>
          </w:tcPr>
          <w:p>
            <w:pPr>
              <w:spacing w:after="40" w:before="40" w:line="240" w:lineRule="auto"/>
            </w:pPr>
            <w:r/>
            <w:r>
              <w:rPr>
                <w:rFonts w:ascii="Times New Roman" w:hAnsi="Times New Roman" w:eastAsia="Times New Roman"/>
                <w:b w:val="0"/>
                <w:i w:val="0"/>
                <w:sz w:val="20"/>
              </w:rPr>
              <w:t>Stakeholder-claim management</w:t>
            </w:r>
          </w:p>
        </w:tc>
        <w:tc>
          <w:tcPr>
            <w:tcW w:type="dxa" w:w="1872"/>
          </w:tcPr>
          <w:p>
            <w:pPr>
              <w:spacing w:after="40" w:before="40" w:line="240" w:lineRule="auto"/>
            </w:pPr>
            <w:r/>
            <w:r>
              <w:rPr>
                <w:rFonts w:ascii="Times New Roman" w:hAnsi="Times New Roman" w:eastAsia="Times New Roman"/>
                <w:b w:val="0"/>
                <w:i w:val="0"/>
                <w:sz w:val="20"/>
              </w:rPr>
              <w:t>One incident with competing claims</w:t>
            </w:r>
          </w:p>
        </w:tc>
        <w:tc>
          <w:tcPr>
            <w:tcW w:type="dxa" w:w="1872"/>
          </w:tcPr>
          <w:p>
            <w:pPr>
              <w:spacing w:after="40" w:before="40" w:line="240" w:lineRule="auto"/>
            </w:pPr>
            <w:r/>
            <w:r>
              <w:rPr>
                <w:rFonts w:ascii="Times New Roman" w:hAnsi="Times New Roman" w:eastAsia="Times New Roman"/>
                <w:b w:val="0"/>
                <w:i w:val="0"/>
                <w:sz w:val="20"/>
              </w:rPr>
              <w:t>CIT described; no opening prompt</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Section 4.1 opening</w:t>
            </w:r>
          </w:p>
        </w:tc>
      </w:tr>
      <w:tr>
        <w:tc>
          <w:tcPr>
            <w:tcW w:type="dxa" w:w="1872"/>
          </w:tcPr>
          <w:p>
            <w:pPr>
              <w:spacing w:after="40" w:before="40" w:line="240" w:lineRule="auto"/>
            </w:pPr>
            <w:r/>
            <w:r>
              <w:rPr>
                <w:rFonts w:ascii="Times New Roman" w:hAnsi="Times New Roman" w:eastAsia="Times New Roman"/>
                <w:b w:val="0"/>
                <w:i w:val="0"/>
                <w:sz w:val="20"/>
              </w:rPr>
              <w:t>Power</w:t>
            </w:r>
          </w:p>
        </w:tc>
        <w:tc>
          <w:tcPr>
            <w:tcW w:type="dxa" w:w="1872"/>
          </w:tcPr>
          <w:p>
            <w:pPr>
              <w:spacing w:after="40" w:before="40" w:line="240" w:lineRule="auto"/>
            </w:pPr>
            <w:r/>
            <w:r>
              <w:rPr>
                <w:rFonts w:ascii="Times New Roman" w:hAnsi="Times New Roman" w:eastAsia="Times New Roman"/>
                <w:b w:val="0"/>
                <w:i w:val="0"/>
                <w:sz w:val="20"/>
              </w:rPr>
              <w:t>Who could force, delay, or override</w:t>
            </w:r>
          </w:p>
        </w:tc>
        <w:tc>
          <w:tcPr>
            <w:tcW w:type="dxa" w:w="1872"/>
          </w:tcPr>
          <w:p>
            <w:pPr>
              <w:spacing w:after="40" w:before="40" w:line="240" w:lineRule="auto"/>
            </w:pPr>
            <w:r/>
            <w:r>
              <w:rPr>
                <w:rFonts w:ascii="Times New Roman" w:hAnsi="Times New Roman" w:eastAsia="Times New Roman"/>
                <w:b w:val="0"/>
                <w:i w:val="0"/>
                <w:sz w:val="20"/>
              </w:rPr>
              <w:t>Named as a code; no probe</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Salience set A</w:t>
            </w:r>
          </w:p>
        </w:tc>
      </w:tr>
      <w:tr>
        <w:tc>
          <w:tcPr>
            <w:tcW w:type="dxa" w:w="1872"/>
          </w:tcPr>
          <w:p>
            <w:pPr>
              <w:spacing w:after="40" w:before="40" w:line="240" w:lineRule="auto"/>
            </w:pPr>
            <w:r/>
            <w:r>
              <w:rPr>
                <w:rFonts w:ascii="Times New Roman" w:hAnsi="Times New Roman" w:eastAsia="Times New Roman"/>
                <w:b w:val="0"/>
                <w:i w:val="0"/>
                <w:sz w:val="20"/>
              </w:rPr>
              <w:t>Legitimacy</w:t>
            </w:r>
          </w:p>
        </w:tc>
        <w:tc>
          <w:tcPr>
            <w:tcW w:type="dxa" w:w="1872"/>
          </w:tcPr>
          <w:p>
            <w:pPr>
              <w:spacing w:after="40" w:before="40" w:line="240" w:lineRule="auto"/>
            </w:pPr>
            <w:r/>
            <w:r>
              <w:rPr>
                <w:rFonts w:ascii="Times New Roman" w:hAnsi="Times New Roman" w:eastAsia="Times New Roman"/>
                <w:b w:val="0"/>
                <w:i w:val="0"/>
                <w:sz w:val="20"/>
              </w:rPr>
              <w:t>Whose claim was treated as rightful</w:t>
            </w:r>
          </w:p>
        </w:tc>
        <w:tc>
          <w:tcPr>
            <w:tcW w:type="dxa" w:w="1872"/>
          </w:tcPr>
          <w:p>
            <w:pPr>
              <w:spacing w:after="40" w:before="40" w:line="240" w:lineRule="auto"/>
            </w:pPr>
            <w:r/>
            <w:r>
              <w:rPr>
                <w:rFonts w:ascii="Times New Roman" w:hAnsi="Times New Roman" w:eastAsia="Times New Roman"/>
                <w:b w:val="0"/>
                <w:i w:val="0"/>
                <w:sz w:val="20"/>
              </w:rPr>
              <w:t>Named as a code; no probe</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Salience set B</w:t>
            </w:r>
          </w:p>
        </w:tc>
      </w:tr>
      <w:tr>
        <w:tc>
          <w:tcPr>
            <w:tcW w:type="dxa" w:w="1872"/>
          </w:tcPr>
          <w:p>
            <w:pPr>
              <w:spacing w:after="40" w:before="40" w:line="240" w:lineRule="auto"/>
            </w:pPr>
            <w:r/>
            <w:r>
              <w:rPr>
                <w:rFonts w:ascii="Times New Roman" w:hAnsi="Times New Roman" w:eastAsia="Times New Roman"/>
                <w:b w:val="0"/>
                <w:i w:val="0"/>
                <w:sz w:val="20"/>
              </w:rPr>
              <w:t>Urgency</w:t>
            </w:r>
          </w:p>
        </w:tc>
        <w:tc>
          <w:tcPr>
            <w:tcW w:type="dxa" w:w="1872"/>
          </w:tcPr>
          <w:p>
            <w:pPr>
              <w:spacing w:after="40" w:before="40" w:line="240" w:lineRule="auto"/>
            </w:pPr>
            <w:r/>
            <w:r>
              <w:rPr>
                <w:rFonts w:ascii="Times New Roman" w:hAnsi="Times New Roman" w:eastAsia="Times New Roman"/>
                <w:b w:val="0"/>
                <w:i w:val="0"/>
                <w:sz w:val="20"/>
              </w:rPr>
              <w:t>What made restoration time-critical</w:t>
            </w:r>
          </w:p>
        </w:tc>
        <w:tc>
          <w:tcPr>
            <w:tcW w:type="dxa" w:w="1872"/>
          </w:tcPr>
          <w:p>
            <w:pPr>
              <w:spacing w:after="40" w:before="40" w:line="240" w:lineRule="auto"/>
            </w:pPr>
            <w:r/>
            <w:r>
              <w:rPr>
                <w:rFonts w:ascii="Times New Roman" w:hAnsi="Times New Roman" w:eastAsia="Times New Roman"/>
                <w:b w:val="0"/>
                <w:i w:val="0"/>
                <w:sz w:val="20"/>
              </w:rPr>
              <w:t>Named as a code; no probe</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Salience set C</w:t>
            </w:r>
          </w:p>
        </w:tc>
      </w:tr>
      <w:tr>
        <w:tc>
          <w:tcPr>
            <w:tcW w:type="dxa" w:w="1872"/>
          </w:tcPr>
          <w:p>
            <w:pPr>
              <w:spacing w:after="40" w:before="40" w:line="240" w:lineRule="auto"/>
            </w:pPr>
            <w:r/>
            <w:r>
              <w:rPr>
                <w:rFonts w:ascii="Times New Roman" w:hAnsi="Times New Roman" w:eastAsia="Times New Roman"/>
                <w:b w:val="0"/>
                <w:i w:val="0"/>
                <w:sz w:val="20"/>
              </w:rPr>
              <w:t>Decision rights</w:t>
            </w:r>
          </w:p>
        </w:tc>
        <w:tc>
          <w:tcPr>
            <w:tcW w:type="dxa" w:w="1872"/>
          </w:tcPr>
          <w:p>
            <w:pPr>
              <w:spacing w:after="40" w:before="40" w:line="240" w:lineRule="auto"/>
            </w:pPr>
            <w:r/>
            <w:r>
              <w:rPr>
                <w:rFonts w:ascii="Times New Roman" w:hAnsi="Times New Roman" w:eastAsia="Times New Roman"/>
                <w:b w:val="0"/>
                <w:i w:val="0"/>
                <w:sz w:val="20"/>
              </w:rPr>
              <w:t>Who was supposed to decide vs. who did</w:t>
            </w:r>
          </w:p>
        </w:tc>
        <w:tc>
          <w:tcPr>
            <w:tcW w:type="dxa" w:w="1872"/>
          </w:tcPr>
          <w:p>
            <w:pPr>
              <w:spacing w:after="40" w:before="40" w:line="240" w:lineRule="auto"/>
            </w:pPr>
            <w:r/>
            <w:r>
              <w:rPr>
                <w:rFonts w:ascii="Times New Roman" w:hAnsi="Times New Roman" w:eastAsia="Times New Roman"/>
                <w:b w:val="0"/>
                <w:i w:val="0"/>
                <w:sz w:val="20"/>
              </w:rPr>
              <w:t>Described; no item</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Enactment set D</w:t>
            </w:r>
          </w:p>
        </w:tc>
      </w:tr>
      <w:tr>
        <w:tc>
          <w:tcPr>
            <w:tcW w:type="dxa" w:w="1872"/>
          </w:tcPr>
          <w:p>
            <w:pPr>
              <w:spacing w:after="40" w:before="40" w:line="240" w:lineRule="auto"/>
            </w:pPr>
            <w:r/>
            <w:r>
              <w:rPr>
                <w:rFonts w:ascii="Times New Roman" w:hAnsi="Times New Roman" w:eastAsia="Times New Roman"/>
                <w:b w:val="0"/>
                <w:i w:val="0"/>
                <w:sz w:val="20"/>
              </w:rPr>
              <w:t>Escalation</w:t>
            </w:r>
          </w:p>
        </w:tc>
        <w:tc>
          <w:tcPr>
            <w:tcW w:type="dxa" w:w="1872"/>
          </w:tcPr>
          <w:p>
            <w:pPr>
              <w:spacing w:after="40" w:before="40" w:line="240" w:lineRule="auto"/>
            </w:pPr>
            <w:r/>
            <w:r>
              <w:rPr>
                <w:rFonts w:ascii="Times New Roman" w:hAnsi="Times New Roman" w:eastAsia="Times New Roman"/>
                <w:b w:val="0"/>
                <w:i w:val="0"/>
                <w:sz w:val="20"/>
              </w:rPr>
              <w:t>Trigger and effect on “done”</w:t>
            </w:r>
          </w:p>
        </w:tc>
        <w:tc>
          <w:tcPr>
            <w:tcW w:type="dxa" w:w="1872"/>
          </w:tcPr>
          <w:p>
            <w:pPr>
              <w:spacing w:after="40" w:before="40" w:line="240" w:lineRule="auto"/>
            </w:pPr>
            <w:r/>
            <w:r>
              <w:rPr>
                <w:rFonts w:ascii="Times New Roman" w:hAnsi="Times New Roman" w:eastAsia="Times New Roman"/>
                <w:b w:val="0"/>
                <w:i w:val="0"/>
                <w:sz w:val="20"/>
              </w:rPr>
              <w:t>Described; no item</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Enactment set E</w:t>
            </w:r>
          </w:p>
        </w:tc>
      </w:tr>
      <w:tr>
        <w:tc>
          <w:tcPr>
            <w:tcW w:type="dxa" w:w="1872"/>
          </w:tcPr>
          <w:p>
            <w:pPr>
              <w:spacing w:after="40" w:before="40" w:line="240" w:lineRule="auto"/>
            </w:pPr>
            <w:r/>
            <w:r>
              <w:rPr>
                <w:rFonts w:ascii="Times New Roman" w:hAnsi="Times New Roman" w:eastAsia="Times New Roman"/>
                <w:b w:val="0"/>
                <w:i w:val="0"/>
                <w:sz w:val="20"/>
              </w:rPr>
              <w:t>Evidentiary standards</w:t>
            </w:r>
          </w:p>
        </w:tc>
        <w:tc>
          <w:tcPr>
            <w:tcW w:type="dxa" w:w="1872"/>
          </w:tcPr>
          <w:p>
            <w:pPr>
              <w:spacing w:after="40" w:before="40" w:line="240" w:lineRule="auto"/>
            </w:pPr>
            <w:r/>
            <w:r>
              <w:rPr>
                <w:rFonts w:ascii="Times New Roman" w:hAnsi="Times New Roman" w:eastAsia="Times New Roman"/>
                <w:b w:val="0"/>
                <w:i w:val="0"/>
                <w:sz w:val="20"/>
              </w:rPr>
              <w:t>What counted as enough proof</w:t>
            </w:r>
          </w:p>
        </w:tc>
        <w:tc>
          <w:tcPr>
            <w:tcW w:type="dxa" w:w="1872"/>
          </w:tcPr>
          <w:p>
            <w:pPr>
              <w:spacing w:after="40" w:before="40" w:line="240" w:lineRule="auto"/>
            </w:pPr>
            <w:r/>
            <w:r>
              <w:rPr>
                <w:rFonts w:ascii="Times New Roman" w:hAnsi="Times New Roman" w:eastAsia="Times New Roman"/>
                <w:b w:val="0"/>
                <w:i w:val="0"/>
                <w:sz w:val="20"/>
              </w:rPr>
              <w:t>Claimed; no item</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Assurance set F</w:t>
            </w:r>
          </w:p>
        </w:tc>
      </w:tr>
      <w:tr>
        <w:tc>
          <w:tcPr>
            <w:tcW w:type="dxa" w:w="1872"/>
          </w:tcPr>
          <w:p>
            <w:pPr>
              <w:spacing w:after="40" w:before="40" w:line="240" w:lineRule="auto"/>
            </w:pPr>
            <w:r/>
            <w:r>
              <w:rPr>
                <w:rFonts w:ascii="Times New Roman" w:hAnsi="Times New Roman" w:eastAsia="Times New Roman"/>
                <w:b w:val="0"/>
                <w:i w:val="0"/>
                <w:sz w:val="20"/>
              </w:rPr>
              <w:t>Recoverability assurance</w:t>
            </w:r>
          </w:p>
        </w:tc>
        <w:tc>
          <w:tcPr>
            <w:tcW w:type="dxa" w:w="1872"/>
          </w:tcPr>
          <w:p>
            <w:pPr>
              <w:spacing w:after="40" w:before="40" w:line="240" w:lineRule="auto"/>
            </w:pPr>
            <w:r/>
            <w:r>
              <w:rPr>
                <w:rFonts w:ascii="Times New Roman" w:hAnsi="Times New Roman" w:eastAsia="Times New Roman"/>
                <w:b w:val="0"/>
                <w:i w:val="0"/>
                <w:sz w:val="20"/>
              </w:rPr>
              <w:t>Reviewable restoration artifacts</w:t>
            </w:r>
          </w:p>
        </w:tc>
        <w:tc>
          <w:tcPr>
            <w:tcW w:type="dxa" w:w="1872"/>
          </w:tcPr>
          <w:p>
            <w:pPr>
              <w:spacing w:after="40" w:before="40" w:line="240" w:lineRule="auto"/>
            </w:pPr>
            <w:r/>
            <w:r>
              <w:rPr>
                <w:rFonts w:ascii="Times New Roman" w:hAnsi="Times New Roman" w:eastAsia="Times New Roman"/>
                <w:b w:val="0"/>
                <w:i w:val="0"/>
                <w:sz w:val="20"/>
              </w:rPr>
              <w:t>Defined; no acquisition path</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Section 4.2</w:t>
            </w:r>
          </w:p>
        </w:tc>
      </w:tr>
      <w:tr>
        <w:tc>
          <w:tcPr>
            <w:tcW w:type="dxa" w:w="1872"/>
          </w:tcPr>
          <w:p>
            <w:pPr>
              <w:spacing w:after="40" w:before="40" w:line="240" w:lineRule="auto"/>
            </w:pPr>
            <w:r/>
            <w:r>
              <w:rPr>
                <w:rFonts w:ascii="Times New Roman" w:hAnsi="Times New Roman" w:eastAsia="Times New Roman"/>
                <w:b w:val="0"/>
                <w:i w:val="0"/>
                <w:sz w:val="20"/>
              </w:rPr>
              <w:t>Formal intent vs. ad hoc action</w:t>
            </w:r>
          </w:p>
        </w:tc>
        <w:tc>
          <w:tcPr>
            <w:tcW w:type="dxa" w:w="1872"/>
          </w:tcPr>
          <w:p>
            <w:pPr>
              <w:spacing w:after="40" w:before="40" w:line="240" w:lineRule="auto"/>
            </w:pPr>
            <w:r/>
            <w:r>
              <w:rPr>
                <w:rFonts w:ascii="Times New Roman" w:hAnsi="Times New Roman" w:eastAsia="Times New Roman"/>
                <w:b w:val="0"/>
                <w:i w:val="0"/>
                <w:sz w:val="20"/>
              </w:rPr>
              <w:t>Plan vs. what was actually restored</w:t>
            </w:r>
          </w:p>
        </w:tc>
        <w:tc>
          <w:tcPr>
            <w:tcW w:type="dxa" w:w="1872"/>
          </w:tcPr>
          <w:p>
            <w:pPr>
              <w:spacing w:after="40" w:before="40" w:line="240" w:lineRule="auto"/>
            </w:pPr>
            <w:r/>
            <w:r>
              <w:rPr>
                <w:rFonts w:ascii="Times New Roman" w:hAnsi="Times New Roman" w:eastAsia="Times New Roman"/>
                <w:b w:val="0"/>
                <w:i w:val="0"/>
                <w:sz w:val="20"/>
              </w:rPr>
              <w:t>Artifact review named; no rule</w:t>
            </w:r>
          </w:p>
        </w:tc>
        <w:tc>
          <w:tcPr>
            <w:tcW w:type="dxa" w:w="1872"/>
          </w:tcPr>
          <w:p>
            <w:pPr>
              <w:spacing w:after="40" w:before="40" w:line="240" w:lineRule="auto"/>
            </w:pPr>
            <w:r/>
            <w:r>
              <w:rPr>
                <w:rFonts w:ascii="Times New Roman" w:hAnsi="Times New Roman" w:eastAsia="Times New Roman"/>
                <w:b w:val="0"/>
                <w:i w:val="0"/>
                <w:sz w:val="20"/>
              </w:rPr>
              <w:t>Weak</w:t>
            </w:r>
          </w:p>
        </w:tc>
        <w:tc>
          <w:tcPr>
            <w:tcW w:type="dxa" w:w="1872"/>
          </w:tcPr>
          <w:p>
            <w:pPr>
              <w:spacing w:after="40" w:before="40" w:line="240" w:lineRule="auto"/>
            </w:pPr>
            <w:r/>
            <w:r>
              <w:rPr>
                <w:rFonts w:ascii="Times New Roman" w:hAnsi="Times New Roman" w:eastAsia="Times New Roman"/>
                <w:b w:val="0"/>
                <w:i w:val="0"/>
                <w:sz w:val="20"/>
              </w:rPr>
              <w:t>Field-note artifact map in the MU table</w:t>
            </w:r>
          </w:p>
        </w:tc>
      </w:tr>
      <w:tr>
        <w:tc>
          <w:tcPr>
            <w:tcW w:type="dxa" w:w="1872"/>
          </w:tcPr>
          <w:p>
            <w:pPr>
              <w:spacing w:after="40" w:before="40" w:line="240" w:lineRule="auto"/>
            </w:pPr>
            <w:r/>
            <w:r>
              <w:rPr>
                <w:rFonts w:ascii="Times New Roman" w:hAnsi="Times New Roman" w:eastAsia="Times New Roman"/>
                <w:b w:val="0"/>
                <w:i w:val="0"/>
                <w:sz w:val="20"/>
              </w:rPr>
              <w:t>Who cares / why now</w:t>
            </w:r>
          </w:p>
        </w:tc>
        <w:tc>
          <w:tcPr>
            <w:tcW w:type="dxa" w:w="1872"/>
          </w:tcPr>
          <w:p>
            <w:pPr>
              <w:spacing w:after="40" w:before="40" w:line="240" w:lineRule="auto"/>
            </w:pPr>
            <w:r/>
            <w:r>
              <w:rPr>
                <w:rFonts w:ascii="Times New Roman" w:hAnsi="Times New Roman" w:eastAsia="Times New Roman"/>
                <w:b w:val="0"/>
                <w:i w:val="0"/>
                <w:sz w:val="20"/>
              </w:rPr>
              <w:t>Contested restoration legitimacy</w:t>
            </w:r>
          </w:p>
        </w:tc>
        <w:tc>
          <w:tcPr>
            <w:tcW w:type="dxa" w:w="1872"/>
          </w:tcPr>
          <w:p>
            <w:pPr>
              <w:spacing w:after="40" w:before="40" w:line="240" w:lineRule="auto"/>
            </w:pPr>
            <w:r/>
            <w:r>
              <w:rPr>
                <w:rFonts w:ascii="Times New Roman" w:hAnsi="Times New Roman" w:eastAsia="Times New Roman"/>
                <w:b w:val="0"/>
                <w:i w:val="0"/>
                <w:sz w:val="20"/>
              </w:rPr>
              <w:t>In the Gap, not instrumented</w:t>
            </w:r>
          </w:p>
        </w:tc>
        <w:tc>
          <w:tcPr>
            <w:tcW w:type="dxa" w:w="1872"/>
          </w:tcPr>
          <w:p>
            <w:pPr>
              <w:spacing w:after="40" w:before="40" w:line="240" w:lineRule="auto"/>
            </w:pPr>
            <w:r/>
            <w:r>
              <w:rPr>
                <w:rFonts w:ascii="Times New Roman" w:hAnsi="Times New Roman" w:eastAsia="Times New Roman"/>
                <w:b w:val="0"/>
                <w:i w:val="0"/>
                <w:sz w:val="20"/>
              </w:rPr>
              <w:t>Partial</w:t>
            </w:r>
          </w:p>
        </w:tc>
        <w:tc>
          <w:tcPr>
            <w:tcW w:type="dxa" w:w="1872"/>
          </w:tcPr>
          <w:p>
            <w:pPr>
              <w:spacing w:after="40" w:before="40" w:line="240" w:lineRule="auto"/>
            </w:pPr>
            <w:r/>
            <w:r>
              <w:rPr>
                <w:rFonts w:ascii="Times New Roman" w:hAnsi="Times New Roman" w:eastAsia="Times New Roman"/>
                <w:b w:val="0"/>
                <w:i w:val="0"/>
                <w:sz w:val="20"/>
              </w:rPr>
              <w:t>Closing prompt</w:t>
            </w:r>
          </w:p>
        </w:tc>
      </w:tr>
    </w:tbl>
    <w:p/>
    <w:p>
      <w:pPr>
        <w:spacing w:after="160" w:before="240" w:line="480" w:lineRule="auto"/>
      </w:pPr>
      <w:r>
        <w:rPr>
          <w:rFonts w:ascii="Times New Roman" w:hAnsi="Times New Roman" w:eastAsia="Times New Roman"/>
          <w:b/>
          <w:i w:val="0"/>
          <w:color w:val="1F3A5F"/>
          <w:sz w:val="28"/>
        </w:rPr>
        <w:t>4. Missing Data Collection Steps (Stakeholder-Salience Guide)</w:t>
      </w:r>
    </w:p>
    <w:p>
      <w:pPr>
        <w:spacing w:after="120" w:before="0" w:line="480" w:lineRule="auto"/>
      </w:pPr>
      <w:r>
        <w:rPr>
          <w:rFonts w:ascii="Times New Roman" w:hAnsi="Times New Roman" w:eastAsia="Times New Roman"/>
          <w:b w:val="0"/>
          <w:i w:val="0"/>
          <w:sz w:val="24"/>
        </w:rPr>
        <w:t xml:space="preserve">The Alignment Map’s Data Collection marker has no written steps in the draft. Qualitative stakeholder-salience supplies them. The </w:t>
      </w:r>
      <w:r>
        <w:rPr>
          <w:rFonts w:ascii="Times New Roman" w:hAnsi="Times New Roman" w:eastAsia="Times New Roman"/>
          <w:b/>
          <w:i w:val="0"/>
          <w:sz w:val="24"/>
        </w:rPr>
        <w:t>detailed, paste-ready versions</w:t>
      </w:r>
      <w:r>
        <w:rPr>
          <w:rFonts w:ascii="Times New Roman" w:hAnsi="Times New Roman" w:eastAsia="Times New Roman"/>
          <w:b w:val="0"/>
          <w:i w:val="0"/>
          <w:sz w:val="24"/>
        </w:rPr>
        <w:t xml:space="preserve"> — timed protocol, artifact pipeline, analysis bridge, citation table, language swaps, and ethics SOPs — are in [collection-analysis-revision-packet.md](collection-analysis-revision-packet.md). Each block labeled </w:t>
      </w:r>
      <w:r>
        <w:rPr>
          <w:rFonts w:ascii="Times New Roman" w:hAnsi="Times New Roman" w:eastAsia="Times New Roman"/>
          <w:b/>
          <w:i w:val="0"/>
          <w:sz w:val="24"/>
        </w:rPr>
        <w:t>NEW</w:t>
      </w:r>
      <w:r>
        <w:rPr>
          <w:rFonts w:ascii="Times New Roman" w:hAnsi="Times New Roman" w:eastAsia="Times New Roman"/>
          <w:b w:val="0"/>
          <w:i w:val="0"/>
          <w:sz w:val="24"/>
        </w:rPr>
        <w:t xml:space="preserve"> is a new written effort. The short form below is the map-level summary only.</w:t>
      </w:r>
    </w:p>
    <w:p>
      <w:pPr>
        <w:spacing w:after="160" w:before="240" w:line="480" w:lineRule="auto"/>
      </w:pPr>
      <w:r>
        <w:rPr>
          <w:rFonts w:ascii="Times New Roman" w:hAnsi="Times New Roman" w:eastAsia="Times New Roman"/>
          <w:b/>
          <w:i w:val="0"/>
          <w:color w:val="1F3A5F"/>
          <w:sz w:val="24"/>
        </w:rPr>
        <w:t>4.1 Interview protocol (Measures/Artifacts completed by the participant)</w:t>
      </w:r>
    </w:p>
    <w:p>
      <w:pPr>
        <w:spacing w:after="120" w:before="0" w:line="480" w:lineRule="auto"/>
      </w:pPr>
      <w:r>
        <w:rPr>
          <w:rFonts w:ascii="Times New Roman" w:hAnsi="Times New Roman" w:eastAsia="Times New Roman"/>
          <w:b/>
          <w:i w:val="0"/>
          <w:sz w:val="24"/>
        </w:rPr>
        <w:t>Opening (ethics, 2–3 minutes).</w:t>
      </w:r>
      <w:r>
        <w:rPr>
          <w:rFonts w:ascii="Times New Roman" w:hAnsi="Times New Roman" w:eastAsia="Times New Roman"/>
          <w:b w:val="0"/>
          <w:i w:val="0"/>
          <w:sz w:val="24"/>
        </w:rPr>
        <w:t xml:space="preserve"> Restate purpose, voluntary participation, withdrawal, recording, confidentiality of person and organization, and that no disaster-recovery document need be shared.</w:t>
      </w:r>
    </w:p>
    <w:p>
      <w:pPr>
        <w:spacing w:after="120" w:before="0" w:line="480" w:lineRule="auto"/>
      </w:pPr>
      <w:r>
        <w:rPr>
          <w:rFonts w:ascii="Times New Roman" w:hAnsi="Times New Roman" w:eastAsia="Times New Roman"/>
          <w:b/>
          <w:i w:val="0"/>
          <w:sz w:val="24"/>
        </w:rPr>
        <w:t>CIT opening (PQ1; 10–15 minutes).</w:t>
      </w:r>
    </w:p>
    <w:p>
      <w:pPr>
        <w:spacing w:after="120" w:before="0" w:line="480" w:lineRule="auto"/>
      </w:pPr>
      <w:r>
        <w:rPr>
          <w:rFonts w:ascii="Times New Roman" w:hAnsi="Times New Roman" w:eastAsia="Times New Roman"/>
          <w:i/>
          <w:sz w:val="24"/>
        </w:rPr>
        <w:t>Please walk me through one specific disruption, failover, recovery test, or operational recovery in the last 36 months where you used an external recovery platform or managed recovery service. Start wherever the event became your problem, and tell me what happened in as much detail as you can.</w:t>
      </w:r>
    </w:p>
    <w:p>
      <w:pPr>
        <w:spacing w:after="120" w:before="0" w:line="480" w:lineRule="auto"/>
      </w:pPr>
      <w:r>
        <w:rPr>
          <w:rFonts w:ascii="Times New Roman" w:hAnsi="Times New Roman" w:eastAsia="Times New Roman"/>
          <w:b w:val="0"/>
          <w:i w:val="0"/>
          <w:sz w:val="24"/>
        </w:rPr>
        <w:t xml:space="preserve">If the account stays abstract: </w:t>
      </w:r>
      <w:r>
        <w:rPr>
          <w:rFonts w:ascii="Times New Roman" w:hAnsi="Times New Roman" w:eastAsia="Times New Roman"/>
          <w:i/>
          <w:sz w:val="24"/>
        </w:rPr>
        <w:t>If you can, stay with that one event rather than with how recovery usually works.</w:t>
      </w:r>
    </w:p>
    <w:p>
      <w:pPr>
        <w:spacing w:after="120" w:before="0" w:line="480" w:lineRule="auto"/>
      </w:pPr>
      <w:r>
        <w:rPr>
          <w:rFonts w:ascii="Times New Roman" w:hAnsi="Times New Roman" w:eastAsia="Times New Roman"/>
          <w:b/>
          <w:i w:val="0"/>
          <w:sz w:val="24"/>
        </w:rPr>
        <w:t>Topical guiding questions if the participant does not raise the construct.</w:t>
      </w:r>
      <w:r>
        <w:rPr>
          <w:rFonts w:ascii="Times New Roman" w:hAnsi="Times New Roman" w:eastAsia="Times New Roman"/>
          <w:b w:val="0"/>
          <w:i w:val="0"/>
          <w:sz w:val="24"/>
        </w:rPr>
        <w:t xml:space="preserve"> Manager language only. Theoretical labels stay on the Constructs node, not in the question (Capella guiding-question rules).</w:t>
      </w:r>
    </w:p>
    <w:p>
      <w:pPr>
        <w:spacing w:after="120" w:before="0" w:line="480" w:lineRule="auto"/>
      </w:pPr>
      <w:r>
        <w:rPr>
          <w:rFonts w:ascii="Times New Roman" w:hAnsi="Times New Roman" w:eastAsia="Times New Roman"/>
          <w:b/>
          <w:i w:val="0"/>
          <w:sz w:val="24"/>
        </w:rPr>
        <w:t>Salience set A — Power (PQ1)</w:t>
      </w:r>
    </w:p>
    <w:p>
      <w:pPr>
        <w:pStyle w:val="ListBullet"/>
        <w:spacing w:line="480" w:lineRule="auto"/>
      </w:pPr>
      <w:r>
        <w:rPr>
          <w:rFonts w:ascii="Times New Roman" w:hAnsi="Times New Roman" w:eastAsia="Times New Roman"/>
          <w:i/>
          <w:sz w:val="24"/>
        </w:rPr>
        <w:t>In that event, whose request or pressure most affected what got restored first?</w:t>
      </w:r>
    </w:p>
    <w:p>
      <w:pPr>
        <w:pStyle w:val="ListBullet"/>
        <w:spacing w:line="480" w:lineRule="auto"/>
      </w:pPr>
      <w:r>
        <w:rPr>
          <w:rFonts w:ascii="Times New Roman" w:hAnsi="Times New Roman" w:eastAsia="Times New Roman"/>
          <w:i/>
          <w:sz w:val="24"/>
        </w:rPr>
        <w:t>Was there anyone who could delay, override, or stop a recovery action you thought was right?</w:t>
      </w:r>
    </w:p>
    <w:p>
      <w:pPr>
        <w:pStyle w:val="ListBullet"/>
        <w:spacing w:line="480" w:lineRule="auto"/>
      </w:pPr>
      <w:r>
        <w:rPr>
          <w:rFonts w:ascii="Times New Roman" w:hAnsi="Times New Roman" w:eastAsia="Times New Roman"/>
          <w:i/>
          <w:sz w:val="24"/>
        </w:rPr>
        <w:t>If that pressure had not been there, what would you have done differently?</w:t>
      </w:r>
    </w:p>
    <w:p>
      <w:pPr>
        <w:spacing w:after="120" w:before="0" w:line="480" w:lineRule="auto"/>
      </w:pPr>
      <w:r>
        <w:rPr>
          <w:rFonts w:ascii="Times New Roman" w:hAnsi="Times New Roman" w:eastAsia="Times New Roman"/>
          <w:b/>
          <w:i w:val="0"/>
          <w:sz w:val="24"/>
        </w:rPr>
        <w:t>Salience set B — Legitimacy (PQ1)</w:t>
      </w:r>
    </w:p>
    <w:p>
      <w:pPr>
        <w:pStyle w:val="ListBullet"/>
        <w:spacing w:line="480" w:lineRule="auto"/>
      </w:pPr>
      <w:r>
        <w:rPr>
          <w:rFonts w:ascii="Times New Roman" w:hAnsi="Times New Roman" w:eastAsia="Times New Roman"/>
          <w:i/>
          <w:sz w:val="24"/>
        </w:rPr>
        <w:t>Whose claim to a service or a recovery order did people treat as legitimate — as “they have a right to ask for this”?</w:t>
      </w:r>
    </w:p>
    <w:p>
      <w:pPr>
        <w:pStyle w:val="ListBullet"/>
        <w:spacing w:line="480" w:lineRule="auto"/>
      </w:pPr>
      <w:r>
        <w:rPr>
          <w:rFonts w:ascii="Times New Roman" w:hAnsi="Times New Roman" w:eastAsia="Times New Roman"/>
          <w:i/>
          <w:sz w:val="24"/>
        </w:rPr>
        <w:t>Was anyone’s request treated as out of line or outside their role? What happened then?</w:t>
      </w:r>
    </w:p>
    <w:p>
      <w:pPr>
        <w:spacing w:after="120" w:before="0" w:line="480" w:lineRule="auto"/>
      </w:pPr>
      <w:r>
        <w:rPr>
          <w:rFonts w:ascii="Times New Roman" w:hAnsi="Times New Roman" w:eastAsia="Times New Roman"/>
          <w:b/>
          <w:i w:val="0"/>
          <w:sz w:val="24"/>
        </w:rPr>
        <w:t>Salience set C — Urgency (PQ1)</w:t>
      </w:r>
    </w:p>
    <w:p>
      <w:pPr>
        <w:pStyle w:val="ListBullet"/>
        <w:spacing w:line="480" w:lineRule="auto"/>
      </w:pPr>
      <w:r>
        <w:rPr>
          <w:rFonts w:ascii="Times New Roman" w:hAnsi="Times New Roman" w:eastAsia="Times New Roman"/>
          <w:i/>
          <w:sz w:val="24"/>
        </w:rPr>
        <w:t>What made one service or one stakeholder more time-critical than another in that event?</w:t>
      </w:r>
    </w:p>
    <w:p>
      <w:pPr>
        <w:pStyle w:val="ListBullet"/>
        <w:spacing w:line="480" w:lineRule="auto"/>
      </w:pPr>
      <w:r>
        <w:rPr>
          <w:rFonts w:ascii="Times New Roman" w:hAnsi="Times New Roman" w:eastAsia="Times New Roman"/>
          <w:i/>
          <w:sz w:val="24"/>
        </w:rPr>
        <w:t>Did that sense of urgency change while you were working the incident? What changed it?</w:t>
      </w:r>
    </w:p>
    <w:p>
      <w:pPr>
        <w:spacing w:after="120" w:before="0" w:line="480" w:lineRule="auto"/>
      </w:pPr>
      <w:r>
        <w:rPr>
          <w:rFonts w:ascii="Times New Roman" w:hAnsi="Times New Roman" w:eastAsia="Times New Roman"/>
          <w:b/>
          <w:i w:val="0"/>
          <w:sz w:val="24"/>
        </w:rPr>
        <w:t>Enactment set D — Decision rights (PQ2)</w:t>
      </w:r>
    </w:p>
    <w:p>
      <w:pPr>
        <w:pStyle w:val="ListBullet"/>
        <w:spacing w:line="480" w:lineRule="auto"/>
      </w:pPr>
      <w:r>
        <w:rPr>
          <w:rFonts w:ascii="Times New Roman" w:hAnsi="Times New Roman" w:eastAsia="Times New Roman"/>
          <w:i/>
          <w:sz w:val="24"/>
        </w:rPr>
        <w:t>Who was supposed to make the call on that tradeoff, and who actually made it?</w:t>
      </w:r>
    </w:p>
    <w:p>
      <w:pPr>
        <w:pStyle w:val="ListBullet"/>
        <w:spacing w:line="480" w:lineRule="auto"/>
      </w:pPr>
      <w:r>
        <w:rPr>
          <w:rFonts w:ascii="Times New Roman" w:hAnsi="Times New Roman" w:eastAsia="Times New Roman"/>
          <w:i/>
          <w:sz w:val="24"/>
        </w:rPr>
        <w:t>Was there a moment when you needed authority you did not have? What did you do?</w:t>
      </w:r>
    </w:p>
    <w:p>
      <w:pPr>
        <w:spacing w:after="120" w:before="0" w:line="480" w:lineRule="auto"/>
      </w:pPr>
      <w:r>
        <w:rPr>
          <w:rFonts w:ascii="Times New Roman" w:hAnsi="Times New Roman" w:eastAsia="Times New Roman"/>
          <w:b/>
          <w:i w:val="0"/>
          <w:sz w:val="24"/>
        </w:rPr>
        <w:t>Enactment set E — Escalation (PQ2)</w:t>
      </w:r>
    </w:p>
    <w:p>
      <w:pPr>
        <w:pStyle w:val="ListBullet"/>
        <w:spacing w:line="480" w:lineRule="auto"/>
      </w:pPr>
      <w:r>
        <w:rPr>
          <w:rFonts w:ascii="Times New Roman" w:hAnsi="Times New Roman" w:eastAsia="Times New Roman"/>
          <w:i/>
          <w:sz w:val="24"/>
        </w:rPr>
        <w:t>What, if anything, triggered an escalation?</w:t>
      </w:r>
    </w:p>
    <w:p>
      <w:pPr>
        <w:pStyle w:val="ListBullet"/>
        <w:spacing w:line="480" w:lineRule="auto"/>
      </w:pPr>
      <w:r>
        <w:rPr>
          <w:rFonts w:ascii="Times New Roman" w:hAnsi="Times New Roman" w:eastAsia="Times New Roman"/>
          <w:i/>
          <w:sz w:val="24"/>
        </w:rPr>
        <w:t>Did escalation speed the restoration, slow it, or change what “done” meant?</w:t>
      </w:r>
    </w:p>
    <w:p>
      <w:pPr>
        <w:spacing w:after="120" w:before="0" w:line="480" w:lineRule="auto"/>
      </w:pPr>
      <w:r>
        <w:rPr>
          <w:rFonts w:ascii="Times New Roman" w:hAnsi="Times New Roman" w:eastAsia="Times New Roman"/>
          <w:b/>
          <w:i w:val="0"/>
          <w:sz w:val="24"/>
        </w:rPr>
        <w:t>Assurance set F — Evidentiary standards and recoverability assurance (PQ2)</w:t>
      </w:r>
    </w:p>
    <w:p>
      <w:pPr>
        <w:pStyle w:val="ListBullet"/>
        <w:spacing w:line="480" w:lineRule="auto"/>
      </w:pPr>
      <w:r>
        <w:rPr>
          <w:rFonts w:ascii="Times New Roman" w:hAnsi="Times New Roman" w:eastAsia="Times New Roman"/>
          <w:i/>
          <w:sz w:val="24"/>
        </w:rPr>
        <w:t>When you told others the service was recovered, what did you treat as enough proof?</w:t>
      </w:r>
    </w:p>
    <w:p>
      <w:pPr>
        <w:pStyle w:val="ListBullet"/>
        <w:spacing w:line="480" w:lineRule="auto"/>
      </w:pPr>
      <w:r>
        <w:rPr>
          <w:rFonts w:ascii="Times New Roman" w:hAnsi="Times New Roman" w:eastAsia="Times New Roman"/>
          <w:i/>
          <w:sz w:val="24"/>
        </w:rPr>
        <w:t>Did anyone ask for different proof mid-incident? What did you do?</w:t>
      </w:r>
    </w:p>
    <w:p>
      <w:pPr>
        <w:pStyle w:val="ListBullet"/>
        <w:spacing w:line="480" w:lineRule="auto"/>
      </w:pPr>
      <w:r>
        <w:rPr>
          <w:rFonts w:ascii="Times New Roman" w:hAnsi="Times New Roman" w:eastAsia="Times New Roman"/>
          <w:i/>
          <w:sz w:val="24"/>
        </w:rPr>
        <w:t>Looking back, what would you point to — a log, a test, an approval, a ticket — if you had to defend that restoration?</w:t>
      </w:r>
    </w:p>
    <w:p>
      <w:pPr>
        <w:spacing w:after="120" w:before="0" w:line="480" w:lineRule="auto"/>
      </w:pPr>
      <w:r>
        <w:rPr>
          <w:rFonts w:ascii="Times New Roman" w:hAnsi="Times New Roman" w:eastAsia="Times New Roman"/>
          <w:b/>
          <w:i w:val="0"/>
          <w:sz w:val="24"/>
        </w:rPr>
        <w:t>Closing (who cares / why now).</w:t>
      </w:r>
    </w:p>
    <w:p>
      <w:pPr>
        <w:pStyle w:val="ListBullet"/>
        <w:spacing w:line="480" w:lineRule="auto"/>
      </w:pPr>
      <w:r>
        <w:rPr>
          <w:rFonts w:ascii="Times New Roman" w:hAnsi="Times New Roman" w:eastAsia="Times New Roman"/>
          <w:i/>
          <w:sz w:val="24"/>
        </w:rPr>
        <w:t>Is there anything about who had to be convinced, and with what, that I have not asked about?</w:t>
      </w:r>
    </w:p>
    <w:p>
      <w:pPr>
        <w:spacing w:after="120" w:before="0" w:line="480" w:lineRule="auto"/>
      </w:pPr>
      <w:r>
        <w:rPr>
          <w:rFonts w:ascii="Times New Roman" w:hAnsi="Times New Roman" w:eastAsia="Times New Roman"/>
          <w:b w:val="0"/>
          <w:i w:val="0"/>
          <w:sz w:val="24"/>
        </w:rPr>
        <w:t>Then the artifact request.</w:t>
      </w:r>
    </w:p>
    <w:p>
      <w:pPr>
        <w:spacing w:after="120" w:before="0" w:line="480" w:lineRule="auto"/>
      </w:pPr>
      <w:r>
        <w:rPr>
          <w:rFonts w:ascii="Times New Roman" w:hAnsi="Times New Roman" w:eastAsia="Times New Roman"/>
          <w:b w:val="0"/>
          <w:i w:val="0"/>
          <w:sz w:val="24"/>
        </w:rPr>
        <w:t xml:space="preserve">Flexible probes only: </w:t>
      </w:r>
      <w:r>
        <w:rPr>
          <w:rFonts w:ascii="Times New Roman" w:hAnsi="Times New Roman" w:eastAsia="Times New Roman"/>
          <w:i/>
          <w:sz w:val="24"/>
        </w:rPr>
        <w:t>What would be an example of that? Please say more about that moment. Who else was in that conversation?</w:t>
      </w:r>
    </w:p>
    <w:p>
      <w:pPr>
        <w:spacing w:after="160" w:before="240" w:line="480" w:lineRule="auto"/>
      </w:pPr>
      <w:r>
        <w:rPr>
          <w:rFonts w:ascii="Times New Roman" w:hAnsi="Times New Roman" w:eastAsia="Times New Roman"/>
          <w:b/>
          <w:i w:val="0"/>
          <w:color w:val="1F3A5F"/>
          <w:sz w:val="24"/>
        </w:rPr>
        <w:t>4.2 Artifact request and fallback (Measures/Artifacts completed by the researcher)</w:t>
      </w:r>
    </w:p>
    <w:p>
      <w:pPr>
        <w:spacing w:after="120" w:before="0" w:line="480" w:lineRule="auto"/>
      </w:pPr>
      <w:r>
        <w:rPr>
          <w:rFonts w:ascii="Times New Roman" w:hAnsi="Times New Roman" w:eastAsia="Times New Roman"/>
          <w:i/>
          <w:sz w:val="24"/>
        </w:rPr>
        <w:t>You mentioned [plan / matrix / ticket / test / approval]. I do not need a confidential file. If you are allowed to share a redacted excerpt, that helps me see how the written process compared with what you actually did. If you cannot share it, please just describe what that document or record did in the event — who used it, who ignored it, and whether it counted as proof.</w:t>
      </w:r>
    </w:p>
    <w:p>
      <w:pPr>
        <w:spacing w:after="120" w:before="0" w:line="480" w:lineRule="auto"/>
      </w:pPr>
      <w:r>
        <w:rPr>
          <w:rFonts w:ascii="Times New Roman" w:hAnsi="Times New Roman" w:eastAsia="Times New Roman"/>
          <w:b w:val="0"/>
          <w:i w:val="0"/>
          <w:sz w:val="24"/>
        </w:rPr>
        <w:t>If nothing can be shared, write a field-note reconstruction: artifact type, role in the incident, whether it confirmed or contradicted the spoken account, and which meaning unit it later supports or bounds. Do not score the artifact against NIST, ISO, or BCM. Those frameworks remain What We Know, as the Shoogleit paper remained context in Practice 2.</w:t>
      </w:r>
    </w:p>
    <w:p>
      <w:pPr>
        <w:spacing w:after="160" w:before="240" w:line="480" w:lineRule="auto"/>
      </w:pPr>
      <w:r>
        <w:rPr>
          <w:rFonts w:ascii="Times New Roman" w:hAnsi="Times New Roman" w:eastAsia="Times New Roman"/>
          <w:b/>
          <w:i w:val="0"/>
          <w:color w:val="1F3A5F"/>
          <w:sz w:val="24"/>
        </w:rPr>
        <w:t>4.3 Procedures paragraph for ethics (feeds Dependability)</w:t>
      </w:r>
    </w:p>
    <w:p>
      <w:pPr>
        <w:spacing w:after="120" w:before="0" w:line="480" w:lineRule="auto"/>
      </w:pPr>
      <w:r>
        <w:rPr>
          <w:rFonts w:ascii="Times New Roman" w:hAnsi="Times New Roman" w:eastAsia="Times New Roman"/>
          <w:b w:val="0"/>
          <w:i w:val="0"/>
          <w:sz w:val="24"/>
        </w:rPr>
        <w:t>The principal ethical threats are organizational disclosure, dual identifiability, and distortion of politically sensitive governance talk. Participants may refuse any artifact request without ending the interview. Transcripts, field notes, and artifact maps are stripped of person, firm, vendor, and product names and stored in an encrypted, password-protected directory under alphanumeric codes. Recording failure before the critical-incident narrative is complete stops the session. Member checking is limited to factual accuracy within a stated review window; participants are told that contested recovery decisions remain part of the de-identified analysis. The researcher keeps a short reflexive memo after each interview so stakeholder-salience sensitizing concepts are not mistaken for findings.</w:t>
      </w:r>
    </w:p>
    <w:p>
      <w:pPr>
        <w:spacing w:after="160" w:before="240" w:line="480" w:lineRule="auto"/>
      </w:pPr>
      <w:r>
        <w:rPr>
          <w:rFonts w:ascii="Times New Roman" w:hAnsi="Times New Roman" w:eastAsia="Times New Roman"/>
          <w:b/>
          <w:i w:val="0"/>
          <w:color w:val="1F3A5F"/>
          <w:sz w:val="24"/>
        </w:rPr>
        <w:t>4.4 Language and citation repairs (keep nodes from drifting)</w:t>
      </w:r>
    </w:p>
    <w:p>
      <w:pPr>
        <w:pStyle w:val="ListBullet"/>
        <w:spacing w:line="480" w:lineRule="auto"/>
      </w:pPr>
      <w:r>
        <w:rPr>
          <w:rFonts w:ascii="Times New Roman" w:hAnsi="Times New Roman" w:eastAsia="Times New Roman"/>
          <w:b w:val="0"/>
          <w:i w:val="0"/>
          <w:sz w:val="24"/>
        </w:rPr>
        <w:t xml:space="preserve">“Lived experiences” / “essence” / “voices” → </w:t>
      </w:r>
      <w:r>
        <w:rPr>
          <w:rFonts w:ascii="Times New Roman" w:hAnsi="Times New Roman" w:eastAsia="Times New Roman"/>
          <w:i/>
          <w:sz w:val="24"/>
        </w:rPr>
        <w:t>managers’ accounts of a named recovery or test event</w:t>
      </w:r>
      <w:r>
        <w:rPr>
          <w:rFonts w:ascii="Times New Roman" w:hAnsi="Times New Roman" w:eastAsia="Times New Roman"/>
          <w:b w:val="0"/>
          <w:i w:val="0"/>
          <w:sz w:val="24"/>
        </w:rPr>
        <w:t xml:space="preserve"> / </w:t>
      </w:r>
      <w:r>
        <w:rPr>
          <w:rFonts w:ascii="Times New Roman" w:hAnsi="Times New Roman" w:eastAsia="Times New Roman"/>
          <w:i/>
          <w:sz w:val="24"/>
        </w:rPr>
        <w:t>patterned descriptions of decisions and artifacts</w:t>
      </w:r>
    </w:p>
    <w:p>
      <w:pPr>
        <w:pStyle w:val="ListBullet"/>
        <w:spacing w:line="480" w:lineRule="auto"/>
      </w:pPr>
      <w:r>
        <w:rPr>
          <w:rFonts w:ascii="Times New Roman" w:hAnsi="Times New Roman" w:eastAsia="Times New Roman"/>
          <w:b w:val="0"/>
          <w:i w:val="0"/>
          <w:sz w:val="24"/>
        </w:rPr>
        <w:t xml:space="preserve">“Absolute methodological alignment” to seven codes → </w:t>
      </w:r>
      <w:r>
        <w:rPr>
          <w:rFonts w:ascii="Times New Roman" w:hAnsi="Times New Roman" w:eastAsia="Times New Roman"/>
          <w:i/>
          <w:sz w:val="24"/>
        </w:rPr>
        <w:t>sensitizing constructs on the Constructs node; themes remain emergent at Data Analysis</w:t>
      </w:r>
    </w:p>
    <w:p>
      <w:pPr>
        <w:pStyle w:val="ListBullet"/>
        <w:spacing w:line="480" w:lineRule="auto"/>
      </w:pPr>
      <w:r>
        <w:rPr>
          <w:rFonts w:ascii="Times New Roman" w:hAnsi="Times New Roman" w:eastAsia="Times New Roman"/>
          <w:b w:val="0"/>
          <w:i w:val="0"/>
          <w:sz w:val="24"/>
        </w:rPr>
        <w:t>Donaldson &amp; Preston (1995) or Guest et al. (2006) as CIT → Flanagan (1954), Chell (2004), or Butterfield et al. (2005)</w:t>
      </w:r>
    </w:p>
    <w:p>
      <w:pPr>
        <w:pStyle w:val="ListBullet"/>
        <w:spacing w:line="480" w:lineRule="auto"/>
      </w:pPr>
      <w:r>
        <w:rPr>
          <w:rFonts w:ascii="Times New Roman" w:hAnsi="Times New Roman" w:eastAsia="Times New Roman"/>
          <w:b w:val="0"/>
          <w:i w:val="0"/>
          <w:sz w:val="24"/>
        </w:rPr>
        <w:t>Guest et al. (2006) as interview execution → keep only for a stopping discussion, with Malterud et al. (2016) and Naeem et al. (2024)</w:t>
      </w:r>
    </w:p>
    <w:p>
      <w:pPr>
        <w:pStyle w:val="ListBullet"/>
        <w:spacing w:line="480" w:lineRule="auto"/>
      </w:pPr>
      <w:r>
        <w:rPr>
          <w:rFonts w:ascii="Times New Roman" w:hAnsi="Times New Roman" w:eastAsia="Times New Roman"/>
          <w:b w:val="0"/>
          <w:i w:val="0"/>
          <w:sz w:val="24"/>
        </w:rPr>
        <w:t>NIST (2024) as an analysis method → context in What We Know, not a coding system</w:t>
      </w:r>
    </w:p>
    <w:p>
      <w:pPr>
        <w:pStyle w:val="ListBullet"/>
        <w:spacing w:line="480" w:lineRule="auto"/>
      </w:pPr>
      <w:r>
        <w:rPr>
          <w:rFonts w:ascii="Times New Roman" w:hAnsi="Times New Roman" w:eastAsia="Times New Roman"/>
          <w:b w:val="0"/>
          <w:i w:val="0"/>
          <w:sz w:val="24"/>
        </w:rPr>
        <w:t>Draft debris (</w:t>
      </w:r>
      <w:r>
        <w:rPr>
          <w:rFonts w:ascii="Times New Roman" w:hAnsi="Times New Roman" w:eastAsia="Times New Roman"/>
          <w:i/>
          <w:sz w:val="24"/>
        </w:rPr>
        <w:t>;3)</w:t>
      </w:r>
      <w:r>
        <w:rPr>
          <w:rFonts w:ascii="Times New Roman" w:hAnsi="Times New Roman" w:eastAsia="Times New Roman"/>
          <w:b w:val="0"/>
          <w:i w:val="0"/>
          <w:sz w:val="24"/>
        </w:rPr>
        <w:t xml:space="preserve">, doubled parentheses, “such other auditing parameters BCM and NIST”) → </w:t>
      </w:r>
      <w:r>
        <w:rPr>
          <w:rFonts w:ascii="Times New Roman" w:hAnsi="Times New Roman" w:eastAsia="Times New Roman"/>
          <w:i/>
          <w:sz w:val="24"/>
        </w:rPr>
        <w:t>internal DR plans, escalation matrices, recovery-test records, and, when managers name them, external references such as NIST or BCM frameworks</w:t>
      </w:r>
    </w:p>
    <w:p>
      <w:pPr>
        <w:spacing w:after="160" w:before="240" w:line="480" w:lineRule="auto"/>
      </w:pPr>
      <w:r>
        <w:rPr>
          <w:rFonts w:ascii="Times New Roman" w:hAnsi="Times New Roman" w:eastAsia="Times New Roman"/>
          <w:b/>
          <w:i w:val="0"/>
          <w:color w:val="1F3A5F"/>
          <w:sz w:val="24"/>
        </w:rPr>
        <w:t>4.5 Data Analysis paragraph to add under that marker</w:t>
      </w:r>
    </w:p>
    <w:p>
      <w:pPr>
        <w:spacing w:after="120" w:before="0" w:line="480" w:lineRule="auto"/>
      </w:pPr>
      <w:r>
        <w:rPr>
          <w:rFonts w:ascii="Times New Roman" w:hAnsi="Times New Roman" w:eastAsia="Times New Roman"/>
          <w:b w:val="0"/>
          <w:i w:val="0"/>
          <w:sz w:val="24"/>
        </w:rPr>
        <w:t>Analysis will reuse the four-step generic thematic reduction practiced in Data Analysis Practice 2 (Aronson, 1994; Taylor &amp; Bogdan, 1998; Braun &amp; Clarke, 2021). After repeated reading of each de-identified transcript and artifact map, the researcher will (1) lock meaning units that state a practice claim before any theme name is written, (2) confirm each unit with a named excerpt and a negative or boundary case, (3) group related units only when they describe the same salience-to-assurance bargain, and (4) synthesize two separate answers, one for stakeholder-claim/salience enactment and one for decision rights, escalation, and recoverability assurance. Stakeholder-salience constructs function as the Constructs node and as a start-list when Data Collection has no finer steps, not as predetermined theme titles. Saturation is an analytic decision guide (Naeem et al., 2024), not a claim that 10–15 interviews close the Gap.</w:t>
      </w:r>
    </w:p>
    <w:p>
      <w:pPr>
        <w:spacing w:after="160" w:before="240" w:line="480" w:lineRule="auto"/>
      </w:pPr>
      <w:r>
        <w:rPr>
          <w:rFonts w:ascii="Times New Roman" w:hAnsi="Times New Roman" w:eastAsia="Times New Roman"/>
          <w:b/>
          <w:i w:val="0"/>
          <w:color w:val="1F3A5F"/>
          <w:sz w:val="28"/>
        </w:rPr>
        <w:t>5. Official Map Scorecard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Alignment Map marker</w:t>
            </w:r>
          </w:p>
        </w:tc>
        <w:tc>
          <w:tcPr>
            <w:tcW w:type="dxa" w:w="3120"/>
          </w:tcPr>
          <w:p>
            <w:pPr>
              <w:spacing w:after="40" w:before="40" w:line="240" w:lineRule="auto"/>
            </w:pPr>
            <w:r/>
            <w:r>
              <w:rPr>
                <w:rFonts w:ascii="Times New Roman" w:hAnsi="Times New Roman" w:eastAsia="Times New Roman"/>
                <w:b/>
                <w:i w:val="0"/>
                <w:sz w:val="20"/>
              </w:rPr>
              <w:t>Rating</w:t>
            </w:r>
          </w:p>
        </w:tc>
        <w:tc>
          <w:tcPr>
            <w:tcW w:type="dxa" w:w="3120"/>
          </w:tcPr>
          <w:p>
            <w:pPr>
              <w:spacing w:after="40" w:before="40" w:line="240" w:lineRule="auto"/>
            </w:pPr>
            <w:r/>
            <w:r>
              <w:rPr>
                <w:rFonts w:ascii="Times New Roman" w:hAnsi="Times New Roman" w:eastAsia="Times New Roman"/>
                <w:b/>
                <w:i w:val="0"/>
                <w:sz w:val="20"/>
              </w:rPr>
              <w:t>One-line judgment</w:t>
            </w:r>
          </w:p>
        </w:tc>
      </w:tr>
      <w:tr>
        <w:tc>
          <w:tcPr>
            <w:tcW w:type="dxa" w:w="3120"/>
          </w:tcPr>
          <w:p>
            <w:pPr>
              <w:spacing w:after="40" w:before="40" w:line="240" w:lineRule="auto"/>
            </w:pPr>
            <w:r/>
            <w:r>
              <w:rPr>
                <w:rFonts w:ascii="Times New Roman" w:hAnsi="Times New Roman" w:eastAsia="Times New Roman"/>
                <w:b w:val="0"/>
                <w:i w:val="0"/>
                <w:sz w:val="20"/>
              </w:rPr>
              <w:t>Topic / Problem</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Practice problem in SME ITDRPaaS governance</w:t>
            </w:r>
          </w:p>
        </w:tc>
      </w:tr>
      <w:tr>
        <w:tc>
          <w:tcPr>
            <w:tcW w:type="dxa" w:w="3120"/>
          </w:tcPr>
          <w:p>
            <w:pPr>
              <w:spacing w:after="40" w:before="40" w:line="240" w:lineRule="auto"/>
            </w:pPr>
            <w:r/>
            <w:r>
              <w:rPr>
                <w:rFonts w:ascii="Times New Roman" w:hAnsi="Times New Roman" w:eastAsia="Times New Roman"/>
                <w:b w:val="0"/>
                <w:i w:val="0"/>
                <w:sz w:val="20"/>
              </w:rPr>
              <w:t>What We Know</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Stakeholder theory + salience mechanism + assurance definition</w:t>
            </w:r>
          </w:p>
        </w:tc>
      </w:tr>
      <w:tr>
        <w:tc>
          <w:tcPr>
            <w:tcW w:type="dxa" w:w="3120"/>
          </w:tcPr>
          <w:p>
            <w:pPr>
              <w:spacing w:after="40" w:before="40" w:line="240" w:lineRule="auto"/>
            </w:pPr>
            <w:r/>
            <w:r>
              <w:rPr>
                <w:rFonts w:ascii="Times New Roman" w:hAnsi="Times New Roman" w:eastAsia="Times New Roman"/>
                <w:b w:val="0"/>
                <w:i w:val="0"/>
                <w:sz w:val="20"/>
              </w:rPr>
              <w:t>What We Don’t Know</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Enactment of salience as rights, escalation, and proof</w:t>
            </w:r>
          </w:p>
        </w:tc>
      </w:tr>
      <w:tr>
        <w:tc>
          <w:tcPr>
            <w:tcW w:type="dxa" w:w="3120"/>
          </w:tcPr>
          <w:p>
            <w:pPr>
              <w:spacing w:after="40" w:before="40" w:line="240" w:lineRule="auto"/>
            </w:pPr>
            <w:r/>
            <w:r>
              <w:rPr>
                <w:rFonts w:ascii="Times New Roman" w:hAnsi="Times New Roman" w:eastAsia="Times New Roman"/>
                <w:b w:val="0"/>
                <w:i w:val="0"/>
                <w:sz w:val="20"/>
              </w:rPr>
              <w:t>Gap</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Who cares / why now are present</w:t>
            </w:r>
          </w:p>
        </w:tc>
      </w:tr>
      <w:tr>
        <w:tc>
          <w:tcPr>
            <w:tcW w:type="dxa" w:w="3120"/>
          </w:tcPr>
          <w:p>
            <w:pPr>
              <w:spacing w:after="40" w:before="40" w:line="240" w:lineRule="auto"/>
            </w:pPr>
            <w:r/>
            <w:r>
              <w:rPr>
                <w:rFonts w:ascii="Times New Roman" w:hAnsi="Times New Roman" w:eastAsia="Times New Roman"/>
                <w:b w:val="0"/>
                <w:i w:val="0"/>
                <w:sz w:val="20"/>
              </w:rPr>
              <w:t>Questions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Implied PQs restate the Gap; official wording missing</w:t>
            </w:r>
          </w:p>
        </w:tc>
      </w:tr>
      <w:tr>
        <w:tc>
          <w:tcPr>
            <w:tcW w:type="dxa" w:w="3120"/>
          </w:tcPr>
          <w:p>
            <w:pPr>
              <w:spacing w:after="40" w:before="40" w:line="240" w:lineRule="auto"/>
            </w:pPr>
            <w:r/>
            <w:r>
              <w:rPr>
                <w:rFonts w:ascii="Times New Roman" w:hAnsi="Times New Roman" w:eastAsia="Times New Roman"/>
                <w:b w:val="0"/>
                <w:i w:val="0"/>
                <w:sz w:val="20"/>
              </w:rPr>
              <w:t>Constructs / Phenomena / Variables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Right list; over-used as a priori codes</w:t>
            </w:r>
          </w:p>
        </w:tc>
      </w:tr>
      <w:tr>
        <w:tc>
          <w:tcPr>
            <w:tcW w:type="dxa" w:w="3120"/>
          </w:tcPr>
          <w:p>
            <w:pPr>
              <w:spacing w:after="40" w:before="40" w:line="240" w:lineRule="auto"/>
            </w:pPr>
            <w:r/>
            <w:r>
              <w:rPr>
                <w:rFonts w:ascii="Times New Roman" w:hAnsi="Times New Roman" w:eastAsia="Times New Roman"/>
                <w:b w:val="0"/>
                <w:i w:val="0"/>
                <w:sz w:val="20"/>
              </w:rPr>
              <w:t>Methodology*</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GQI + CIT; drop essence language</w:t>
            </w:r>
          </w:p>
        </w:tc>
      </w:tr>
      <w:tr>
        <w:tc>
          <w:tcPr>
            <w:tcW w:type="dxa" w:w="3120"/>
          </w:tcPr>
          <w:p>
            <w:pPr>
              <w:spacing w:after="40" w:before="40" w:line="240" w:lineRule="auto"/>
            </w:pPr>
            <w:r/>
            <w:r>
              <w:rPr>
                <w:rFonts w:ascii="Times New Roman" w:hAnsi="Times New Roman" w:eastAsia="Times New Roman"/>
                <w:b w:val="0"/>
                <w:i w:val="0"/>
                <w:sz w:val="20"/>
              </w:rPr>
              <w:t>Measures/Artifacts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Right instruments; protocol not shown</w:t>
            </w:r>
          </w:p>
        </w:tc>
      </w:tr>
      <w:tr>
        <w:tc>
          <w:tcPr>
            <w:tcW w:type="dxa" w:w="3120"/>
          </w:tcPr>
          <w:p>
            <w:pPr>
              <w:spacing w:after="40" w:before="40" w:line="240" w:lineRule="auto"/>
            </w:pPr>
            <w:r/>
            <w:r>
              <w:rPr>
                <w:rFonts w:ascii="Times New Roman" w:hAnsi="Times New Roman" w:eastAsia="Times New Roman"/>
                <w:b w:val="0"/>
                <w:i w:val="0"/>
                <w:sz w:val="20"/>
              </w:rPr>
              <w:t>Data Collection*</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Intent is right; steps missing — salience guide supplied</w:t>
            </w:r>
          </w:p>
        </w:tc>
      </w:tr>
      <w:tr>
        <w:tc>
          <w:tcPr>
            <w:tcW w:type="dxa" w:w="3120"/>
          </w:tcPr>
          <w:p>
            <w:pPr>
              <w:spacing w:after="40" w:before="40" w:line="240" w:lineRule="auto"/>
            </w:pPr>
            <w:r/>
            <w:r>
              <w:rPr>
                <w:rFonts w:ascii="Times New Roman" w:hAnsi="Times New Roman" w:eastAsia="Times New Roman"/>
                <w:b w:val="0"/>
                <w:i w:val="0"/>
                <w:sz w:val="20"/>
              </w:rPr>
              <w:t>Procedures*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Screening strong; artifact path weak</w:t>
            </w:r>
          </w:p>
        </w:tc>
      </w:tr>
      <w:tr>
        <w:tc>
          <w:tcPr>
            <w:tcW w:type="dxa" w:w="3120"/>
          </w:tcPr>
          <w:p>
            <w:pPr>
              <w:spacing w:after="40" w:before="40" w:line="240" w:lineRule="auto"/>
            </w:pPr>
            <w:r/>
            <w:r>
              <w:rPr>
                <w:rFonts w:ascii="Times New Roman" w:hAnsi="Times New Roman" w:eastAsia="Times New Roman"/>
                <w:b w:val="0"/>
                <w:i w:val="0"/>
                <w:sz w:val="20"/>
              </w:rPr>
              <w:t>Dependability*</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Criteria named; audit trail not yet visible</w:t>
            </w:r>
          </w:p>
        </w:tc>
      </w:tr>
      <w:tr>
        <w:tc>
          <w:tcPr>
            <w:tcW w:type="dxa" w:w="3120"/>
          </w:tcPr>
          <w:p>
            <w:pPr>
              <w:spacing w:after="40" w:before="40" w:line="240" w:lineRule="auto"/>
            </w:pPr>
            <w:r/>
            <w:r>
              <w:rPr>
                <w:rFonts w:ascii="Times New Roman" w:hAnsi="Times New Roman" w:eastAsia="Times New Roman"/>
                <w:b w:val="0"/>
                <w:i w:val="0"/>
                <w:sz w:val="20"/>
              </w:rPr>
              <w:t>Population*</w:t>
            </w:r>
          </w:p>
        </w:tc>
        <w:tc>
          <w:tcPr>
            <w:tcW w:type="dxa" w:w="3120"/>
          </w:tcPr>
          <w:p>
            <w:pPr>
              <w:spacing w:after="40" w:before="40" w:line="240" w:lineRule="auto"/>
            </w:pPr>
            <w:r/>
            <w:r>
              <w:rPr>
                <w:rFonts w:ascii="Times New Roman" w:hAnsi="Times New Roman" w:eastAsia="Times New Roman"/>
                <w:b w:val="0"/>
                <w:i w:val="0"/>
                <w:sz w:val="20"/>
              </w:rPr>
              <w:t>Strong</w:t>
            </w:r>
          </w:p>
        </w:tc>
        <w:tc>
          <w:tcPr>
            <w:tcW w:type="dxa" w:w="3120"/>
          </w:tcPr>
          <w:p>
            <w:pPr>
              <w:spacing w:after="40" w:before="40" w:line="240" w:lineRule="auto"/>
            </w:pPr>
            <w:r/>
            <w:r>
              <w:rPr>
                <w:rFonts w:ascii="Times New Roman" w:hAnsi="Times New Roman" w:eastAsia="Times New Roman"/>
                <w:b w:val="0"/>
                <w:i w:val="0"/>
                <w:sz w:val="20"/>
              </w:rPr>
              <w:t>SME IT/network managers on external platforms</w:t>
            </w:r>
          </w:p>
        </w:tc>
      </w:tr>
      <w:tr>
        <w:tc>
          <w:tcPr>
            <w:tcW w:type="dxa" w:w="3120"/>
          </w:tcPr>
          <w:p>
            <w:pPr>
              <w:spacing w:after="40" w:before="40" w:line="240" w:lineRule="auto"/>
            </w:pPr>
            <w:r/>
            <w:r>
              <w:rPr>
                <w:rFonts w:ascii="Times New Roman" w:hAnsi="Times New Roman" w:eastAsia="Times New Roman"/>
                <w:b w:val="0"/>
                <w:i w:val="0"/>
                <w:sz w:val="20"/>
              </w:rPr>
              <w:t>Sample*</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n = 10–15 fits if information power is written</w:t>
            </w:r>
          </w:p>
        </w:tc>
      </w:tr>
      <w:tr>
        <w:tc>
          <w:tcPr>
            <w:tcW w:type="dxa" w:w="3120"/>
          </w:tcPr>
          <w:p>
            <w:pPr>
              <w:spacing w:after="40" w:before="40" w:line="240" w:lineRule="auto"/>
            </w:pPr>
            <w:r/>
            <w:r>
              <w:rPr>
                <w:rFonts w:ascii="Times New Roman" w:hAnsi="Times New Roman" w:eastAsia="Times New Roman"/>
                <w:b w:val="0"/>
                <w:i w:val="0"/>
                <w:sz w:val="20"/>
              </w:rPr>
              <w:t>Recruitment*</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Consent sequence present; channel/length missing</w:t>
            </w:r>
          </w:p>
        </w:tc>
      </w:tr>
      <w:tr>
        <w:tc>
          <w:tcPr>
            <w:tcW w:type="dxa" w:w="3120"/>
          </w:tcPr>
          <w:p>
            <w:pPr>
              <w:spacing w:after="40" w:before="40" w:line="240" w:lineRule="auto"/>
            </w:pPr>
            <w:r/>
            <w:r>
              <w:rPr>
                <w:rFonts w:ascii="Times New Roman" w:hAnsi="Times New Roman" w:eastAsia="Times New Roman"/>
                <w:b w:val="0"/>
                <w:i w:val="0"/>
                <w:sz w:val="20"/>
              </w:rPr>
              <w:t>Data Analysis</w:t>
            </w:r>
          </w:p>
        </w:tc>
        <w:tc>
          <w:tcPr>
            <w:tcW w:type="dxa" w:w="3120"/>
          </w:tcPr>
          <w:p>
            <w:pPr>
              <w:spacing w:after="40" w:before="40" w:line="240" w:lineRule="auto"/>
            </w:pPr>
            <w:r/>
            <w:r>
              <w:rPr>
                <w:rFonts w:ascii="Times New Roman" w:hAnsi="Times New Roman" w:eastAsia="Times New Roman"/>
                <w:b w:val="0"/>
                <w:i w:val="0"/>
                <w:sz w:val="20"/>
              </w:rPr>
              <w:t>Partial</w:t>
            </w:r>
          </w:p>
        </w:tc>
        <w:tc>
          <w:tcPr>
            <w:tcW w:type="dxa" w:w="3120"/>
          </w:tcPr>
          <w:p>
            <w:pPr>
              <w:spacing w:after="40" w:before="40" w:line="240" w:lineRule="auto"/>
            </w:pPr>
            <w:r/>
            <w:r>
              <w:rPr>
                <w:rFonts w:ascii="Times New Roman" w:hAnsi="Times New Roman" w:eastAsia="Times New Roman"/>
                <w:b w:val="0"/>
                <w:i w:val="0"/>
                <w:sz w:val="20"/>
              </w:rPr>
              <w:t>Practice 2 method fits; pre-named themes do not</w:t>
            </w:r>
          </w:p>
        </w:tc>
      </w:tr>
    </w:tbl>
    <w:p/>
    <w:p>
      <w:pPr>
        <w:spacing w:after="120" w:before="0" w:line="480" w:lineRule="auto"/>
      </w:pPr>
      <w:r>
        <w:rPr>
          <w:rFonts w:ascii="Times New Roman" w:hAnsi="Times New Roman" w:eastAsia="Times New Roman"/>
          <w:b/>
          <w:i w:val="0"/>
          <w:sz w:val="24"/>
        </w:rPr>
        <w:t>Composite: Partial.</w:t>
      </w:r>
      <w:r>
        <w:rPr>
          <w:rFonts w:ascii="Times New Roman" w:hAnsi="Times New Roman" w:eastAsia="Times New Roman"/>
          <w:b w:val="0"/>
          <w:i w:val="0"/>
          <w:sz w:val="24"/>
        </w:rPr>
        <w:t xml:space="preserve"> The top of the map (Problem → Gap → Questions → Constructs → Methodology) is aligned. The middle and bottom (Measures/Artifacts → Data Collection → Procedures/Dependability → Data Analysis) will address the Gap only after the salience-guided steps in Section 4 are inserted.</w:t>
      </w:r>
    </w:p>
    <w:p>
      <w:pPr>
        <w:spacing w:after="160" w:before="240" w:line="480" w:lineRule="auto"/>
      </w:pPr>
      <w:r>
        <w:rPr>
          <w:rFonts w:ascii="Times New Roman" w:hAnsi="Times New Roman" w:eastAsia="Times New Roman"/>
          <w:b/>
          <w:i w:val="0"/>
          <w:color w:val="1F3A5F"/>
          <w:sz w:val="28"/>
        </w:rPr>
        <w:t>6. Conclusions and Next Actions</w:t>
      </w:r>
    </w:p>
    <w:p>
      <w:pPr>
        <w:pStyle w:val="ListNumber"/>
        <w:spacing w:line="480" w:lineRule="auto"/>
      </w:pPr>
      <w:r>
        <w:rPr>
          <w:rFonts w:ascii="Times New Roman" w:hAnsi="Times New Roman" w:eastAsia="Times New Roman"/>
          <w:b w:val="0"/>
          <w:i w:val="0"/>
          <w:sz w:val="24"/>
        </w:rPr>
        <w:t>Keep the official map’s top and right-hand column: GQI, CIT, SME population, criterion sample, artifact-as-context, recoverability-assurance definition.</w:t>
      </w:r>
    </w:p>
    <w:p>
      <w:pPr>
        <w:pStyle w:val="ListNumber"/>
        <w:spacing w:line="480" w:lineRule="auto"/>
      </w:pPr>
      <w:r>
        <w:rPr>
          <w:rFonts w:ascii="Times New Roman" w:hAnsi="Times New Roman" w:eastAsia="Times New Roman"/>
          <w:b w:val="0"/>
          <w:i w:val="0"/>
          <w:sz w:val="24"/>
        </w:rPr>
        <w:t xml:space="preserve">Fill the Data Collection marker using the </w:t>
      </w:r>
      <w:r>
        <w:rPr>
          <w:rFonts w:ascii="Times New Roman" w:hAnsi="Times New Roman" w:eastAsia="Times New Roman"/>
          <w:b/>
          <w:i w:val="0"/>
          <w:sz w:val="24"/>
        </w:rPr>
        <w:t>NEW</w:t>
      </w:r>
      <w:r>
        <w:rPr>
          <w:rFonts w:ascii="Times New Roman" w:hAnsi="Times New Roman" w:eastAsia="Times New Roman"/>
          <w:b w:val="0"/>
          <w:i w:val="0"/>
          <w:sz w:val="24"/>
        </w:rPr>
        <w:t xml:space="preserve"> protocol and artifact pipeline in [collection-analysis-revision-packet.md](collection-analysis-revision-packet.md). Where the plan has no steps, let qualitative stakeholder-salience guide the questions, then follow the incident into decision rights, escalation, and proof.</w:t>
      </w:r>
    </w:p>
    <w:p>
      <w:pPr>
        <w:pStyle w:val="ListNumber"/>
        <w:spacing w:line="480" w:lineRule="auto"/>
      </w:pPr>
      <w:r>
        <w:rPr>
          <w:rFonts w:ascii="Times New Roman" w:hAnsi="Times New Roman" w:eastAsia="Times New Roman"/>
          <w:b w:val="0"/>
          <w:i w:val="0"/>
          <w:sz w:val="24"/>
        </w:rPr>
        <w:t>Keep the seven labels on the Constructs node. Do not promote them to Data Analysis theme titles. Run Practice 2 Steps 1–4 on talk plus artifact maps. Answer PQ1 and PQ2 separately.</w:t>
      </w:r>
    </w:p>
    <w:p>
      <w:pPr>
        <w:pStyle w:val="ListNumber"/>
        <w:spacing w:line="480" w:lineRule="auto"/>
      </w:pPr>
      <w:r>
        <w:rPr>
          <w:rFonts w:ascii="Times New Roman" w:hAnsi="Times New Roman" w:eastAsia="Times New Roman"/>
          <w:b w:val="0"/>
          <w:i w:val="0"/>
          <w:sz w:val="24"/>
        </w:rPr>
        <w:t>Write the artifact fallback and the ethics paragraph; they are what make the Measures/Artifacts and Dependability markers collectable.</w:t>
      </w:r>
    </w:p>
    <w:p>
      <w:pPr>
        <w:pStyle w:val="ListNumber"/>
        <w:spacing w:line="480" w:lineRule="auto"/>
      </w:pPr>
      <w:r>
        <w:rPr>
          <w:rFonts w:ascii="Times New Roman" w:hAnsi="Times New Roman" w:eastAsia="Times New Roman"/>
          <w:b w:val="0"/>
          <w:i w:val="0"/>
          <w:sz w:val="24"/>
        </w:rPr>
        <w:t>Repair citations and GQI language so Methodology does not drift into phenomenology or audit.</w:t>
      </w:r>
    </w:p>
    <w:p>
      <w:pPr>
        <w:pStyle w:val="ListNumber"/>
        <w:spacing w:line="480" w:lineRule="auto"/>
      </w:pPr>
      <w:r>
        <w:rPr>
          <w:rFonts w:ascii="Times New Roman" w:hAnsi="Times New Roman" w:eastAsia="Times New Roman"/>
          <w:b w:val="0"/>
          <w:i w:val="0"/>
          <w:sz w:val="24"/>
        </w:rPr>
        <w:t>Paste official project questions onto the Questions marker before submission.</w:t>
      </w:r>
    </w:p>
    <w:p>
      <w:pPr>
        <w:spacing w:after="120" w:before="0" w:line="480" w:lineRule="auto"/>
      </w:pPr>
      <w:r>
        <w:rPr>
          <w:rFonts w:ascii="Times New Roman" w:hAnsi="Times New Roman" w:eastAsia="Times New Roman"/>
          <w:b w:val="0"/>
          <w:i w:val="0"/>
          <w:sz w:val="24"/>
        </w:rPr>
        <w:t>These adjustments do not change the study. They make every Alignment Map marker visible: the Gap has Questions, Questions have Constructs, Constructs have Measures, Measures have Data Collection steps, and Data Collection has a reduction method that can answer the Gap instead of restating Mitchell et al. (1997).</w:t>
      </w:r>
    </w:p>
    <w:p>
      <w:pPr>
        <w:spacing w:after="160" w:before="240" w:line="480" w:lineRule="auto"/>
      </w:pPr>
      <w:r>
        <w:rPr>
          <w:rFonts w:ascii="Times New Roman" w:hAnsi="Times New Roman" w:eastAsia="Times New Roman"/>
          <w:b/>
          <w:i w:val="0"/>
          <w:color w:val="1F3A5F"/>
          <w:sz w:val="28"/>
        </w:rPr>
        <w:t>Sources Cited in This Assessment</w:t>
      </w:r>
    </w:p>
    <w:p>
      <w:pPr>
        <w:spacing w:after="120" w:before="0" w:line="480" w:lineRule="auto"/>
      </w:pPr>
      <w:r>
        <w:rPr>
          <w:rFonts w:ascii="Times New Roman" w:hAnsi="Times New Roman" w:eastAsia="Times New Roman"/>
          <w:b w:val="0"/>
          <w:i w:val="0"/>
          <w:sz w:val="24"/>
        </w:rPr>
        <w:t xml:space="preserve">Aronson, J. (1994). A pragmatic view of thematic analysis. </w:t>
      </w:r>
      <w:r>
        <w:rPr>
          <w:rFonts w:ascii="Times New Roman" w:hAnsi="Times New Roman" w:eastAsia="Times New Roman"/>
          <w:i/>
          <w:sz w:val="24"/>
        </w:rPr>
        <w:t>The Qualitative Report, 2</w:t>
      </w:r>
      <w:r>
        <w:rPr>
          <w:rFonts w:ascii="Times New Roman" w:hAnsi="Times New Roman" w:eastAsia="Times New Roman"/>
          <w:b w:val="0"/>
          <w:i w:val="0"/>
          <w:sz w:val="24"/>
        </w:rPr>
        <w:t>(1), 1–3. [https://doi.org/10.46743/2160-3715/1995.2069](https://doi.org/10.46743/2160-3715/1995.2069)</w:t>
      </w:r>
    </w:p>
    <w:p>
      <w:pPr>
        <w:spacing w:after="120" w:before="0" w:line="480" w:lineRule="auto"/>
      </w:pPr>
      <w:r>
        <w:rPr>
          <w:rFonts w:ascii="Times New Roman" w:hAnsi="Times New Roman" w:eastAsia="Times New Roman"/>
          <w:b w:val="0"/>
          <w:i w:val="0"/>
          <w:sz w:val="24"/>
        </w:rPr>
        <w:t xml:space="preserve">Braun, V., &amp; Clarke, V. (2019). Reflecting on reflexive thematic analysis. </w:t>
      </w:r>
      <w:r>
        <w:rPr>
          <w:rFonts w:ascii="Times New Roman" w:hAnsi="Times New Roman" w:eastAsia="Times New Roman"/>
          <w:i/>
          <w:sz w:val="24"/>
        </w:rPr>
        <w:t>Qualitative Research in Sport, Exercise and Health, 11</w:t>
      </w:r>
      <w:r>
        <w:rPr>
          <w:rFonts w:ascii="Times New Roman" w:hAnsi="Times New Roman" w:eastAsia="Times New Roman"/>
          <w:b w:val="0"/>
          <w:i w:val="0"/>
          <w:sz w:val="24"/>
        </w:rPr>
        <w:t>(4), 589–597. [https://doi.org/10.1080/2159676X.2019.1628806](https://doi.org/10.1080/2159676X.2019.1628806)</w:t>
      </w:r>
    </w:p>
    <w:p>
      <w:pPr>
        <w:spacing w:after="120" w:before="0" w:line="480" w:lineRule="auto"/>
      </w:pPr>
      <w:r>
        <w:rPr>
          <w:rFonts w:ascii="Times New Roman" w:hAnsi="Times New Roman" w:eastAsia="Times New Roman"/>
          <w:b w:val="0"/>
          <w:i w:val="0"/>
          <w:sz w:val="24"/>
        </w:rPr>
        <w:t xml:space="preserve">Braun, V., &amp; Clarke, V. (2021). One size fits all? What counts as quality practice in (reflexive) thematic analysis? </w:t>
      </w:r>
      <w:r>
        <w:rPr>
          <w:rFonts w:ascii="Times New Roman" w:hAnsi="Times New Roman" w:eastAsia="Times New Roman"/>
          <w:i/>
          <w:sz w:val="24"/>
        </w:rPr>
        <w:t>Qualitative Research in Psychology, 18</w:t>
      </w:r>
      <w:r>
        <w:rPr>
          <w:rFonts w:ascii="Times New Roman" w:hAnsi="Times New Roman" w:eastAsia="Times New Roman"/>
          <w:b w:val="0"/>
          <w:i w:val="0"/>
          <w:sz w:val="24"/>
        </w:rPr>
        <w:t>(3), 328–352. [https://doi.org/10.1080/14780887.2020.1769238](https://doi.org/10.1080/14780887.2020.1769238)</w:t>
      </w:r>
    </w:p>
    <w:p>
      <w:pPr>
        <w:spacing w:after="120" w:before="0" w:line="480" w:lineRule="auto"/>
      </w:pPr>
      <w:r>
        <w:rPr>
          <w:rFonts w:ascii="Times New Roman" w:hAnsi="Times New Roman" w:eastAsia="Times New Roman"/>
          <w:b w:val="0"/>
          <w:i w:val="0"/>
          <w:sz w:val="24"/>
        </w:rPr>
        <w:t xml:space="preserve">Butterfield, L. D., Borgen, W. A., Amundson, N. E., &amp; Maglio, A.-S. T. (2005). Fifty years of the critical incident technique: 1954–2004 and beyond. </w:t>
      </w:r>
      <w:r>
        <w:rPr>
          <w:rFonts w:ascii="Times New Roman" w:hAnsi="Times New Roman" w:eastAsia="Times New Roman"/>
          <w:i/>
          <w:sz w:val="24"/>
        </w:rPr>
        <w:t>Qualitative Research, 5</w:t>
      </w:r>
      <w:r>
        <w:rPr>
          <w:rFonts w:ascii="Times New Roman" w:hAnsi="Times New Roman" w:eastAsia="Times New Roman"/>
          <w:b w:val="0"/>
          <w:i w:val="0"/>
          <w:sz w:val="24"/>
        </w:rPr>
        <w:t>(4), 475–497. [https://doi.org/10.1177/1468794105056924](https://doi.org/10.1177/1468794105056924)</w:t>
      </w:r>
    </w:p>
    <w:p>
      <w:pPr>
        <w:spacing w:after="120" w:before="0" w:line="480" w:lineRule="auto"/>
      </w:pPr>
      <w:r>
        <w:rPr>
          <w:rFonts w:ascii="Times New Roman" w:hAnsi="Times New Roman" w:eastAsia="Times New Roman"/>
          <w:b w:val="0"/>
          <w:i w:val="0"/>
          <w:sz w:val="24"/>
        </w:rPr>
        <w:t xml:space="preserve">Caelli, K., Ray, L., &amp; Mill, J. (2003). ‘Clear as mud’: Toward greater clarity in generic qualitative research. </w:t>
      </w:r>
      <w:r>
        <w:rPr>
          <w:rFonts w:ascii="Times New Roman" w:hAnsi="Times New Roman" w:eastAsia="Times New Roman"/>
          <w:i/>
          <w:sz w:val="24"/>
        </w:rPr>
        <w:t>International Journal of Qualitative Methods, 2</w:t>
      </w:r>
      <w:r>
        <w:rPr>
          <w:rFonts w:ascii="Times New Roman" w:hAnsi="Times New Roman" w:eastAsia="Times New Roman"/>
          <w:b w:val="0"/>
          <w:i w:val="0"/>
          <w:sz w:val="24"/>
        </w:rPr>
        <w:t>(2), 1–13. [https://doi.org/10.1177/160940690300200201](https://doi.org/10.1177/160940690300200201)</w:t>
      </w:r>
    </w:p>
    <w:p>
      <w:pPr>
        <w:spacing w:after="120" w:before="0" w:line="480" w:lineRule="auto"/>
      </w:pPr>
      <w:r>
        <w:rPr>
          <w:rFonts w:ascii="Times New Roman" w:hAnsi="Times New Roman" w:eastAsia="Times New Roman"/>
          <w:b w:val="0"/>
          <w:i w:val="0"/>
          <w:sz w:val="24"/>
        </w:rPr>
        <w:t xml:space="preserve">Capella University. (n.d.). </w:t>
      </w:r>
      <w:r>
        <w:rPr>
          <w:rFonts w:ascii="Times New Roman" w:hAnsi="Times New Roman" w:eastAsia="Times New Roman"/>
          <w:i/>
          <w:sz w:val="24"/>
        </w:rPr>
        <w:t>The alignment map: Guiding questions</w:t>
      </w:r>
      <w:r>
        <w:rPr>
          <w:rFonts w:ascii="Times New Roman" w:hAnsi="Times New Roman" w:eastAsia="Times New Roman"/>
          <w:b w:val="0"/>
          <w:i w:val="0"/>
          <w:sz w:val="24"/>
        </w:rPr>
        <w:t xml:space="preserve"> [Interactive courseroom media]. RSCH-V8927.</w:t>
      </w:r>
    </w:p>
    <w:p>
      <w:pPr>
        <w:spacing w:after="120" w:before="0" w:line="480" w:lineRule="auto"/>
      </w:pPr>
      <w:r>
        <w:rPr>
          <w:rFonts w:ascii="Times New Roman" w:hAnsi="Times New Roman" w:eastAsia="Times New Roman"/>
          <w:b w:val="0"/>
          <w:i w:val="0"/>
          <w:sz w:val="24"/>
        </w:rPr>
        <w:t xml:space="preserve">Capella University. (n.d.). </w:t>
      </w:r>
      <w:r>
        <w:rPr>
          <w:rFonts w:ascii="Times New Roman" w:hAnsi="Times New Roman" w:eastAsia="Times New Roman"/>
          <w:i/>
          <w:sz w:val="24"/>
        </w:rPr>
        <w:t>Project plan alignment tracking</w:t>
      </w:r>
      <w:r>
        <w:rPr>
          <w:rFonts w:ascii="Times New Roman" w:hAnsi="Times New Roman" w:eastAsia="Times New Roman"/>
          <w:b w:val="0"/>
          <w:i w:val="0"/>
          <w:sz w:val="24"/>
        </w:rPr>
        <w:t xml:space="preserve"> [Courseroom media]. RSCH-V8927.</w:t>
      </w:r>
    </w:p>
    <w:p>
      <w:pPr>
        <w:spacing w:after="120" w:before="0" w:line="480" w:lineRule="auto"/>
      </w:pPr>
      <w:r>
        <w:rPr>
          <w:rFonts w:ascii="Times New Roman" w:hAnsi="Times New Roman" w:eastAsia="Times New Roman"/>
          <w:b w:val="0"/>
          <w:i w:val="0"/>
          <w:sz w:val="24"/>
        </w:rPr>
        <w:t xml:space="preserve">Capella University. (n.d.). </w:t>
      </w:r>
      <w:r>
        <w:rPr>
          <w:rFonts w:ascii="Times New Roman" w:hAnsi="Times New Roman" w:eastAsia="Times New Roman"/>
          <w:i/>
          <w:sz w:val="24"/>
        </w:rPr>
        <w:t>Qualitative data collection and analysis methods – SOBT</w:t>
      </w:r>
      <w:r>
        <w:rPr>
          <w:rFonts w:ascii="Times New Roman" w:hAnsi="Times New Roman" w:eastAsia="Times New Roman"/>
          <w:b w:val="0"/>
          <w:i w:val="0"/>
          <w:sz w:val="24"/>
        </w:rPr>
        <w:t>. [https://campustools.capella.edu/BBCourse_Production/PhD_Colloquia/Track_3/SOBT/phd_t3_sobt_u02s6_h01_qualcoll.html](https://campustools.capella.edu/BBCourse_Production/PhD_Colloquia/Track_3/SOBT/phd_t3_sobt_u02s6_h01_qualcoll.html)</w:t>
      </w:r>
    </w:p>
    <w:p>
      <w:pPr>
        <w:spacing w:after="120" w:before="0" w:line="480" w:lineRule="auto"/>
      </w:pPr>
      <w:r>
        <w:rPr>
          <w:rFonts w:ascii="Times New Roman" w:hAnsi="Times New Roman" w:eastAsia="Times New Roman"/>
          <w:b w:val="0"/>
          <w:i w:val="0"/>
          <w:sz w:val="24"/>
        </w:rPr>
        <w:t xml:space="preserve">Capella University. (n.d.). </w:t>
      </w:r>
      <w:r>
        <w:rPr>
          <w:rFonts w:ascii="Times New Roman" w:hAnsi="Times New Roman" w:eastAsia="Times New Roman"/>
          <w:i/>
          <w:sz w:val="24"/>
        </w:rPr>
        <w:t>Writing guiding questions</w:t>
      </w:r>
      <w:r>
        <w:rPr>
          <w:rFonts w:ascii="Times New Roman" w:hAnsi="Times New Roman" w:eastAsia="Times New Roman"/>
          <w:b w:val="0"/>
          <w:i w:val="0"/>
          <w:sz w:val="24"/>
        </w:rPr>
        <w:t>. [https://campustools.capella.edu/BBCourse_Production/PhD_Colloquia_C4C/Track_3/phd_t3_u07s1_writeguide.html](https://campustools.capella.edu/BBCourse_Production/PhD_Colloquia_C4C/Track_3/phd_t3_u07s1_writeguide.html)</w:t>
      </w:r>
    </w:p>
    <w:p>
      <w:pPr>
        <w:spacing w:after="120" w:before="0" w:line="480" w:lineRule="auto"/>
      </w:pPr>
      <w:r>
        <w:rPr>
          <w:rFonts w:ascii="Times New Roman" w:hAnsi="Times New Roman" w:eastAsia="Times New Roman"/>
          <w:b w:val="0"/>
          <w:i w:val="0"/>
          <w:sz w:val="24"/>
        </w:rPr>
        <w:t xml:space="preserve">Chell, E. (2004). Critical incident technique. In C. Cassell &amp; G. Symon (Eds.), </w:t>
      </w:r>
      <w:r>
        <w:rPr>
          <w:rFonts w:ascii="Times New Roman" w:hAnsi="Times New Roman" w:eastAsia="Times New Roman"/>
          <w:i/>
          <w:sz w:val="24"/>
        </w:rPr>
        <w:t>Essential guide to qualitative methods in organizational research</w:t>
      </w:r>
      <w:r>
        <w:rPr>
          <w:rFonts w:ascii="Times New Roman" w:hAnsi="Times New Roman" w:eastAsia="Times New Roman"/>
          <w:b w:val="0"/>
          <w:i w:val="0"/>
          <w:sz w:val="24"/>
        </w:rPr>
        <w:t xml:space="preserve"> (pp. 45–60). SAGE.</w:t>
      </w:r>
    </w:p>
    <w:p>
      <w:pPr>
        <w:spacing w:after="120" w:before="0" w:line="480" w:lineRule="auto"/>
      </w:pPr>
      <w:r>
        <w:rPr>
          <w:rFonts w:ascii="Times New Roman" w:hAnsi="Times New Roman" w:eastAsia="Times New Roman"/>
          <w:b w:val="0"/>
          <w:i w:val="0"/>
          <w:sz w:val="24"/>
        </w:rPr>
        <w:t xml:space="preserve">Donaldson, T., &amp; Preston, L. E. (1995). The stakeholder theory of the corporation: Concepts, evidence, and implications. </w:t>
      </w:r>
      <w:r>
        <w:rPr>
          <w:rFonts w:ascii="Times New Roman" w:hAnsi="Times New Roman" w:eastAsia="Times New Roman"/>
          <w:i/>
          <w:sz w:val="24"/>
        </w:rPr>
        <w:t>Academy of Management Review, 20</w:t>
      </w:r>
      <w:r>
        <w:rPr>
          <w:rFonts w:ascii="Times New Roman" w:hAnsi="Times New Roman" w:eastAsia="Times New Roman"/>
          <w:b w:val="0"/>
          <w:i w:val="0"/>
          <w:sz w:val="24"/>
        </w:rPr>
        <w:t>(1), 65–91. [https://doi.org/10.5465/amr.1995.9503271992](https://doi.org/10.5465/amr.1995.9503271992)</w:t>
      </w:r>
    </w:p>
    <w:p>
      <w:pPr>
        <w:spacing w:after="120" w:before="0" w:line="480" w:lineRule="auto"/>
      </w:pPr>
      <w:r>
        <w:rPr>
          <w:rFonts w:ascii="Times New Roman" w:hAnsi="Times New Roman" w:eastAsia="Times New Roman"/>
          <w:b w:val="0"/>
          <w:i w:val="0"/>
          <w:sz w:val="24"/>
        </w:rPr>
        <w:t xml:space="preserve">Dorobantu, S., Henisz, W. J., &amp; Nartey, L. J. (2024). Firm–stakeholder dialogue and the media: The evolution of stakeholder evaluations in different informational environments. </w:t>
      </w:r>
      <w:r>
        <w:rPr>
          <w:rFonts w:ascii="Times New Roman" w:hAnsi="Times New Roman" w:eastAsia="Times New Roman"/>
          <w:i/>
          <w:sz w:val="24"/>
        </w:rPr>
        <w:t>Academy of Management Journal, 67</w:t>
      </w:r>
      <w:r>
        <w:rPr>
          <w:rFonts w:ascii="Times New Roman" w:hAnsi="Times New Roman" w:eastAsia="Times New Roman"/>
          <w:b w:val="0"/>
          <w:i w:val="0"/>
          <w:sz w:val="24"/>
        </w:rPr>
        <w:t>(1), 9–30. (as cited in the project gap statement)</w:t>
      </w:r>
    </w:p>
    <w:p>
      <w:pPr>
        <w:spacing w:after="120" w:before="0" w:line="480" w:lineRule="auto"/>
      </w:pPr>
      <w:r>
        <w:rPr>
          <w:rFonts w:ascii="Times New Roman" w:hAnsi="Times New Roman" w:eastAsia="Times New Roman"/>
          <w:b w:val="0"/>
          <w:i w:val="0"/>
          <w:sz w:val="24"/>
        </w:rPr>
        <w:t xml:space="preserve">Flanagan, J. C. (1954). The critical incident technique. </w:t>
      </w:r>
      <w:r>
        <w:rPr>
          <w:rFonts w:ascii="Times New Roman" w:hAnsi="Times New Roman" w:eastAsia="Times New Roman"/>
          <w:i/>
          <w:sz w:val="24"/>
        </w:rPr>
        <w:t>Psychological Bulletin, 51</w:t>
      </w:r>
      <w:r>
        <w:rPr>
          <w:rFonts w:ascii="Times New Roman" w:hAnsi="Times New Roman" w:eastAsia="Times New Roman"/>
          <w:b w:val="0"/>
          <w:i w:val="0"/>
          <w:sz w:val="24"/>
        </w:rPr>
        <w:t>(4), 327–358. [https://doi.org/10.1037/h0061470](https://doi.org/10.1037/h0061470)</w:t>
      </w:r>
    </w:p>
    <w:p>
      <w:pPr>
        <w:spacing w:after="120" w:before="0" w:line="480" w:lineRule="auto"/>
      </w:pPr>
      <w:r>
        <w:rPr>
          <w:rFonts w:ascii="Times New Roman" w:hAnsi="Times New Roman" w:eastAsia="Times New Roman"/>
          <w:b w:val="0"/>
          <w:i w:val="0"/>
          <w:sz w:val="24"/>
        </w:rPr>
        <w:t xml:space="preserve">Freeman, R. E., Wicks, A. C., &amp; Parmar, B. (2004). Stakeholder theory and “the corporate objective revisited.” </w:t>
      </w:r>
      <w:r>
        <w:rPr>
          <w:rFonts w:ascii="Times New Roman" w:hAnsi="Times New Roman" w:eastAsia="Times New Roman"/>
          <w:i/>
          <w:sz w:val="24"/>
        </w:rPr>
        <w:t>Organization Science, 15</w:t>
      </w:r>
      <w:r>
        <w:rPr>
          <w:rFonts w:ascii="Times New Roman" w:hAnsi="Times New Roman" w:eastAsia="Times New Roman"/>
          <w:b w:val="0"/>
          <w:i w:val="0"/>
          <w:sz w:val="24"/>
        </w:rPr>
        <w:t>(3), 364–369. [https://doi.org/10.1287/orsc.1040.0066](https://doi.org/10.1287/orsc.1040.0066)</w:t>
      </w:r>
    </w:p>
    <w:p>
      <w:pPr>
        <w:spacing w:after="120" w:before="0" w:line="480" w:lineRule="auto"/>
      </w:pPr>
      <w:r>
        <w:rPr>
          <w:rFonts w:ascii="Times New Roman" w:hAnsi="Times New Roman" w:eastAsia="Times New Roman"/>
          <w:b w:val="0"/>
          <w:i w:val="0"/>
          <w:sz w:val="24"/>
        </w:rPr>
        <w:t xml:space="preserve">Guest, G., Bunce, A., &amp; Johnson, L. (2006). How many interviews are enough? An experiment with data saturation and variability. </w:t>
      </w:r>
      <w:r>
        <w:rPr>
          <w:rFonts w:ascii="Times New Roman" w:hAnsi="Times New Roman" w:eastAsia="Times New Roman"/>
          <w:i/>
          <w:sz w:val="24"/>
        </w:rPr>
        <w:t>Field Methods, 18</w:t>
      </w:r>
      <w:r>
        <w:rPr>
          <w:rFonts w:ascii="Times New Roman" w:hAnsi="Times New Roman" w:eastAsia="Times New Roman"/>
          <w:b w:val="0"/>
          <w:i w:val="0"/>
          <w:sz w:val="24"/>
        </w:rPr>
        <w:t>(1), 59–82. [https://doi.org/10.1177/1525822X05279903](https://doi.org/10.1177/1525822X05279903)</w:t>
      </w:r>
    </w:p>
    <w:p>
      <w:pPr>
        <w:spacing w:after="120" w:before="0" w:line="480" w:lineRule="auto"/>
      </w:pPr>
      <w:r>
        <w:rPr>
          <w:rFonts w:ascii="Times New Roman" w:hAnsi="Times New Roman" w:eastAsia="Times New Roman"/>
          <w:b w:val="0"/>
          <w:i w:val="0"/>
          <w:sz w:val="24"/>
        </w:rPr>
        <w:t xml:space="preserve">Kahlke, R. M. (2014). Generic qualitative approaches: Pitfalls and benefits of methodological mixology. </w:t>
      </w:r>
      <w:r>
        <w:rPr>
          <w:rFonts w:ascii="Times New Roman" w:hAnsi="Times New Roman" w:eastAsia="Times New Roman"/>
          <w:i/>
          <w:sz w:val="24"/>
        </w:rPr>
        <w:t>International Journal of Qualitative Methods, 13</w:t>
      </w:r>
      <w:r>
        <w:rPr>
          <w:rFonts w:ascii="Times New Roman" w:hAnsi="Times New Roman" w:eastAsia="Times New Roman"/>
          <w:b w:val="0"/>
          <w:i w:val="0"/>
          <w:sz w:val="24"/>
        </w:rPr>
        <w:t>(1), 37–52. [https://doi.org/10.1177/160940691401300119](https://doi.org/10.1177/160940691401300119)</w:t>
      </w:r>
    </w:p>
    <w:p>
      <w:pPr>
        <w:spacing w:after="120" w:before="0" w:line="480" w:lineRule="auto"/>
      </w:pPr>
      <w:r>
        <w:rPr>
          <w:rFonts w:ascii="Times New Roman" w:hAnsi="Times New Roman" w:eastAsia="Times New Roman"/>
          <w:b w:val="0"/>
          <w:i w:val="0"/>
          <w:sz w:val="24"/>
        </w:rPr>
        <w:t xml:space="preserve">Korstjens, I., &amp; Moser, A. (2018). Series: Practical guidance to qualitative research. Part 4: Trustworthiness and publishing. </w:t>
      </w:r>
      <w:r>
        <w:rPr>
          <w:rFonts w:ascii="Times New Roman" w:hAnsi="Times New Roman" w:eastAsia="Times New Roman"/>
          <w:i/>
          <w:sz w:val="24"/>
        </w:rPr>
        <w:t>European Journal of General Practice, 24</w:t>
      </w:r>
      <w:r>
        <w:rPr>
          <w:rFonts w:ascii="Times New Roman" w:hAnsi="Times New Roman" w:eastAsia="Times New Roman"/>
          <w:b w:val="0"/>
          <w:i w:val="0"/>
          <w:sz w:val="24"/>
        </w:rPr>
        <w:t>(1), 120–124. [https://doi.org/10.1080/13814788.2017.1375092](https://doi.org/10.1080/13814788.2017.1375092)</w:t>
      </w:r>
    </w:p>
    <w:p>
      <w:pPr>
        <w:spacing w:after="120" w:before="0" w:line="480" w:lineRule="auto"/>
      </w:pPr>
      <w:r>
        <w:rPr>
          <w:rFonts w:ascii="Times New Roman" w:hAnsi="Times New Roman" w:eastAsia="Times New Roman"/>
          <w:b w:val="0"/>
          <w:i w:val="0"/>
          <w:sz w:val="24"/>
        </w:rPr>
        <w:t xml:space="preserve">Lester, J. N., Cho, Y., &amp; Lochmiller, C. R. (2020). Learning to do qualitative data analysis: A starting point. </w:t>
      </w:r>
      <w:r>
        <w:rPr>
          <w:rFonts w:ascii="Times New Roman" w:hAnsi="Times New Roman" w:eastAsia="Times New Roman"/>
          <w:i/>
          <w:sz w:val="24"/>
        </w:rPr>
        <w:t>Human Resource Development Review, 19</w:t>
      </w:r>
      <w:r>
        <w:rPr>
          <w:rFonts w:ascii="Times New Roman" w:hAnsi="Times New Roman" w:eastAsia="Times New Roman"/>
          <w:b w:val="0"/>
          <w:i w:val="0"/>
          <w:sz w:val="24"/>
        </w:rPr>
        <w:t>(1), 94–106. [https://doi.org/10.1177/1534484320903890](https://doi.org/10.1177/1534484320903890)</w:t>
      </w:r>
    </w:p>
    <w:p>
      <w:pPr>
        <w:spacing w:after="120" w:before="0" w:line="480" w:lineRule="auto"/>
      </w:pPr>
      <w:r>
        <w:rPr>
          <w:rFonts w:ascii="Times New Roman" w:hAnsi="Times New Roman" w:eastAsia="Times New Roman"/>
          <w:b w:val="0"/>
          <w:i w:val="0"/>
          <w:sz w:val="24"/>
        </w:rPr>
        <w:t xml:space="preserve">Lincoln, Y. S., &amp; Guba, E. G. (1985). </w:t>
      </w:r>
      <w:r>
        <w:rPr>
          <w:rFonts w:ascii="Times New Roman" w:hAnsi="Times New Roman" w:eastAsia="Times New Roman"/>
          <w:i/>
          <w:sz w:val="24"/>
        </w:rPr>
        <w:t>Naturalistic inquiry</w:t>
      </w:r>
      <w:r>
        <w:rPr>
          <w:rFonts w:ascii="Times New Roman" w:hAnsi="Times New Roman" w:eastAsia="Times New Roman"/>
          <w:b w:val="0"/>
          <w:i w:val="0"/>
          <w:sz w:val="24"/>
        </w:rPr>
        <w:t>. SAGE.</w:t>
      </w:r>
    </w:p>
    <w:p>
      <w:pPr>
        <w:spacing w:after="120" w:before="0" w:line="480" w:lineRule="auto"/>
      </w:pPr>
      <w:r>
        <w:rPr>
          <w:rFonts w:ascii="Times New Roman" w:hAnsi="Times New Roman" w:eastAsia="Times New Roman"/>
          <w:b w:val="0"/>
          <w:i w:val="0"/>
          <w:sz w:val="24"/>
        </w:rPr>
        <w:t>Lowry, P. B., Petter, S., &amp; Leimeister, J. M. (2025). (as cited in the project plan for recoverability assurance and decision-relevant evidence)</w:t>
      </w:r>
    </w:p>
    <w:p>
      <w:pPr>
        <w:spacing w:after="120" w:before="0" w:line="480" w:lineRule="auto"/>
      </w:pPr>
      <w:r>
        <w:rPr>
          <w:rFonts w:ascii="Times New Roman" w:hAnsi="Times New Roman" w:eastAsia="Times New Roman"/>
          <w:b w:val="0"/>
          <w:i w:val="0"/>
          <w:sz w:val="24"/>
        </w:rPr>
        <w:t xml:space="preserve">Malterud, K., Siersma, V. D., &amp; Guassora, A. D. (2016). Sample size in qualitative interview studies: Guided by information power. </w:t>
      </w:r>
      <w:r>
        <w:rPr>
          <w:rFonts w:ascii="Times New Roman" w:hAnsi="Times New Roman" w:eastAsia="Times New Roman"/>
          <w:i/>
          <w:sz w:val="24"/>
        </w:rPr>
        <w:t>Qualitative Health Research, 26</w:t>
      </w:r>
      <w:r>
        <w:rPr>
          <w:rFonts w:ascii="Times New Roman" w:hAnsi="Times New Roman" w:eastAsia="Times New Roman"/>
          <w:b w:val="0"/>
          <w:i w:val="0"/>
          <w:sz w:val="24"/>
        </w:rPr>
        <w:t>(13), 1753–1760. [https://doi.org/10.1177/1049732315617444](https://doi.org/10.1177/1049732315617444)</w:t>
      </w:r>
    </w:p>
    <w:p>
      <w:pPr>
        <w:spacing w:after="120" w:before="0" w:line="480" w:lineRule="auto"/>
      </w:pPr>
      <w:r>
        <w:rPr>
          <w:rFonts w:ascii="Times New Roman" w:hAnsi="Times New Roman" w:eastAsia="Times New Roman"/>
          <w:b w:val="0"/>
          <w:i w:val="0"/>
          <w:sz w:val="24"/>
        </w:rPr>
        <w:t xml:space="preserve">Mitchell, R. K., Agle, B. R., &amp; Wood, D. J. (1997). Toward a theory of stakeholder identification and salience: Defining the principle of who and what really counts. </w:t>
      </w:r>
      <w:r>
        <w:rPr>
          <w:rFonts w:ascii="Times New Roman" w:hAnsi="Times New Roman" w:eastAsia="Times New Roman"/>
          <w:i/>
          <w:sz w:val="24"/>
        </w:rPr>
        <w:t>Academy of Management Review, 22</w:t>
      </w:r>
      <w:r>
        <w:rPr>
          <w:rFonts w:ascii="Times New Roman" w:hAnsi="Times New Roman" w:eastAsia="Times New Roman"/>
          <w:b w:val="0"/>
          <w:i w:val="0"/>
          <w:sz w:val="24"/>
        </w:rPr>
        <w:t>(4), 853–886. [https://doi.org/10.5465/amr.1997.9711022105](https://doi.org/10.5465/amr.1997.9711022105)</w:t>
      </w:r>
    </w:p>
    <w:p>
      <w:pPr>
        <w:spacing w:after="120" w:before="0" w:line="480" w:lineRule="auto"/>
      </w:pPr>
      <w:r>
        <w:rPr>
          <w:rFonts w:ascii="Times New Roman" w:hAnsi="Times New Roman" w:eastAsia="Times New Roman"/>
          <w:b w:val="0"/>
          <w:i w:val="0"/>
          <w:sz w:val="24"/>
        </w:rPr>
        <w:t xml:space="preserve">Naeem, M., Ozuem, W., Howell, K., &amp; Ranfagni, S. (2024). Demystification and actualization of data saturation in qualitative research through thematic analysis. </w:t>
      </w:r>
      <w:r>
        <w:rPr>
          <w:rFonts w:ascii="Times New Roman" w:hAnsi="Times New Roman" w:eastAsia="Times New Roman"/>
          <w:i/>
          <w:sz w:val="24"/>
        </w:rPr>
        <w:t>International Journal of Qualitative Methods, 23</w:t>
      </w:r>
      <w:r>
        <w:rPr>
          <w:rFonts w:ascii="Times New Roman" w:hAnsi="Times New Roman" w:eastAsia="Times New Roman"/>
          <w:b w:val="0"/>
          <w:i w:val="0"/>
          <w:sz w:val="24"/>
        </w:rPr>
        <w:t>.</w:t>
      </w:r>
    </w:p>
    <w:p>
      <w:pPr>
        <w:spacing w:after="120" w:before="0" w:line="480" w:lineRule="auto"/>
      </w:pPr>
      <w:r>
        <w:rPr>
          <w:rFonts w:ascii="Times New Roman" w:hAnsi="Times New Roman" w:eastAsia="Times New Roman"/>
          <w:b w:val="0"/>
          <w:i w:val="0"/>
          <w:sz w:val="24"/>
        </w:rPr>
        <w:t xml:space="preserve">Percy, W. H., Kostere, K., &amp; Kostere, S. (2015). Generic qualitative research in psychology. </w:t>
      </w:r>
      <w:r>
        <w:rPr>
          <w:rFonts w:ascii="Times New Roman" w:hAnsi="Times New Roman" w:eastAsia="Times New Roman"/>
          <w:i/>
          <w:sz w:val="24"/>
        </w:rPr>
        <w:t>The Qualitative Report, 20</w:t>
      </w:r>
      <w:r>
        <w:rPr>
          <w:rFonts w:ascii="Times New Roman" w:hAnsi="Times New Roman" w:eastAsia="Times New Roman"/>
          <w:b w:val="0"/>
          <w:i w:val="0"/>
          <w:sz w:val="24"/>
        </w:rPr>
        <w:t>(2), 76–85. [https://doi.org/10.46743/2160-3715/2015.2097](https://doi.org/10.46743/2160-3715/2015.2097)</w:t>
      </w:r>
    </w:p>
    <w:p>
      <w:pPr>
        <w:spacing w:after="120" w:before="0" w:line="480" w:lineRule="auto"/>
      </w:pPr>
      <w:r>
        <w:rPr>
          <w:rFonts w:ascii="Times New Roman" w:hAnsi="Times New Roman" w:eastAsia="Times New Roman"/>
          <w:b w:val="0"/>
          <w:i w:val="0"/>
          <w:sz w:val="24"/>
        </w:rPr>
        <w:t xml:space="preserve">Taylor, S. J., &amp; Bogdan, R. (1998). </w:t>
      </w:r>
      <w:r>
        <w:rPr>
          <w:rFonts w:ascii="Times New Roman" w:hAnsi="Times New Roman" w:eastAsia="Times New Roman"/>
          <w:i/>
          <w:sz w:val="24"/>
        </w:rPr>
        <w:t>Introduction to qualitative research methods</w:t>
      </w:r>
      <w:r>
        <w:rPr>
          <w:rFonts w:ascii="Times New Roman" w:hAnsi="Times New Roman" w:eastAsia="Times New Roman"/>
          <w:b w:val="0"/>
          <w:i w:val="0"/>
          <w:sz w:val="24"/>
        </w:rPr>
        <w:t xml:space="preserve"> (3rd ed.). John Wiley &amp; Sons.</w:t>
      </w:r>
    </w:p>
    <w:p>
      <w:pPr>
        <w:spacing w:after="120" w:before="0" w:line="480" w:lineRule="auto"/>
      </w:pPr>
      <w:r>
        <w:rPr>
          <w:rFonts w:ascii="Times New Roman" w:hAnsi="Times New Roman" w:eastAsia="Times New Roman"/>
          <w:b w:val="0"/>
          <w:i w:val="0"/>
          <w:sz w:val="24"/>
        </w:rPr>
        <w:t xml:space="preserve">Walker, M. D. (2026, August 16). </w:t>
      </w:r>
      <w:r>
        <w:rPr>
          <w:rFonts w:ascii="Times New Roman" w:hAnsi="Times New Roman" w:eastAsia="Times New Roman"/>
          <w:i/>
          <w:sz w:val="24"/>
        </w:rPr>
        <w:t>Week 5 assignment: Data analysis practice 2</w:t>
      </w:r>
      <w:r>
        <w:rPr>
          <w:rFonts w:ascii="Times New Roman" w:hAnsi="Times New Roman" w:eastAsia="Times New Roman"/>
          <w:b w:val="0"/>
          <w:i w:val="0"/>
          <w:sz w:val="24"/>
        </w:rPr>
        <w:t xml:space="preserve"> [Unpublished course paper]. BMGT8044, Capella University.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