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480" w:lineRule="auto"/>
        <w:jc w:val="center"/>
      </w:pPr>
      <w:r>
        <w:rPr>
          <w:rFonts w:ascii="Times New Roman" w:hAnsi="Times New Roman" w:eastAsia="Times New Roman"/>
          <w:b/>
          <w:i w:val="0"/>
          <w:sz w:val="24"/>
        </w:rPr>
        <w:t>Max D. Walker</w:t>
      </w:r>
    </w:p>
    <w:p>
      <w:pPr>
        <w:spacing w:after="0" w:before="0" w:line="480" w:lineRule="auto"/>
        <w:jc w:val="center"/>
      </w:pPr>
      <w:r>
        <w:rPr>
          <w:rFonts w:ascii="Times New Roman" w:hAnsi="Times New Roman" w:eastAsia="Times New Roman"/>
          <w:b w:val="0"/>
          <w:i w:val="0"/>
          <w:sz w:val="24"/>
        </w:rPr>
        <w:t>Capella University</w:t>
      </w:r>
    </w:p>
    <w:p>
      <w:pPr>
        <w:spacing w:after="0" w:before="0" w:line="480" w:lineRule="auto"/>
        <w:jc w:val="center"/>
      </w:pPr>
      <w:r>
        <w:rPr>
          <w:rFonts w:ascii="Times New Roman" w:hAnsi="Times New Roman" w:eastAsia="Times New Roman"/>
          <w:b w:val="0"/>
          <w:i w:val="0"/>
          <w:sz w:val="24"/>
        </w:rPr>
        <w:t>RSCH-V8927 Doctoral Project Development — Framework Development</w:t>
      </w:r>
    </w:p>
    <w:p>
      <w:pPr>
        <w:spacing w:after="240" w:before="0" w:line="480" w:lineRule="auto"/>
        <w:jc w:val="center"/>
      </w:pPr>
      <w:r>
        <w:rPr>
          <w:rFonts w:ascii="Times New Roman" w:hAnsi="Times New Roman" w:eastAsia="Times New Roman"/>
          <w:b w:val="0"/>
          <w:i/>
          <w:sz w:val="24"/>
        </w:rPr>
        <w:t>Project Plan paste — two fields, n = 12 locked, APA 7, third person</w:t>
      </w:r>
    </w:p>
    <w:p>
      <w:pPr>
        <w:spacing w:after="360" w:before="0" w:line="480" w:lineRule="auto"/>
        <w:jc w:val="center"/>
      </w:pPr>
      <w:r>
        <w:rPr>
          <w:rFonts w:ascii="Times New Roman" w:hAnsi="Times New Roman" w:eastAsia="Times New Roman"/>
          <w:b/>
          <w:i w:val="0"/>
          <w:color w:val="1F3A5F"/>
          <w:sz w:val="32"/>
        </w:rPr>
        <w:t>Sampling Strategy and Recruitment Procedures</w:t>
      </w:r>
    </w:p>
    <w:p>
      <w:pPr>
        <w:spacing w:after="120" w:before="0" w:line="480" w:lineRule="auto"/>
      </w:pPr>
      <w:r>
        <w:rPr>
          <w:rFonts w:ascii="Times New Roman" w:hAnsi="Times New Roman" w:eastAsia="Times New Roman"/>
          <w:b w:val="0"/>
          <w:i w:val="0"/>
          <w:sz w:val="24"/>
        </w:rPr>
        <w:t>Courseroom paste only. Sample locked at n = 12. Third person. APA 7.</w:t>
      </w:r>
    </w:p>
    <w:p>
      <w:pPr>
        <w:spacing w:after="160" w:before="240" w:line="480" w:lineRule="auto"/>
      </w:pPr>
      <w:r>
        <w:rPr>
          <w:rFonts w:ascii="Times New Roman" w:hAnsi="Times New Roman" w:eastAsia="Times New Roman"/>
          <w:b/>
          <w:i w:val="0"/>
          <w:color w:val="1F3A5F"/>
          <w:sz w:val="28"/>
        </w:rPr>
        <w:t>Sampling Strategy, Number of Participants</w:t>
      </w:r>
    </w:p>
    <w:p>
      <w:pPr>
        <w:spacing w:after="120" w:before="0" w:line="480" w:lineRule="auto"/>
      </w:pPr>
      <w:r>
        <w:rPr>
          <w:rFonts w:ascii="Times New Roman" w:hAnsi="Times New Roman" w:eastAsia="Times New Roman"/>
          <w:b w:val="0"/>
          <w:i w:val="0"/>
          <w:sz w:val="24"/>
        </w:rPr>
        <w:t>This study will use a nonprobability, criterion-based purposive sampling strategy to select information-rich participants whose professional roles and recent recovery experience align with the research purpose (Percy et al., 2015; Creswell &amp; Poth, 2018). The target population consists of U.S. IT, network, systems, infrastructure, or operations managers in small and medium-sized enterprises of 10 to 200 personnel who have direct responsibility for, or participation in, IT disaster recovery that uses an external recovery platform, managed recovery service, ITDRPaaS, or a functionally equivalent cloud-recovery capability. Inclusion requires at least one disruption, failover, recovery test, or operational recovery in the preceding 36 months in which that external capability was used. Individuals employed only by a vendor, or who lack direct platform-mediated recovery responsibility, will be excluded. Criterion-based purposive sampling is appropriate for this generic qualitative inquiry because the researcher will deliberately select participants who can recount a named recovery event rather than attempt to obtain a statistically representative sample (Percy et al., 2015).</w:t>
      </w:r>
    </w:p>
    <w:p>
      <w:pPr>
        <w:spacing w:after="120" w:before="0" w:line="480" w:lineRule="auto"/>
      </w:pPr>
      <w:r>
        <w:rPr>
          <w:rFonts w:ascii="Times New Roman" w:hAnsi="Times New Roman" w:eastAsia="Times New Roman"/>
          <w:b w:val="0"/>
          <w:i w:val="0"/>
          <w:sz w:val="24"/>
        </w:rPr>
        <w:t>The sample is locked at 12 participants. Sample adequacy will not be determined through statistical power calculations (Vasileiou et al., 2018). It will be justified by information power: a narrow study aim, a highly specific participant population, theoretically informed but not closed-ended dialogue, and an in-depth thematic analysis strategy (Malterud et al., 2016). Twelve is the planned recruitment target for the detailed screening and interview process. It is not a finding that the gap is closed, and it is not a claim that saturation occurs at the twelfth interview.</w:t>
      </w:r>
    </w:p>
    <w:p>
      <w:pPr>
        <w:spacing w:after="120" w:before="0" w:line="480" w:lineRule="auto"/>
      </w:pPr>
      <w:r>
        <w:rPr>
          <w:rFonts w:ascii="Times New Roman" w:hAnsi="Times New Roman" w:eastAsia="Times New Roman"/>
          <w:b w:val="0"/>
          <w:i w:val="0"/>
          <w:sz w:val="24"/>
        </w:rPr>
        <w:t>Recruitment and preliminary analysis will proceed through the locked sample of 12. Stopping will be documented as an analytic decision: the researcher will record whether interviews in that corpus continue to contribute new meaning units, categories, or thematic variation relevant to the research questions (Naeem et al., 2024). Guest et al. (2006) may be cited only as background that some homogeneous interview studies have observed early code stability; that source will not be used to claim in advance that 12 interviews suffice. The final participant count and the rationale for ending recruitment will be recorded in the study audit trail (Carcary, 2020).</w:t>
      </w:r>
    </w:p>
    <w:p>
      <w:pPr>
        <w:spacing w:after="160" w:before="240" w:line="480" w:lineRule="auto"/>
      </w:pPr>
      <w:r>
        <w:rPr>
          <w:rFonts w:ascii="Times New Roman" w:hAnsi="Times New Roman" w:eastAsia="Times New Roman"/>
          <w:b/>
          <w:i w:val="0"/>
          <w:color w:val="1F3A5F"/>
          <w:sz w:val="28"/>
        </w:rPr>
        <w:t>Recruitment Procedures</w:t>
      </w:r>
    </w:p>
    <w:p>
      <w:pPr>
        <w:spacing w:after="120" w:before="0" w:line="480" w:lineRule="auto"/>
      </w:pPr>
      <w:r>
        <w:rPr>
          <w:rFonts w:ascii="Times New Roman" w:hAnsi="Times New Roman" w:eastAsia="Times New Roman"/>
          <w:b w:val="0"/>
          <w:i w:val="0"/>
          <w:sz w:val="24"/>
        </w:rPr>
        <w:t>The researcher will not begin identification, screening, or scheduling until the Capella University Institutional Review Board has granted written approval. After approval, the researcher will identify candidates individually through professional networks, practitioner associations, and professional social platforms. The researcher will not recruit through a supervisor, an employer’s command chain, or a vendor account manager, and will not use supervisor-visible invitation lists. That restriction is an ethical protection and a data-quality protection: a command-visible invitation would increase the risk that contested authority and failed-proof accounts would be withheld. Optional confidential peer nomination will be permitted only when the nomination does not travel through a supervisor or vendor account manager.</w:t>
      </w:r>
    </w:p>
    <w:p>
      <w:pPr>
        <w:spacing w:after="120" w:before="0" w:line="480" w:lineRule="auto"/>
      </w:pPr>
      <w:r>
        <w:rPr>
          <w:rFonts w:ascii="Times New Roman" w:hAnsi="Times New Roman" w:eastAsia="Times New Roman"/>
          <w:b w:val="0"/>
          <w:i w:val="0"/>
          <w:sz w:val="24"/>
        </w:rPr>
        <w:t>Screening will apply the inclusion and exclusion criteria that define the purposive sample (Percy et al., 2015). To be included, a candidate must hold an active IT, network, systems, infrastructure, or operations management role in a U.S. enterprise of 10 to 200 personnel; must have direct responsibility for, or participation in, IT disaster-recovery coordination that uses an external recovery platform or managed recovery service; must be able to name at least one disruption, failover, recovery test, or operational recovery in the preceding 36 months in which that external capability was used; and must be willing to complete a 60- to 75-minute English video interview and a seven-day factual transcript check. Candidates will be excluded if they are employed only by a vendor, lack direct platform-mediated recovery responsibility, cannot name a qualifying event in 36 months, or would be reached only through a supervisory or vendor-account recruitment path.</w:t>
      </w:r>
    </w:p>
    <w:p>
      <w:pPr>
        <w:spacing w:after="120" w:before="0" w:line="480" w:lineRule="auto"/>
      </w:pPr>
      <w:r>
        <w:rPr>
          <w:rFonts w:ascii="Times New Roman" w:hAnsi="Times New Roman" w:eastAsia="Times New Roman"/>
          <w:b w:val="0"/>
          <w:i w:val="0"/>
          <w:sz w:val="24"/>
        </w:rPr>
        <w:t>After eligibility is confirmed, the researcher will email the informed-consent form. When signed electronic consent is returned, the researcher will assign a participant code and schedule the recorded interview. If a candidate cannot name a qualifying incident during screening or at the opening of the interview, the case will fail inclusion; the researcher will thank the person and close the contact. The researcher will not continue an interview from a generic account of how recovery usually works, because that talk does not supply the named critical incident required by the design (Flanagan, 1954; Chell, 2004).</w:t>
      </w:r>
    </w:p>
    <w:p>
      <w:pPr>
        <w:spacing w:after="160" w:before="240" w:line="480" w:lineRule="auto"/>
      </w:pPr>
      <w:r>
        <w:rPr>
          <w:rFonts w:ascii="Times New Roman" w:hAnsi="Times New Roman" w:eastAsia="Times New Roman"/>
          <w:b/>
          <w:i w:val="0"/>
          <w:color w:val="1F3A5F"/>
          <w:sz w:val="28"/>
        </w:rPr>
        <w:t>References</w:t>
      </w:r>
    </w:p>
    <w:p>
      <w:pPr>
        <w:spacing w:after="120" w:before="0" w:line="480" w:lineRule="auto"/>
      </w:pPr>
      <w:r>
        <w:rPr>
          <w:rFonts w:ascii="Times New Roman" w:hAnsi="Times New Roman" w:eastAsia="Times New Roman"/>
          <w:b w:val="0"/>
          <w:i w:val="0"/>
          <w:sz w:val="24"/>
        </w:rPr>
        <w:t xml:space="preserve">Carcary, M. (2020). The research audit trail: Methodological guidance for application in practice. </w:t>
      </w:r>
      <w:r>
        <w:rPr>
          <w:rFonts w:ascii="Times New Roman" w:hAnsi="Times New Roman" w:eastAsia="Times New Roman"/>
          <w:i/>
          <w:sz w:val="24"/>
        </w:rPr>
        <w:t>Electronic Journal of Business Research Methods, 18</w:t>
      </w:r>
      <w:r>
        <w:rPr>
          <w:rFonts w:ascii="Times New Roman" w:hAnsi="Times New Roman" w:eastAsia="Times New Roman"/>
          <w:b w:val="0"/>
          <w:i w:val="0"/>
          <w:sz w:val="24"/>
        </w:rPr>
        <w:t>(2), 166–177. https://doi.org/10.34190/jbrm.18.2.008</w:t>
      </w:r>
    </w:p>
    <w:p>
      <w:pPr>
        <w:spacing w:after="120" w:before="0" w:line="480" w:lineRule="auto"/>
      </w:pPr>
      <w:r>
        <w:rPr>
          <w:rFonts w:ascii="Times New Roman" w:hAnsi="Times New Roman" w:eastAsia="Times New Roman"/>
          <w:b w:val="0"/>
          <w:i w:val="0"/>
          <w:sz w:val="24"/>
        </w:rPr>
        <w:t xml:space="preserve">Chell, E. (2004). Critical incident technique. In C. Cassell &amp; G. Symon (Eds.), </w:t>
      </w:r>
      <w:r>
        <w:rPr>
          <w:rFonts w:ascii="Times New Roman" w:hAnsi="Times New Roman" w:eastAsia="Times New Roman"/>
          <w:i/>
          <w:sz w:val="24"/>
        </w:rPr>
        <w:t>Essential guide to qualitative methods in organizational research</w:t>
      </w:r>
      <w:r>
        <w:rPr>
          <w:rFonts w:ascii="Times New Roman" w:hAnsi="Times New Roman" w:eastAsia="Times New Roman"/>
          <w:b w:val="0"/>
          <w:i w:val="0"/>
          <w:sz w:val="24"/>
        </w:rPr>
        <w:t xml:space="preserve"> (pp. 45–60). SAGE.</w:t>
      </w:r>
    </w:p>
    <w:p>
      <w:pPr>
        <w:spacing w:after="120" w:before="0" w:line="480" w:lineRule="auto"/>
      </w:pPr>
      <w:r>
        <w:rPr>
          <w:rFonts w:ascii="Times New Roman" w:hAnsi="Times New Roman" w:eastAsia="Times New Roman"/>
          <w:b w:val="0"/>
          <w:i w:val="0"/>
          <w:sz w:val="24"/>
        </w:rPr>
        <w:t xml:space="preserve">Creswell, J. W., &amp; Poth, C. N. (2018). </w:t>
      </w:r>
      <w:r>
        <w:rPr>
          <w:rFonts w:ascii="Times New Roman" w:hAnsi="Times New Roman" w:eastAsia="Times New Roman"/>
          <w:i/>
          <w:sz w:val="24"/>
        </w:rPr>
        <w:t>Qualitative inquiry and research design: Choosing among five approaches</w:t>
      </w:r>
      <w:r>
        <w:rPr>
          <w:rFonts w:ascii="Times New Roman" w:hAnsi="Times New Roman" w:eastAsia="Times New Roman"/>
          <w:b w:val="0"/>
          <w:i w:val="0"/>
          <w:sz w:val="24"/>
        </w:rPr>
        <w:t xml:space="preserve"> (4th ed.). SAGE.</w:t>
      </w:r>
    </w:p>
    <w:p>
      <w:pPr>
        <w:spacing w:after="120" w:before="0" w:line="480" w:lineRule="auto"/>
      </w:pPr>
      <w:r>
        <w:rPr>
          <w:rFonts w:ascii="Times New Roman" w:hAnsi="Times New Roman" w:eastAsia="Times New Roman"/>
          <w:b w:val="0"/>
          <w:i w:val="0"/>
          <w:sz w:val="24"/>
        </w:rPr>
        <w:t xml:space="preserve">Flanagan, J. C. (1954). The critical incident technique. </w:t>
      </w:r>
      <w:r>
        <w:rPr>
          <w:rFonts w:ascii="Times New Roman" w:hAnsi="Times New Roman" w:eastAsia="Times New Roman"/>
          <w:i/>
          <w:sz w:val="24"/>
        </w:rPr>
        <w:t>Psychological Bulletin, 51</w:t>
      </w:r>
      <w:r>
        <w:rPr>
          <w:rFonts w:ascii="Times New Roman" w:hAnsi="Times New Roman" w:eastAsia="Times New Roman"/>
          <w:b w:val="0"/>
          <w:i w:val="0"/>
          <w:sz w:val="24"/>
        </w:rPr>
        <w:t>(4), 327–358. https://doi.org/10.1037/h0061470</w:t>
      </w:r>
    </w:p>
    <w:p>
      <w:pPr>
        <w:spacing w:after="120" w:before="0" w:line="480" w:lineRule="auto"/>
      </w:pPr>
      <w:r>
        <w:rPr>
          <w:rFonts w:ascii="Times New Roman" w:hAnsi="Times New Roman" w:eastAsia="Times New Roman"/>
          <w:b w:val="0"/>
          <w:i w:val="0"/>
          <w:sz w:val="24"/>
        </w:rPr>
        <w:t xml:space="preserve">Guest, G., Bunce, A., &amp; Johnson, L. (2006). How many interviews are enough? An experiment with data saturation and variability. </w:t>
      </w:r>
      <w:r>
        <w:rPr>
          <w:rFonts w:ascii="Times New Roman" w:hAnsi="Times New Roman" w:eastAsia="Times New Roman"/>
          <w:i/>
          <w:sz w:val="24"/>
        </w:rPr>
        <w:t>Field Methods, 18</w:t>
      </w:r>
      <w:r>
        <w:rPr>
          <w:rFonts w:ascii="Times New Roman" w:hAnsi="Times New Roman" w:eastAsia="Times New Roman"/>
          <w:b w:val="0"/>
          <w:i w:val="0"/>
          <w:sz w:val="24"/>
        </w:rPr>
        <w:t>(1), 59–82. https://doi.org/10.1177/1525822X05279903</w:t>
      </w:r>
    </w:p>
    <w:p>
      <w:pPr>
        <w:spacing w:after="120" w:before="0" w:line="480" w:lineRule="auto"/>
      </w:pPr>
      <w:r>
        <w:rPr>
          <w:rFonts w:ascii="Times New Roman" w:hAnsi="Times New Roman" w:eastAsia="Times New Roman"/>
          <w:b w:val="0"/>
          <w:i w:val="0"/>
          <w:sz w:val="24"/>
        </w:rPr>
        <w:t xml:space="preserve">Malterud, K., Siersma, V. D., &amp; Guassora, A. D. (2016). Sample size in qualitative interview studies: Guided by information power. </w:t>
      </w:r>
      <w:r>
        <w:rPr>
          <w:rFonts w:ascii="Times New Roman" w:hAnsi="Times New Roman" w:eastAsia="Times New Roman"/>
          <w:i/>
          <w:sz w:val="24"/>
        </w:rPr>
        <w:t>Qualitative Health Research, 26</w:t>
      </w:r>
      <w:r>
        <w:rPr>
          <w:rFonts w:ascii="Times New Roman" w:hAnsi="Times New Roman" w:eastAsia="Times New Roman"/>
          <w:b w:val="0"/>
          <w:i w:val="0"/>
          <w:sz w:val="24"/>
        </w:rPr>
        <w:t>(13), 1753–1760. https://doi.org/10.1177/1049732315617444</w:t>
      </w:r>
    </w:p>
    <w:p>
      <w:pPr>
        <w:spacing w:after="120" w:before="0" w:line="480" w:lineRule="auto"/>
      </w:pPr>
      <w:r>
        <w:rPr>
          <w:rFonts w:ascii="Times New Roman" w:hAnsi="Times New Roman" w:eastAsia="Times New Roman"/>
          <w:b w:val="0"/>
          <w:i w:val="0"/>
          <w:sz w:val="24"/>
        </w:rPr>
        <w:t xml:space="preserve">Naeem, M., Ozuem, W., Howell, K., &amp; Ranfagni, S. (2024). Demystification and actualisation of data saturation in qualitative research through thematic analysis. </w:t>
      </w:r>
      <w:r>
        <w:rPr>
          <w:rFonts w:ascii="Times New Roman" w:hAnsi="Times New Roman" w:eastAsia="Times New Roman"/>
          <w:i/>
          <w:sz w:val="24"/>
        </w:rPr>
        <w:t>International Journal of Qualitative Methods, 23</w:t>
      </w:r>
      <w:r>
        <w:rPr>
          <w:rFonts w:ascii="Times New Roman" w:hAnsi="Times New Roman" w:eastAsia="Times New Roman"/>
          <w:b w:val="0"/>
          <w:i w:val="0"/>
          <w:sz w:val="24"/>
        </w:rPr>
        <w:t>, 1–17. https://doi.org/10.1177/16094069241229777</w:t>
      </w:r>
    </w:p>
    <w:p>
      <w:pPr>
        <w:spacing w:after="120" w:before="0" w:line="480" w:lineRule="auto"/>
      </w:pPr>
      <w:r>
        <w:rPr>
          <w:rFonts w:ascii="Times New Roman" w:hAnsi="Times New Roman" w:eastAsia="Times New Roman"/>
          <w:b w:val="0"/>
          <w:i w:val="0"/>
          <w:sz w:val="24"/>
        </w:rPr>
        <w:t xml:space="preserve">Percy, W. H., Kostere, K., &amp; Kostere, S. (2015). Generic qualitative research in psychology. </w:t>
      </w:r>
      <w:r>
        <w:rPr>
          <w:rFonts w:ascii="Times New Roman" w:hAnsi="Times New Roman" w:eastAsia="Times New Roman"/>
          <w:i/>
          <w:sz w:val="24"/>
        </w:rPr>
        <w:t>The Qualitative Report, 20</w:t>
      </w:r>
      <w:r>
        <w:rPr>
          <w:rFonts w:ascii="Times New Roman" w:hAnsi="Times New Roman" w:eastAsia="Times New Roman"/>
          <w:b w:val="0"/>
          <w:i w:val="0"/>
          <w:sz w:val="24"/>
        </w:rPr>
        <w:t>(2), 76–85. https://doi.org/10.46743/2160-3715/2015.2097</w:t>
      </w:r>
    </w:p>
    <w:p>
      <w:pPr>
        <w:spacing w:after="120" w:before="0" w:line="480" w:lineRule="auto"/>
      </w:pPr>
      <w:r>
        <w:rPr>
          <w:rFonts w:ascii="Times New Roman" w:hAnsi="Times New Roman" w:eastAsia="Times New Roman"/>
          <w:b w:val="0"/>
          <w:i w:val="0"/>
          <w:sz w:val="24"/>
        </w:rPr>
        <w:t xml:space="preserve">Vasileiou, K., Barnett, J., Thorpe, S., &amp; Young, T. (2018). Characterising and justifying sample size sufficiency in interview-based studies: Systematic analysis of qualitative health research over a 15-year period. </w:t>
      </w:r>
      <w:r>
        <w:rPr>
          <w:rFonts w:ascii="Times New Roman" w:hAnsi="Times New Roman" w:eastAsia="Times New Roman"/>
          <w:i/>
          <w:sz w:val="24"/>
        </w:rPr>
        <w:t>BMC Medical Research Methodology, 18</w:t>
      </w:r>
      <w:r>
        <w:rPr>
          <w:rFonts w:ascii="Times New Roman" w:hAnsi="Times New Roman" w:eastAsia="Times New Roman"/>
          <w:b w:val="0"/>
          <w:i w:val="0"/>
          <w:sz w:val="24"/>
        </w:rPr>
        <w:t>, Article 148. https://doi.org/10.1186/s12874-018-0594-7</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0"/>
      </w:rPr>
      <w:t xml:space="preserve">Download copy for Project Plan use  ·  Page </w:t>
    </w:r>
    <w:r/>
    <w:r>
      <w:rPr>
        <w:rFonts w:ascii="Times New Roman" w:hAnsi="Times New Roman" w:eastAsia="Times New Roman"/>
        <w:sz w:val="20"/>
      </w:rPr>
      <w:fldChar w:fldCharType="begin"/>
    </w:r>
    <w:r>
      <w:rPr>
        <w:rFonts w:ascii="Times New Roman" w:hAnsi="Times New Roman" w:eastAsia="Times New Roman"/>
        <w:sz w:val="20"/>
      </w:rPr>
      <w:instrText xml:space="preserve"> PAGE </w:instrText>
    </w:r>
    <w:r>
      <w:rPr>
        <w:rFonts w:ascii="Times New Roman" w:hAnsi="Times New Roman" w:eastAsia="Times New Roman"/>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i/>
        <w:sz w:val="20"/>
      </w:rPr>
      <w:t>Walker — RSCH-V8927 / BMGT8044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