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240" w:before="0" w:line="480" w:lineRule="auto"/>
        <w:jc w:val="center"/>
      </w:pPr>
      <w:r>
        <w:rPr>
          <w:rFonts w:ascii="Times New Roman" w:hAnsi="Times New Roman" w:eastAsia="Times New Roman"/>
          <w:b w:val="0"/>
          <w:i/>
          <w:sz w:val="24"/>
        </w:rPr>
        <w:t>Project Plan paste — Offering C detailed four-paragraph how-to, APA 7, third person</w:t>
      </w:r>
    </w:p>
    <w:p>
      <w:pPr>
        <w:spacing w:after="360" w:before="0" w:line="480" w:lineRule="auto"/>
        <w:jc w:val="center"/>
      </w:pPr>
      <w:r>
        <w:rPr>
          <w:rFonts w:ascii="Times New Roman" w:hAnsi="Times New Roman" w:eastAsia="Times New Roman"/>
          <w:b/>
          <w:i w:val="0"/>
          <w:color w:val="1F3A5F"/>
          <w:sz w:val="32"/>
        </w:rPr>
        <w:t>Proposed Data Analysis Plan</w:t>
      </w:r>
    </w:p>
    <w:p>
      <w:pPr>
        <w:spacing w:after="120" w:before="0" w:line="480" w:lineRule="auto"/>
      </w:pPr>
      <w:r>
        <w:rPr>
          <w:rFonts w:ascii="Times New Roman" w:hAnsi="Times New Roman" w:eastAsia="Times New Roman"/>
          <w:b w:val="0"/>
          <w:i w:val="0"/>
          <w:sz w:val="24"/>
        </w:rPr>
        <w:t>Courseroom paste only. Exactly four paragraphs. Third person. APA 7. Offering C (detailed how-to) infused with this study. No fashion-sample findings transferred.</w:t>
      </w:r>
    </w:p>
    <w:p>
      <w:pPr>
        <w:spacing w:after="160" w:before="240" w:line="480" w:lineRule="auto"/>
      </w:pPr>
      <w:r>
        <w:rPr>
          <w:rFonts w:ascii="Times New Roman" w:hAnsi="Times New Roman" w:eastAsia="Times New Roman"/>
          <w:b/>
          <w:i w:val="0"/>
          <w:color w:val="1F3A5F"/>
          <w:sz w:val="28"/>
        </w:rPr>
        <w:t>Proposed Data Analysis Plan</w:t>
      </w:r>
    </w:p>
    <w:p>
      <w:pPr>
        <w:spacing w:after="120" w:before="0" w:line="480" w:lineRule="auto"/>
      </w:pPr>
      <w:r>
        <w:rPr>
          <w:rFonts w:ascii="Times New Roman" w:hAnsi="Times New Roman" w:eastAsia="Times New Roman"/>
          <w:b w:val="0"/>
          <w:i w:val="0"/>
          <w:sz w:val="24"/>
        </w:rPr>
        <w:t>The researcher will analyze de-identified critical-incident interviews and optional artifact maps from the locked sample of 12 U.S. SME IT, network, systems, infrastructure, or operations managers using hybrid deductive–inductive codebook thematic analysis within a generic qualitative inquiry (Caelli et al., 2003; Fereday &amp; Muir-Cochrane, 2006; Kahlke, 2014; Percy et al., 2015). Before coding, the researcher will complete a scope register that records the purpose, implied project questions, framework role, eligibility rules, participant count, source count, and required deliverables, and will keep three work areas separate: preserved RAW recordings, CLEAN analytic files, and presentation outputs (Walker, 2026a). Each interview and each participant will receive a stable identifier that will not change when records are sorted. The researcher will produce a verbatim transcript, strip person, firm, vendor, and product names, complete a seven-day factual member check of sequence, roles, and artifact type, and read each CLEAN transcript and artifact map in full before formal coding, writing a familiarization and 24-hour reflexive memo that remains separate from participant data (Lincoln &amp; Guba, 1985; Poland, 2002). Delve will store CLEAN transcripts, the versioned codebook, memos, and snippet URLs. Delve will not perform the analysis (Delve, Ho, &amp; Limpaecher, n.d.).</w:t>
      </w:r>
    </w:p>
    <w:p>
      <w:pPr>
        <w:spacing w:after="120" w:before="0" w:line="480" w:lineRule="auto"/>
      </w:pPr>
      <w:r>
        <w:rPr>
          <w:rFonts w:ascii="Times New Roman" w:hAnsi="Times New Roman" w:eastAsia="Times New Roman"/>
          <w:b w:val="0"/>
          <w:i w:val="0"/>
          <w:sz w:val="24"/>
        </w:rPr>
        <w:t>Second, the researcher will import the nested start-list of STRUCTURAL, FRAMEWORK_DEDUCTIVE, and BOUNDARY codes and create one excerpt record for each bounded passage that requires analysis, attaching its source locator, speaker, incident context, and provisional code (Fereday &amp; Muir-Cochrane, 2006; Haan &amp; Venema, 2025). A passage may receive more than one code when it conveys distinct ideas. Power, legitimacy, and urgency will function as sensitizing probes, not predetermined theme titles (Mitchell et al., 1997). Decision rights, escalation, evidentiary standards, and recoverability assurance will be coded as enactment evidence, not as a fourth salience attribute. Each code definition will state its meaning, inclusion criteria, exclusion criteria, and a source-linked example; uncertain assignments will be flagged for review. EMERGENT child codes will remain empty until meaning units are locked (Aronson, 1994; Taylor &amp; Bogdan, 1998). Coding changes will be recorded with the date, reason, and affected records. Spreadsheet lookup and Delve retrieval may support these records; interpretive approval will remain with the researcher (Haan &amp; Venema, 2025).</w:t>
      </w:r>
    </w:p>
    <w:p>
      <w:pPr>
        <w:spacing w:after="120" w:before="0" w:line="480" w:lineRule="auto"/>
      </w:pPr>
      <w:r>
        <w:rPr>
          <w:rFonts w:ascii="Times New Roman" w:hAnsi="Times New Roman" w:eastAsia="Times New Roman"/>
          <w:b w:val="0"/>
          <w:i w:val="0"/>
          <w:sz w:val="24"/>
        </w:rPr>
        <w:t>Third, the researcher will lock meaning units that state a practice claim before any theme name is written, confirm each unit with a named excerpt and a negative or boundary case, and group related units only when they describe the same salience-to-assurance bargain rather than the same recovery topic (Aronson, 1994; Braun &amp; Clarke, 2021; Taylor &amp; Bogdan, 1998; Walker, 2026b). For every proposed theme, the researcher will record its central claim, contributing categories, representative excerpts, exceptions, and research-question relevance, then return to the original passages to inspect context. Candidate categories may be retained, revised, split, combined, or rejected, with earlier versions preserved. This is iterative interpretive work, not an automatic promotion of frequently used labels into themes, and it is not reflexive thematic analysis as the analytic method (Braun &amp; Clarke, 2021, 2024; Fereday &amp; Muir-Cochrane, 2006). The locked n = 12 will be reported as the planned participant count, not as proof of saturation; adequacy will be assessed through richness, relevant variation, question coverage, and whether later interviews still change the meaning-unit inventory (Malterud et al., 2016; Naeem et al., 2024; Wutich et al., 2024).</w:t>
      </w:r>
    </w:p>
    <w:p>
      <w:pPr>
        <w:spacing w:after="120" w:before="0" w:line="480" w:lineRule="auto"/>
      </w:pPr>
      <w:r>
        <w:rPr>
          <w:rFonts w:ascii="Times New Roman" w:hAnsi="Times New Roman" w:eastAsia="Times New Roman"/>
          <w:b w:val="0"/>
          <w:i w:val="0"/>
          <w:sz w:val="24"/>
        </w:rPr>
        <w:t>Fourth, the researcher will write two separate syntheses from the reviewed theme records: one for stakeholder-claim management and salience shifts, and one for decision rights, escalation, and recoverability assurance (Lester et al., 2020; Percy et al., 2015). Presentation will include a meaning-unit evidence table, a theme-to-question map, and a narrative that pairs each interpretive claim with source-verified excerpts and relevant boundary cases, including Path B verbal reconstructions and Path C “no reviewable artifact named” rows. Every published quotation, participant label, source locator, and thematic claim will receive a source check; table titles and theme names will be compared with the narrative. Participant counts, excerpt counts, and source counts will remain separate. The researcher will close the revision log, record unresolved gaps, and release a dated version of the report, codebook, and CSV nest (Carcary, 2020). Clerical software and retrieval aids will not replace researcher interpretation; every quotation and thematic claim will remain grounded in the CLEAN transcript and the dated audit trail (Nowell et al., 2017). Findings will distinguish managers’ reported interpretations from independently documented actions and will not claim statistical generalization.</w:t>
      </w:r>
    </w:p>
    <w:p>
      <w:pPr>
        <w:spacing w:after="160" w:before="240" w:line="480" w:lineRule="auto"/>
      </w:pPr>
      <w:r>
        <w:rPr>
          <w:rFonts w:ascii="Times New Roman" w:hAnsi="Times New Roman" w:eastAsia="Times New Roman"/>
          <w:b/>
          <w:i w:val="0"/>
          <w:color w:val="1F3A5F"/>
          <w:sz w:val="28"/>
        </w:rPr>
        <w:t>References</w:t>
      </w:r>
    </w:p>
    <w:p>
      <w:pPr>
        <w:spacing w:after="120" w:before="0" w:line="480" w:lineRule="auto"/>
      </w:pPr>
      <w:r>
        <w:rPr>
          <w:rFonts w:ascii="Times New Roman" w:hAnsi="Times New Roman" w:eastAsia="Times New Roman"/>
          <w:b w:val="0"/>
          <w:i w:val="0"/>
          <w:sz w:val="24"/>
        </w:rPr>
        <w:t xml:space="preserve">Aronson, J. (1994). A pragmatic view of thematic analysis. </w:t>
      </w:r>
      <w:r>
        <w:rPr>
          <w:rFonts w:ascii="Times New Roman" w:hAnsi="Times New Roman" w:eastAsia="Times New Roman"/>
          <w:i/>
          <w:sz w:val="24"/>
        </w:rPr>
        <w:t>The Qualitative Report, 2</w:t>
      </w:r>
      <w:r>
        <w:rPr>
          <w:rFonts w:ascii="Times New Roman" w:hAnsi="Times New Roman" w:eastAsia="Times New Roman"/>
          <w:b w:val="0"/>
          <w:i w:val="0"/>
          <w:sz w:val="24"/>
        </w:rPr>
        <w:t>(1), 1–3. https://doi.org/10.46743/2160-3715/1995.2069</w:t>
      </w:r>
    </w:p>
    <w:p>
      <w:pPr>
        <w:spacing w:after="120" w:before="0" w:line="480" w:lineRule="auto"/>
      </w:pPr>
      <w:r>
        <w:rPr>
          <w:rFonts w:ascii="Times New Roman" w:hAnsi="Times New Roman" w:eastAsia="Times New Roman"/>
          <w:b w:val="0"/>
          <w:i w:val="0"/>
          <w:sz w:val="24"/>
        </w:rPr>
        <w:t xml:space="preserve">Braun, V., &amp; Clarke, V. (2021). One size fits all? What counts as quality practice in (reflexive) thematic analysis? </w:t>
      </w:r>
      <w:r>
        <w:rPr>
          <w:rFonts w:ascii="Times New Roman" w:hAnsi="Times New Roman" w:eastAsia="Times New Roman"/>
          <w:i/>
          <w:sz w:val="24"/>
        </w:rPr>
        <w:t>Qualitative Research in Psychology, 18</w:t>
      </w:r>
      <w:r>
        <w:rPr>
          <w:rFonts w:ascii="Times New Roman" w:hAnsi="Times New Roman" w:eastAsia="Times New Roman"/>
          <w:b w:val="0"/>
          <w:i w:val="0"/>
          <w:sz w:val="24"/>
        </w:rPr>
        <w:t>(3), 328–352. https://doi.org/10.1080/14780887.2020.1769238</w:t>
      </w:r>
    </w:p>
    <w:p>
      <w:pPr>
        <w:spacing w:after="120" w:before="0" w:line="480" w:lineRule="auto"/>
      </w:pPr>
      <w:r>
        <w:rPr>
          <w:rFonts w:ascii="Times New Roman" w:hAnsi="Times New Roman" w:eastAsia="Times New Roman"/>
          <w:b w:val="0"/>
          <w:i w:val="0"/>
          <w:sz w:val="24"/>
        </w:rPr>
        <w:t xml:space="preserve">Braun, V., &amp; Clarke, V. (2024). Supporting best practice in reflexive thematic analysis reporting in </w:t>
      </w:r>
      <w:r>
        <w:rPr>
          <w:rFonts w:ascii="Times New Roman" w:hAnsi="Times New Roman" w:eastAsia="Times New Roman"/>
          <w:i/>
          <w:sz w:val="24"/>
        </w:rPr>
        <w:t>Palliative Medicine</w:t>
      </w:r>
      <w:r>
        <w:rPr>
          <w:rFonts w:ascii="Times New Roman" w:hAnsi="Times New Roman" w:eastAsia="Times New Roman"/>
          <w:b w:val="0"/>
          <w:i w:val="0"/>
          <w:sz w:val="24"/>
        </w:rPr>
        <w:t xml:space="preserve">: A review of published research and introduction to the Reflexive Thematic Analysis Reporting Guidelines (RTARG). </w:t>
      </w:r>
      <w:r>
        <w:rPr>
          <w:rFonts w:ascii="Times New Roman" w:hAnsi="Times New Roman" w:eastAsia="Times New Roman"/>
          <w:i/>
          <w:sz w:val="24"/>
        </w:rPr>
        <w:t>Palliative Medicine, 38</w:t>
      </w:r>
      <w:r>
        <w:rPr>
          <w:rFonts w:ascii="Times New Roman" w:hAnsi="Times New Roman" w:eastAsia="Times New Roman"/>
          <w:b w:val="0"/>
          <w:i w:val="0"/>
          <w:sz w:val="24"/>
        </w:rPr>
        <w:t>(6), 608–616. https://doi.org/10.1177/02692163241234800</w:t>
      </w:r>
    </w:p>
    <w:p>
      <w:pPr>
        <w:spacing w:after="120" w:before="0" w:line="480" w:lineRule="auto"/>
      </w:pPr>
      <w:r>
        <w:rPr>
          <w:rFonts w:ascii="Times New Roman" w:hAnsi="Times New Roman" w:eastAsia="Times New Roman"/>
          <w:b w:val="0"/>
          <w:i w:val="0"/>
          <w:sz w:val="24"/>
        </w:rPr>
        <w:t xml:space="preserve">Caelli, K., Ray, L., &amp; Mill, J. (2003). ‘Clear as mud’: Toward greater clarity in generic qualitative research. </w:t>
      </w:r>
      <w:r>
        <w:rPr>
          <w:rFonts w:ascii="Times New Roman" w:hAnsi="Times New Roman" w:eastAsia="Times New Roman"/>
          <w:i/>
          <w:sz w:val="24"/>
        </w:rPr>
        <w:t>International Journal of Qualitative Methods, 2</w:t>
      </w:r>
      <w:r>
        <w:rPr>
          <w:rFonts w:ascii="Times New Roman" w:hAnsi="Times New Roman" w:eastAsia="Times New Roman"/>
          <w:b w:val="0"/>
          <w:i w:val="0"/>
          <w:sz w:val="24"/>
        </w:rPr>
        <w:t>(2), 1–13. https://doi.org/10.1177/160940690300200201</w:t>
      </w:r>
    </w:p>
    <w:p>
      <w:pPr>
        <w:spacing w:after="120" w:before="0" w:line="480" w:lineRule="auto"/>
      </w:pPr>
      <w:r>
        <w:rPr>
          <w:rFonts w:ascii="Times New Roman" w:hAnsi="Times New Roman" w:eastAsia="Times New Roman"/>
          <w:b w:val="0"/>
          <w:i w:val="0"/>
          <w:sz w:val="24"/>
        </w:rPr>
        <w:t xml:space="preserve">Carcary, M. (2020). The research audit trail: Methodological guidance for application in practice. </w:t>
      </w:r>
      <w:r>
        <w:rPr>
          <w:rFonts w:ascii="Times New Roman" w:hAnsi="Times New Roman" w:eastAsia="Times New Roman"/>
          <w:i/>
          <w:sz w:val="24"/>
        </w:rPr>
        <w:t>Electronic Journal of Business Research Methods, 18</w:t>
      </w:r>
      <w:r>
        <w:rPr>
          <w:rFonts w:ascii="Times New Roman" w:hAnsi="Times New Roman" w:eastAsia="Times New Roman"/>
          <w:b w:val="0"/>
          <w:i w:val="0"/>
          <w:sz w:val="24"/>
        </w:rPr>
        <w:t>(2), 166–177. https://doi.org/10.34190/jbrm.18.2.008</w:t>
      </w:r>
    </w:p>
    <w:p>
      <w:pPr>
        <w:spacing w:after="120" w:before="0" w:line="480" w:lineRule="auto"/>
      </w:pPr>
      <w:r>
        <w:rPr>
          <w:rFonts w:ascii="Times New Roman" w:hAnsi="Times New Roman" w:eastAsia="Times New Roman"/>
          <w:b w:val="0"/>
          <w:i w:val="0"/>
          <w:sz w:val="24"/>
        </w:rPr>
        <w:t xml:space="preserve">Delve, Ho, L., &amp; Limpaecher, A. (n.d.). </w:t>
      </w:r>
      <w:r>
        <w:rPr>
          <w:rFonts w:ascii="Times New Roman" w:hAnsi="Times New Roman" w:eastAsia="Times New Roman"/>
          <w:i/>
          <w:sz w:val="24"/>
        </w:rPr>
        <w:t>Qualitative data analysis software</w:t>
      </w:r>
      <w:r>
        <w:rPr>
          <w:rFonts w:ascii="Times New Roman" w:hAnsi="Times New Roman" w:eastAsia="Times New Roman"/>
          <w:b w:val="0"/>
          <w:i w:val="0"/>
          <w:sz w:val="24"/>
        </w:rPr>
        <w:t>. Delve. https://delvetool.com/</w:t>
      </w:r>
    </w:p>
    <w:p>
      <w:pPr>
        <w:spacing w:after="120" w:before="0" w:line="480" w:lineRule="auto"/>
      </w:pPr>
      <w:r>
        <w:rPr>
          <w:rFonts w:ascii="Times New Roman" w:hAnsi="Times New Roman" w:eastAsia="Times New Roman"/>
          <w:b w:val="0"/>
          <w:i w:val="0"/>
          <w:sz w:val="24"/>
        </w:rPr>
        <w:t xml:space="preserve">Fereday, J., &amp; Muir-Cochrane, E. (2006). Demonstrating rigor using thematic analysis: A hybrid approach of inductive and deductive coding and theme development. </w:t>
      </w:r>
      <w:r>
        <w:rPr>
          <w:rFonts w:ascii="Times New Roman" w:hAnsi="Times New Roman" w:eastAsia="Times New Roman"/>
          <w:i/>
          <w:sz w:val="24"/>
        </w:rPr>
        <w:t>International Journal of Qualitative Methods, 5</w:t>
      </w:r>
      <w:r>
        <w:rPr>
          <w:rFonts w:ascii="Times New Roman" w:hAnsi="Times New Roman" w:eastAsia="Times New Roman"/>
          <w:b w:val="0"/>
          <w:i w:val="0"/>
          <w:sz w:val="24"/>
        </w:rPr>
        <w:t>(1), 80–92. https://doi.org/10.1177/160940690600500107</w:t>
      </w:r>
    </w:p>
    <w:p>
      <w:pPr>
        <w:spacing w:after="120" w:before="0" w:line="480" w:lineRule="auto"/>
      </w:pPr>
      <w:r>
        <w:rPr>
          <w:rFonts w:ascii="Times New Roman" w:hAnsi="Times New Roman" w:eastAsia="Times New Roman"/>
          <w:b w:val="0"/>
          <w:i w:val="0"/>
          <w:sz w:val="24"/>
        </w:rPr>
        <w:t xml:space="preserve">Haan, M., &amp; Venema, S. D. (2025). Using a blended approach to thematic analysis: A case study on fatherhood and imprisonment. </w:t>
      </w:r>
      <w:r>
        <w:rPr>
          <w:rFonts w:ascii="Times New Roman" w:hAnsi="Times New Roman" w:eastAsia="Times New Roman"/>
          <w:i/>
          <w:sz w:val="24"/>
        </w:rPr>
        <w:t>Public Opinion Quarterly, 89</w:t>
      </w:r>
      <w:r>
        <w:rPr>
          <w:rFonts w:ascii="Times New Roman" w:hAnsi="Times New Roman" w:eastAsia="Times New Roman"/>
          <w:b w:val="0"/>
          <w:i w:val="0"/>
          <w:sz w:val="24"/>
        </w:rPr>
        <w:t>(SI), 716–733. https://doi.org/10.1093/poq/nfaf033</w:t>
      </w:r>
    </w:p>
    <w:p>
      <w:pPr>
        <w:spacing w:after="120" w:before="0" w:line="480" w:lineRule="auto"/>
      </w:pPr>
      <w:r>
        <w:rPr>
          <w:rFonts w:ascii="Times New Roman" w:hAnsi="Times New Roman" w:eastAsia="Times New Roman"/>
          <w:b w:val="0"/>
          <w:i w:val="0"/>
          <w:sz w:val="24"/>
        </w:rPr>
        <w:t xml:space="preserve">Kahlke, R. M. (2014). Generic qualitative approaches: Pitfalls and benefits of methodological mixology. </w:t>
      </w:r>
      <w:r>
        <w:rPr>
          <w:rFonts w:ascii="Times New Roman" w:hAnsi="Times New Roman" w:eastAsia="Times New Roman"/>
          <w:i/>
          <w:sz w:val="24"/>
        </w:rPr>
        <w:t>International Journal of Qualitative Methods, 13</w:t>
      </w:r>
      <w:r>
        <w:rPr>
          <w:rFonts w:ascii="Times New Roman" w:hAnsi="Times New Roman" w:eastAsia="Times New Roman"/>
          <w:b w:val="0"/>
          <w:i w:val="0"/>
          <w:sz w:val="24"/>
        </w:rPr>
        <w:t>(1), 37–52. https://doi.org/10.1177/160940691401300119</w:t>
      </w:r>
    </w:p>
    <w:p>
      <w:pPr>
        <w:spacing w:after="120" w:before="0" w:line="480" w:lineRule="auto"/>
      </w:pPr>
      <w:r>
        <w:rPr>
          <w:rFonts w:ascii="Times New Roman" w:hAnsi="Times New Roman" w:eastAsia="Times New Roman"/>
          <w:b w:val="0"/>
          <w:i w:val="0"/>
          <w:sz w:val="24"/>
        </w:rPr>
        <w:t xml:space="preserve">Lester, J. N., Cho, Y., &amp; Lochmiller, C. R. (2020). Learning to do qualitative data analysis: A starting point. </w:t>
      </w:r>
      <w:r>
        <w:rPr>
          <w:rFonts w:ascii="Times New Roman" w:hAnsi="Times New Roman" w:eastAsia="Times New Roman"/>
          <w:i/>
          <w:sz w:val="24"/>
        </w:rPr>
        <w:t>Human Resource Development Review, 19</w:t>
      </w:r>
      <w:r>
        <w:rPr>
          <w:rFonts w:ascii="Times New Roman" w:hAnsi="Times New Roman" w:eastAsia="Times New Roman"/>
          <w:b w:val="0"/>
          <w:i w:val="0"/>
          <w:sz w:val="24"/>
        </w:rPr>
        <w:t>(1), 94–106. https://doi.org/10.1177/1534484320903890</w:t>
      </w:r>
    </w:p>
    <w:p>
      <w:pPr>
        <w:spacing w:after="120" w:before="0" w:line="480" w:lineRule="auto"/>
      </w:pPr>
      <w:r>
        <w:rPr>
          <w:rFonts w:ascii="Times New Roman" w:hAnsi="Times New Roman" w:eastAsia="Times New Roman"/>
          <w:b w:val="0"/>
          <w:i w:val="0"/>
          <w:sz w:val="24"/>
        </w:rPr>
        <w:t xml:space="preserve">Lincoln, Y. S., &amp; Guba, E. G. (1985). </w:t>
      </w:r>
      <w:r>
        <w:rPr>
          <w:rFonts w:ascii="Times New Roman" w:hAnsi="Times New Roman" w:eastAsia="Times New Roman"/>
          <w:i/>
          <w:sz w:val="24"/>
        </w:rPr>
        <w:t>Naturalistic inquiry</w:t>
      </w:r>
      <w:r>
        <w:rPr>
          <w:rFonts w:ascii="Times New Roman" w:hAnsi="Times New Roman" w:eastAsia="Times New Roman"/>
          <w:b w:val="0"/>
          <w:i w:val="0"/>
          <w:sz w:val="24"/>
        </w:rPr>
        <w:t>. SAGE.</w:t>
      </w:r>
    </w:p>
    <w:p>
      <w:pPr>
        <w:spacing w:after="120" w:before="0" w:line="480" w:lineRule="auto"/>
      </w:pPr>
      <w:r>
        <w:rPr>
          <w:rFonts w:ascii="Times New Roman" w:hAnsi="Times New Roman" w:eastAsia="Times New Roman"/>
          <w:b w:val="0"/>
          <w:i w:val="0"/>
          <w:sz w:val="24"/>
        </w:rPr>
        <w:t xml:space="preserve">Malterud, K., Siersma, V. D., &amp; Guassora, A. D. (2016). Sample size in qualitative interview studies: Guided by information power. </w:t>
      </w:r>
      <w:r>
        <w:rPr>
          <w:rFonts w:ascii="Times New Roman" w:hAnsi="Times New Roman" w:eastAsia="Times New Roman"/>
          <w:i/>
          <w:sz w:val="24"/>
        </w:rPr>
        <w:t>Qualitative Health Research, 26</w:t>
      </w:r>
      <w:r>
        <w:rPr>
          <w:rFonts w:ascii="Times New Roman" w:hAnsi="Times New Roman" w:eastAsia="Times New Roman"/>
          <w:b w:val="0"/>
          <w:i w:val="0"/>
          <w:sz w:val="24"/>
        </w:rPr>
        <w:t>(13), 1753–1760. https://doi.org/10.1177/1049732315617444</w:t>
      </w:r>
    </w:p>
    <w:p>
      <w:pPr>
        <w:spacing w:after="120" w:before="0" w:line="480" w:lineRule="auto"/>
      </w:pPr>
      <w:r>
        <w:rPr>
          <w:rFonts w:ascii="Times New Roman" w:hAnsi="Times New Roman" w:eastAsia="Times New Roman"/>
          <w:b w:val="0"/>
          <w:i w:val="0"/>
          <w:sz w:val="24"/>
        </w:rPr>
        <w:t xml:space="preserve">Mitchell, R. K., Agle, B. R., &amp; Wood, D. J. (1997). Toward a theory of stakeholder identification and salience: Defining the principle of who and what really counts. </w:t>
      </w:r>
      <w:r>
        <w:rPr>
          <w:rFonts w:ascii="Times New Roman" w:hAnsi="Times New Roman" w:eastAsia="Times New Roman"/>
          <w:i/>
          <w:sz w:val="24"/>
        </w:rPr>
        <w:t>Academy of Management Review, 22</w:t>
      </w:r>
      <w:r>
        <w:rPr>
          <w:rFonts w:ascii="Times New Roman" w:hAnsi="Times New Roman" w:eastAsia="Times New Roman"/>
          <w:b w:val="0"/>
          <w:i w:val="0"/>
          <w:sz w:val="24"/>
        </w:rPr>
        <w:t>(4), 853–886. https://doi.org/10.5465/amr.1997.9711022105</w:t>
      </w:r>
    </w:p>
    <w:p>
      <w:pPr>
        <w:spacing w:after="120" w:before="0" w:line="480" w:lineRule="auto"/>
      </w:pPr>
      <w:r>
        <w:rPr>
          <w:rFonts w:ascii="Times New Roman" w:hAnsi="Times New Roman" w:eastAsia="Times New Roman"/>
          <w:b w:val="0"/>
          <w:i w:val="0"/>
          <w:sz w:val="24"/>
        </w:rPr>
        <w:t xml:space="preserve">Naeem, M., Ozuem, W., Howell, K., &amp; Ranfagni, S. (2024). Demystification and actualisation of data saturation in qualitative research through thematic analysis. </w:t>
      </w:r>
      <w:r>
        <w:rPr>
          <w:rFonts w:ascii="Times New Roman" w:hAnsi="Times New Roman" w:eastAsia="Times New Roman"/>
          <w:i/>
          <w:sz w:val="24"/>
        </w:rPr>
        <w:t>International Journal of Qualitative Methods, 23</w:t>
      </w:r>
      <w:r>
        <w:rPr>
          <w:rFonts w:ascii="Times New Roman" w:hAnsi="Times New Roman" w:eastAsia="Times New Roman"/>
          <w:b w:val="0"/>
          <w:i w:val="0"/>
          <w:sz w:val="24"/>
        </w:rPr>
        <w:t>, 1–17. https://doi.org/10.1177/16094069241229777</w:t>
      </w:r>
    </w:p>
    <w:p>
      <w:pPr>
        <w:spacing w:after="120" w:before="0" w:line="480" w:lineRule="auto"/>
      </w:pPr>
      <w:r>
        <w:rPr>
          <w:rFonts w:ascii="Times New Roman" w:hAnsi="Times New Roman" w:eastAsia="Times New Roman"/>
          <w:b w:val="0"/>
          <w:i w:val="0"/>
          <w:sz w:val="24"/>
        </w:rPr>
        <w:t xml:space="preserve">Nowell, L. S., Norris, J. M., White, D. E., &amp; Moules, N. J. (2017). Thematic analysis: Striving to meet the trustworthiness criteria. </w:t>
      </w:r>
      <w:r>
        <w:rPr>
          <w:rFonts w:ascii="Times New Roman" w:hAnsi="Times New Roman" w:eastAsia="Times New Roman"/>
          <w:i/>
          <w:sz w:val="24"/>
        </w:rPr>
        <w:t>International Journal of Qualitative Methods, 16</w:t>
      </w:r>
      <w:r>
        <w:rPr>
          <w:rFonts w:ascii="Times New Roman" w:hAnsi="Times New Roman" w:eastAsia="Times New Roman"/>
          <w:b w:val="0"/>
          <w:i w:val="0"/>
          <w:sz w:val="24"/>
        </w:rPr>
        <w:t>(1), 1–13. https://doi.org/10.1177/1609406917733847</w:t>
      </w:r>
    </w:p>
    <w:p>
      <w:pPr>
        <w:spacing w:after="120" w:before="0" w:line="480" w:lineRule="auto"/>
      </w:pPr>
      <w:r>
        <w:rPr>
          <w:rFonts w:ascii="Times New Roman" w:hAnsi="Times New Roman" w:eastAsia="Times New Roman"/>
          <w:b w:val="0"/>
          <w:i w:val="0"/>
          <w:sz w:val="24"/>
        </w:rPr>
        <w:t xml:space="preserve">Percy, W. H., Kostere, K., &amp; Kostere, S. (2015). Generic qualitative research in psychology. </w:t>
      </w:r>
      <w:r>
        <w:rPr>
          <w:rFonts w:ascii="Times New Roman" w:hAnsi="Times New Roman" w:eastAsia="Times New Roman"/>
          <w:i/>
          <w:sz w:val="24"/>
        </w:rPr>
        <w:t>The Qualitative Report, 20</w:t>
      </w:r>
      <w:r>
        <w:rPr>
          <w:rFonts w:ascii="Times New Roman" w:hAnsi="Times New Roman" w:eastAsia="Times New Roman"/>
          <w:b w:val="0"/>
          <w:i w:val="0"/>
          <w:sz w:val="24"/>
        </w:rPr>
        <w:t>(2), 76–85. https://doi.org/10.46743/2160-3715/2015.2097</w:t>
      </w:r>
    </w:p>
    <w:p>
      <w:pPr>
        <w:spacing w:after="120" w:before="0" w:line="480" w:lineRule="auto"/>
      </w:pPr>
      <w:r>
        <w:rPr>
          <w:rFonts w:ascii="Times New Roman" w:hAnsi="Times New Roman" w:eastAsia="Times New Roman"/>
          <w:b w:val="0"/>
          <w:i w:val="0"/>
          <w:sz w:val="24"/>
        </w:rPr>
        <w:t xml:space="preserve">Poland, B. D. (2002). Transcription quality. In J. F. Gubrium &amp; J. A. Holstein (Eds.), </w:t>
      </w:r>
      <w:r>
        <w:rPr>
          <w:rFonts w:ascii="Times New Roman" w:hAnsi="Times New Roman" w:eastAsia="Times New Roman"/>
          <w:i/>
          <w:sz w:val="24"/>
        </w:rPr>
        <w:t>Handbook of interview research</w:t>
      </w:r>
      <w:r>
        <w:rPr>
          <w:rFonts w:ascii="Times New Roman" w:hAnsi="Times New Roman" w:eastAsia="Times New Roman"/>
          <w:b w:val="0"/>
          <w:i w:val="0"/>
          <w:sz w:val="24"/>
        </w:rPr>
        <w:t xml:space="preserve"> (pp. 629–649). SAGE.</w:t>
      </w:r>
    </w:p>
    <w:p>
      <w:pPr>
        <w:spacing w:after="120" w:before="0" w:line="480" w:lineRule="auto"/>
      </w:pPr>
      <w:r>
        <w:rPr>
          <w:rFonts w:ascii="Times New Roman" w:hAnsi="Times New Roman" w:eastAsia="Times New Roman"/>
          <w:b w:val="0"/>
          <w:i w:val="0"/>
          <w:sz w:val="24"/>
        </w:rPr>
        <w:t xml:space="preserve">Taylor, S. J., &amp; Bogdan, R. (1998). </w:t>
      </w:r>
      <w:r>
        <w:rPr>
          <w:rFonts w:ascii="Times New Roman" w:hAnsi="Times New Roman" w:eastAsia="Times New Roman"/>
          <w:i/>
          <w:sz w:val="24"/>
        </w:rPr>
        <w:t>Introduction to qualitative research methods</w:t>
      </w:r>
      <w:r>
        <w:rPr>
          <w:rFonts w:ascii="Times New Roman" w:hAnsi="Times New Roman" w:eastAsia="Times New Roman"/>
          <w:b w:val="0"/>
          <w:i w:val="0"/>
          <w:sz w:val="24"/>
        </w:rPr>
        <w:t xml:space="preserve"> (3rd ed.). Wiley.</w:t>
      </w:r>
    </w:p>
    <w:p>
      <w:pPr>
        <w:spacing w:after="120" w:before="0" w:line="480" w:lineRule="auto"/>
      </w:pPr>
      <w:r>
        <w:rPr>
          <w:rFonts w:ascii="Times New Roman" w:hAnsi="Times New Roman" w:eastAsia="Times New Roman"/>
          <w:b w:val="0"/>
          <w:i w:val="0"/>
          <w:sz w:val="24"/>
        </w:rPr>
        <w:t xml:space="preserve">Walker, M. (2026a). </w:t>
      </w:r>
      <w:r>
        <w:rPr>
          <w:rFonts w:ascii="Times New Roman" w:hAnsi="Times New Roman" w:eastAsia="Times New Roman"/>
          <w:i/>
          <w:sz w:val="24"/>
        </w:rPr>
        <w:t>GQI semi-structured interview guide: Where leverage sits</w:t>
      </w:r>
      <w:r>
        <w:rPr>
          <w:rFonts w:ascii="Times New Roman" w:hAnsi="Times New Roman" w:eastAsia="Times New Roman"/>
          <w:b w:val="0"/>
          <w:i w:val="0"/>
          <w:sz w:val="24"/>
        </w:rPr>
        <w:t xml:space="preserve"> (Instrument ID ITDR-GQI-INT-v0.1.1) [Unpublished research instrument]. Capella University, RSCH-V8927.</w:t>
      </w:r>
    </w:p>
    <w:p>
      <w:pPr>
        <w:spacing w:after="120" w:before="0" w:line="480" w:lineRule="auto"/>
      </w:pPr>
      <w:r>
        <w:rPr>
          <w:rFonts w:ascii="Times New Roman" w:hAnsi="Times New Roman" w:eastAsia="Times New Roman"/>
          <w:b w:val="0"/>
          <w:i w:val="0"/>
          <w:sz w:val="24"/>
        </w:rPr>
        <w:t xml:space="preserve">Walker, M. D. (2026b, August 16). </w:t>
      </w:r>
      <w:r>
        <w:rPr>
          <w:rFonts w:ascii="Times New Roman" w:hAnsi="Times New Roman" w:eastAsia="Times New Roman"/>
          <w:i/>
          <w:sz w:val="24"/>
        </w:rPr>
        <w:t>Week 5 assignment: Data analysis practice 2</w:t>
      </w:r>
      <w:r>
        <w:rPr>
          <w:rFonts w:ascii="Times New Roman" w:hAnsi="Times New Roman" w:eastAsia="Times New Roman"/>
          <w:b w:val="0"/>
          <w:i w:val="0"/>
          <w:sz w:val="24"/>
        </w:rPr>
        <w:t xml:space="preserve"> [Unpublished course paper]. BMGT-8044, Capella University.</w:t>
      </w:r>
    </w:p>
    <w:p>
      <w:pPr>
        <w:spacing w:after="120" w:before="0" w:line="480" w:lineRule="auto"/>
      </w:pPr>
      <w:r>
        <w:rPr>
          <w:rFonts w:ascii="Times New Roman" w:hAnsi="Times New Roman" w:eastAsia="Times New Roman"/>
          <w:b w:val="0"/>
          <w:i w:val="0"/>
          <w:sz w:val="24"/>
        </w:rPr>
        <w:t xml:space="preserve">Wutich, A., Beresford, M., &amp; Bernard, H. R. (2024). Sample sizes for 10 types of qualitative data analysis: An integrative review, empirical guidance, and next steps. </w:t>
      </w:r>
      <w:r>
        <w:rPr>
          <w:rFonts w:ascii="Times New Roman" w:hAnsi="Times New Roman" w:eastAsia="Times New Roman"/>
          <w:i/>
          <w:sz w:val="24"/>
        </w:rPr>
        <w:t>International Journal of Qualitative Methods, 23</w:t>
      </w:r>
      <w:r>
        <w:rPr>
          <w:rFonts w:ascii="Times New Roman" w:hAnsi="Times New Roman" w:eastAsia="Times New Roman"/>
          <w:b w:val="0"/>
          <w:i w:val="0"/>
          <w:sz w:val="24"/>
        </w:rPr>
        <w:t>, Article 16094069241296206. https://doi.org/10.1177/16094069241296206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Download copy for Project Plan use  ·  Page </w:t>
    </w:r>
    <w:r/>
    <w:r>
      <w:rPr>
        <w:rFonts w:ascii="Times New Roman" w:hAnsi="Times New Roman" w:eastAsia="Times New Roman"/>
        <w:sz w:val="20"/>
      </w:rPr>
      <w:fldChar w:fldCharType="begin"/>
    </w:r>
    <w:r>
      <w:rPr>
        <w:rFonts w:ascii="Times New Roman" w:hAnsi="Times New Roman" w:eastAsia="Times New Roman"/>
        <w:sz w:val="20"/>
      </w:rPr>
      <w:instrText xml:space="preserve"> PAGE </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