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eastAsia="Times New Roman"/>
          <w:b/>
          <w:i w:val="0"/>
          <w:sz w:val="24"/>
        </w:rPr>
        <w:t>Max D. Walker</w:t>
      </w:r>
    </w:p>
    <w:p>
      <w:pPr>
        <w:spacing w:after="0" w:before="0" w:line="480" w:lineRule="auto"/>
        <w:jc w:val="center"/>
      </w:pPr>
      <w:r>
        <w:rPr>
          <w:rFonts w:ascii="Times New Roman" w:hAnsi="Times New Roman" w:eastAsia="Times New Roman"/>
          <w:b w:val="0"/>
          <w:i w:val="0"/>
          <w:sz w:val="24"/>
        </w:rPr>
        <w:t>Capella University</w:t>
      </w:r>
    </w:p>
    <w:p>
      <w:pPr>
        <w:spacing w:after="0" w:before="0" w:line="480" w:lineRule="auto"/>
        <w:jc w:val="center"/>
      </w:pPr>
      <w:r>
        <w:rPr>
          <w:rFonts w:ascii="Times New Roman" w:hAnsi="Times New Roman" w:eastAsia="Times New Roman"/>
          <w:b w:val="0"/>
          <w:i w:val="0"/>
          <w:sz w:val="24"/>
        </w:rPr>
        <w:t>RSCH-V8927 Doctoral Project Development — Framework Development</w:t>
      </w:r>
    </w:p>
    <w:p>
      <w:pPr>
        <w:spacing w:after="240" w:before="0" w:line="480" w:lineRule="auto"/>
        <w:jc w:val="center"/>
      </w:pPr>
      <w:r>
        <w:rPr>
          <w:rFonts w:ascii="Times New Roman" w:hAnsi="Times New Roman" w:eastAsia="Times New Roman"/>
          <w:b w:val="0"/>
          <w:i/>
          <w:sz w:val="24"/>
        </w:rPr>
        <w:t>Paste-ready protocol, artifact pipeline, analysis bridge, citations, language, and ethics</w:t>
      </w:r>
    </w:p>
    <w:p>
      <w:pPr>
        <w:spacing w:after="360" w:before="0" w:line="480" w:lineRule="auto"/>
        <w:jc w:val="center"/>
      </w:pPr>
      <w:r>
        <w:rPr>
          <w:rFonts w:ascii="Times New Roman" w:hAnsi="Times New Roman" w:eastAsia="Times New Roman"/>
          <w:b/>
          <w:i w:val="0"/>
          <w:color w:val="1F3A5F"/>
          <w:sz w:val="32"/>
        </w:rPr>
        <w:t>Collection-Plus-Analysis Revision Packet</w:t>
      </w:r>
    </w:p>
    <w:p>
      <w:pPr>
        <w:spacing w:after="240" w:before="0" w:line="480" w:lineRule="auto"/>
      </w:pPr>
      <w:r>
        <w:rPr>
          <w:rFonts w:ascii="Times New Roman" w:hAnsi="Times New Roman" w:eastAsia="Times New Roman"/>
          <w:b w:val="0"/>
          <w:i/>
          <w:sz w:val="24"/>
        </w:rPr>
        <w:t>Items marked NEW or HIGHLIGHT are new written efforts that were not present as steps in the prior data-collection draft. Paste Section 9 of the revision packet into the Project Plan. Use the interview protocol and artifact pipeline as appendices.</w:t>
      </w:r>
    </w:p>
    <w:p>
      <w:pPr>
        <w:spacing w:after="120" w:before="0" w:line="480" w:lineRule="auto"/>
      </w:pPr>
      <w:r>
        <w:rPr>
          <w:rFonts w:ascii="Times New Roman" w:hAnsi="Times New Roman" w:eastAsia="Times New Roman"/>
          <w:b w:val="0"/>
          <w:i w:val="0"/>
          <w:sz w:val="24"/>
        </w:rPr>
        <w:t xml:space="preserve">Paste-ready replacements for the Project Plan nodes that are still Partial or Weak on the Alignment Map. Each block labeled </w:t>
      </w:r>
      <w:r>
        <w:rPr>
          <w:rFonts w:ascii="Times New Roman" w:hAnsi="Times New Roman" w:eastAsia="Times New Roman"/>
          <w:b/>
          <w:i w:val="0"/>
          <w:sz w:val="24"/>
        </w:rPr>
        <w:t>NEW</w:t>
      </w:r>
      <w:r>
        <w:rPr>
          <w:rFonts w:ascii="Times New Roman" w:hAnsi="Times New Roman" w:eastAsia="Times New Roman"/>
          <w:b w:val="0"/>
          <w:i w:val="0"/>
          <w:sz w:val="24"/>
        </w:rPr>
        <w:t xml:space="preserve"> did not exist as a written step in the prior data-collection draft. Keep the study the same: GQI, critical-incident interviews, SME IT/network managers, stakeholder-salience as the guide when no finer step exists.</w:t>
      </w:r>
    </w:p>
    <w:p>
      <w:pPr>
        <w:spacing w:after="120" w:before="0" w:line="480" w:lineRule="auto"/>
      </w:pPr>
      <w:r>
        <w:rPr>
          <w:rFonts w:ascii="Times New Roman" w:hAnsi="Times New Roman" w:eastAsia="Times New Roman"/>
          <w:b/>
          <w:i w:val="0"/>
          <w:sz w:val="24"/>
        </w:rPr>
        <w:t>Use with:</w:t>
      </w:r>
      <w:r>
        <w:rPr>
          <w:rFonts w:ascii="Times New Roman" w:hAnsi="Times New Roman" w:eastAsia="Times New Roman"/>
          <w:b w:val="0"/>
          <w:i w:val="0"/>
          <w:sz w:val="24"/>
        </w:rPr>
        <w:t xml:space="preserve"> [alignment-assessment-data-collection.md](alignment-assessment-data-collection.md)</w:t>
      </w:r>
    </w:p>
    <w:p>
      <w:pPr>
        <w:spacing w:after="160" w:before="240" w:line="480" w:lineRule="auto"/>
      </w:pPr>
      <w:r>
        <w:rPr>
          <w:rFonts w:ascii="Times New Roman" w:hAnsi="Times New Roman" w:eastAsia="Times New Roman"/>
          <w:b/>
          <w:i w:val="0"/>
          <w:color w:val="9A3412"/>
          <w:sz w:val="28"/>
        </w:rPr>
        <w:t>Highlighted New Efforts</w:t>
      </w:r>
    </w:p>
    <w:p>
      <w:pPr>
        <w:spacing w:after="120" w:before="0" w:line="480" w:lineRule="auto"/>
      </w:pPr>
      <w:r>
        <w:rPr>
          <w:rFonts w:ascii="Times New Roman" w:hAnsi="Times New Roman" w:eastAsia="Times New Roman"/>
          <w:b w:val="0"/>
          <w:i w:val="0"/>
          <w:sz w:val="24"/>
        </w:rPr>
        <w:t>These are the new work products that close the Gap. Do not treat them as optional polish.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line="240" w:lineRule="auto"/>
            </w:pPr>
            <w:r/>
            <w:r>
              <w:rPr>
                <w:rFonts w:ascii="Times New Roman" w:hAnsi="Times New Roman" w:eastAsia="Times New Roman"/>
                <w:b/>
                <w:i w:val="0"/>
                <w:sz w:val="20"/>
              </w:rPr>
              <w:t>#</w:t>
            </w:r>
          </w:p>
        </w:tc>
        <w:tc>
          <w:tcPr>
            <w:tcW w:type="dxa" w:w="2340"/>
          </w:tcPr>
          <w:p>
            <w:pPr>
              <w:spacing w:after="40" w:before="40" w:line="240" w:lineRule="auto"/>
            </w:pPr>
            <w:r/>
            <w:r>
              <w:rPr>
                <w:rFonts w:ascii="Times New Roman" w:hAnsi="Times New Roman" w:eastAsia="Times New Roman"/>
                <w:b/>
                <w:i w:val="0"/>
                <w:sz w:val="20"/>
              </w:rPr>
              <w:t>NEW</w:t>
            </w:r>
            <w:r>
              <w:rPr>
                <w:rFonts w:ascii="Times New Roman" w:hAnsi="Times New Roman" w:eastAsia="Times New Roman"/>
                <w:b/>
                <w:i w:val="0"/>
                <w:sz w:val="20"/>
              </w:rPr>
              <w:t xml:space="preserve"> effort</w:t>
            </w:r>
          </w:p>
        </w:tc>
        <w:tc>
          <w:tcPr>
            <w:tcW w:type="dxa" w:w="2340"/>
          </w:tcPr>
          <w:p>
            <w:pPr>
              <w:spacing w:after="40" w:before="40" w:line="240" w:lineRule="auto"/>
            </w:pPr>
            <w:r/>
            <w:r>
              <w:rPr>
                <w:rFonts w:ascii="Times New Roman" w:hAnsi="Times New Roman" w:eastAsia="Times New Roman"/>
                <w:b/>
                <w:i w:val="0"/>
                <w:sz w:val="20"/>
              </w:rPr>
              <w:t>Alignment Map marker it fills</w:t>
            </w:r>
          </w:p>
        </w:tc>
        <w:tc>
          <w:tcPr>
            <w:tcW w:type="dxa" w:w="2340"/>
          </w:tcPr>
          <w:p>
            <w:pPr>
              <w:spacing w:after="40" w:before="40" w:line="240" w:lineRule="auto"/>
            </w:pPr>
            <w:r/>
            <w:r>
              <w:rPr>
                <w:rFonts w:ascii="Times New Roman" w:hAnsi="Times New Roman" w:eastAsia="Times New Roman"/>
                <w:b/>
                <w:i w:val="0"/>
                <w:sz w:val="20"/>
              </w:rPr>
              <w:t>Gap data it makes collectable</w:t>
            </w:r>
          </w:p>
        </w:tc>
      </w:tr>
      <w:tr>
        <w:tc>
          <w:tcPr>
            <w:tcW w:type="dxa" w:w="2340"/>
          </w:tcPr>
          <w:p>
            <w:pPr>
              <w:spacing w:after="40" w:before="40" w:line="240" w:lineRule="auto"/>
            </w:pPr>
            <w:r/>
            <w:r>
              <w:rPr>
                <w:rFonts w:ascii="Times New Roman" w:hAnsi="Times New Roman" w:eastAsia="Times New Roman"/>
                <w:b w:val="0"/>
                <w:i w:val="0"/>
                <w:sz w:val="20"/>
              </w:rPr>
              <w:t>1</w:t>
            </w:r>
          </w:p>
        </w:tc>
        <w:tc>
          <w:tcPr>
            <w:tcW w:type="dxa" w:w="2340"/>
          </w:tcPr>
          <w:p>
            <w:pPr>
              <w:spacing w:after="40" w:before="40" w:line="240" w:lineRule="auto"/>
            </w:pPr>
            <w:r/>
            <w:r>
              <w:rPr>
                <w:rFonts w:ascii="Times New Roman" w:hAnsi="Times New Roman" w:eastAsia="Times New Roman"/>
                <w:b w:val="0"/>
                <w:i w:val="0"/>
                <w:sz w:val="20"/>
              </w:rPr>
              <w:t>Timed interview protocol with ethics script, CIT opening, six salience-guided question sets, and a closing prompt</w:t>
            </w:r>
          </w:p>
        </w:tc>
        <w:tc>
          <w:tcPr>
            <w:tcW w:type="dxa" w:w="2340"/>
          </w:tcPr>
          <w:p>
            <w:pPr>
              <w:spacing w:after="40" w:before="40" w:line="240" w:lineRule="auto"/>
            </w:pPr>
            <w:r/>
            <w:r>
              <w:rPr>
                <w:rFonts w:ascii="Times New Roman" w:hAnsi="Times New Roman" w:eastAsia="Times New Roman"/>
                <w:b w:val="0"/>
                <w:i w:val="0"/>
                <w:sz w:val="20"/>
              </w:rPr>
              <w:t>Measures/Artifacts; Data Collection</w:t>
            </w:r>
          </w:p>
        </w:tc>
        <w:tc>
          <w:tcPr>
            <w:tcW w:type="dxa" w:w="2340"/>
          </w:tcPr>
          <w:p>
            <w:pPr>
              <w:spacing w:after="40" w:before="40" w:line="240" w:lineRule="auto"/>
            </w:pPr>
            <w:r/>
            <w:r>
              <w:rPr>
                <w:rFonts w:ascii="Times New Roman" w:hAnsi="Times New Roman" w:eastAsia="Times New Roman"/>
                <w:b w:val="0"/>
                <w:i w:val="0"/>
                <w:sz w:val="20"/>
              </w:rPr>
              <w:t>Competing claims; power, legitimacy, urgency; decision rights; escalation; proof</w:t>
            </w:r>
          </w:p>
        </w:tc>
      </w:tr>
      <w:tr>
        <w:tc>
          <w:tcPr>
            <w:tcW w:type="dxa" w:w="2340"/>
          </w:tcPr>
          <w:p>
            <w:pPr>
              <w:spacing w:after="40" w:before="40" w:line="240" w:lineRule="auto"/>
            </w:pPr>
            <w:r/>
            <w:r>
              <w:rPr>
                <w:rFonts w:ascii="Times New Roman" w:hAnsi="Times New Roman" w:eastAsia="Times New Roman"/>
                <w:b w:val="0"/>
                <w:i w:val="0"/>
                <w:sz w:val="20"/>
              </w:rPr>
              <w:t>2</w:t>
            </w:r>
          </w:p>
        </w:tc>
        <w:tc>
          <w:tcPr>
            <w:tcW w:type="dxa" w:w="2340"/>
          </w:tcPr>
          <w:p>
            <w:pPr>
              <w:spacing w:after="40" w:before="40" w:line="240" w:lineRule="auto"/>
            </w:pPr>
            <w:r/>
            <w:r>
              <w:rPr>
                <w:rFonts w:ascii="Times New Roman" w:hAnsi="Times New Roman" w:eastAsia="Times New Roman"/>
                <w:b w:val="0"/>
                <w:i w:val="0"/>
                <w:sz w:val="20"/>
              </w:rPr>
              <w:t>Interview decision rules (when to probe, when to skip, when to stop an abstract answer)</w:t>
            </w:r>
          </w:p>
        </w:tc>
        <w:tc>
          <w:tcPr>
            <w:tcW w:type="dxa" w:w="2340"/>
          </w:tcPr>
          <w:p>
            <w:pPr>
              <w:spacing w:after="40" w:before="40" w:line="240" w:lineRule="auto"/>
            </w:pPr>
            <w:r/>
            <w:r>
              <w:rPr>
                <w:rFonts w:ascii="Times New Roman" w:hAnsi="Times New Roman" w:eastAsia="Times New Roman"/>
                <w:b w:val="0"/>
                <w:i w:val="0"/>
                <w:sz w:val="20"/>
              </w:rPr>
              <w:t>Procedures; Dependability</w:t>
            </w:r>
          </w:p>
        </w:tc>
        <w:tc>
          <w:tcPr>
            <w:tcW w:type="dxa" w:w="2340"/>
          </w:tcPr>
          <w:p>
            <w:pPr>
              <w:spacing w:after="40" w:before="40" w:line="240" w:lineRule="auto"/>
            </w:pPr>
            <w:r/>
            <w:r>
              <w:rPr>
                <w:rFonts w:ascii="Times New Roman" w:hAnsi="Times New Roman" w:eastAsia="Times New Roman"/>
                <w:b w:val="0"/>
                <w:i w:val="0"/>
                <w:sz w:val="20"/>
              </w:rPr>
              <w:t>Stops generic “how we usually recover” talk that cannot close the Gap</w:t>
            </w:r>
          </w:p>
        </w:tc>
      </w:tr>
      <w:tr>
        <w:tc>
          <w:tcPr>
            <w:tcW w:type="dxa" w:w="2340"/>
          </w:tcPr>
          <w:p>
            <w:pPr>
              <w:spacing w:after="40" w:before="40" w:line="240" w:lineRule="auto"/>
            </w:pPr>
            <w:r/>
            <w:r>
              <w:rPr>
                <w:rFonts w:ascii="Times New Roman" w:hAnsi="Times New Roman" w:eastAsia="Times New Roman"/>
                <w:b w:val="0"/>
                <w:i w:val="0"/>
                <w:sz w:val="20"/>
              </w:rPr>
              <w:t>3</w:t>
            </w:r>
          </w:p>
        </w:tc>
        <w:tc>
          <w:tcPr>
            <w:tcW w:type="dxa" w:w="2340"/>
          </w:tcPr>
          <w:p>
            <w:pPr>
              <w:spacing w:after="40" w:before="40" w:line="240" w:lineRule="auto"/>
            </w:pPr>
            <w:r/>
            <w:r>
              <w:rPr>
                <w:rFonts w:ascii="Times New Roman" w:hAnsi="Times New Roman" w:eastAsia="Times New Roman"/>
                <w:b w:val="0"/>
                <w:i w:val="0"/>
                <w:sz w:val="20"/>
              </w:rPr>
              <w:t>Artifact pipeline with request script, three intake paths, field-note map, and MU-table entry rule</w:t>
            </w:r>
          </w:p>
        </w:tc>
        <w:tc>
          <w:tcPr>
            <w:tcW w:type="dxa" w:w="2340"/>
          </w:tcPr>
          <w:p>
            <w:pPr>
              <w:spacing w:after="40" w:before="40" w:line="240" w:lineRule="auto"/>
            </w:pPr>
            <w:r/>
            <w:r>
              <w:rPr>
                <w:rFonts w:ascii="Times New Roman" w:hAnsi="Times New Roman" w:eastAsia="Times New Roman"/>
                <w:b w:val="0"/>
                <w:i w:val="0"/>
                <w:sz w:val="20"/>
              </w:rPr>
              <w:t>Measures/Artifacts; Data Collection</w:t>
            </w:r>
          </w:p>
        </w:tc>
        <w:tc>
          <w:tcPr>
            <w:tcW w:type="dxa" w:w="2340"/>
          </w:tcPr>
          <w:p>
            <w:pPr>
              <w:spacing w:after="40" w:before="40" w:line="240" w:lineRule="auto"/>
            </w:pPr>
            <w:r/>
            <w:r>
              <w:rPr>
                <w:rFonts w:ascii="Times New Roman" w:hAnsi="Times New Roman" w:eastAsia="Times New Roman"/>
                <w:b w:val="0"/>
                <w:i w:val="0"/>
                <w:sz w:val="20"/>
              </w:rPr>
              <w:t>Formal intent vs. ad hoc action; recoverability-assurance evidence</w:t>
            </w:r>
          </w:p>
        </w:tc>
      </w:tr>
      <w:tr>
        <w:tc>
          <w:tcPr>
            <w:tcW w:type="dxa" w:w="2340"/>
          </w:tcPr>
          <w:p>
            <w:pPr>
              <w:spacing w:after="40" w:before="40" w:line="240" w:lineRule="auto"/>
            </w:pPr>
            <w:r/>
            <w:r>
              <w:rPr>
                <w:rFonts w:ascii="Times New Roman" w:hAnsi="Times New Roman" w:eastAsia="Times New Roman"/>
                <w:b w:val="0"/>
                <w:i w:val="0"/>
                <w:sz w:val="20"/>
              </w:rPr>
              <w:t>4</w:t>
            </w:r>
          </w:p>
        </w:tc>
        <w:tc>
          <w:tcPr>
            <w:tcW w:type="dxa" w:w="2340"/>
          </w:tcPr>
          <w:p>
            <w:pPr>
              <w:spacing w:after="40" w:before="40" w:line="240" w:lineRule="auto"/>
            </w:pPr>
            <w:r/>
            <w:r>
              <w:rPr>
                <w:rFonts w:ascii="Times New Roman" w:hAnsi="Times New Roman" w:eastAsia="Times New Roman"/>
                <w:b w:val="0"/>
                <w:i w:val="0"/>
                <w:sz w:val="20"/>
              </w:rPr>
              <w:t>Analysis bridge: Practice 2 four-step reduction + sensitizing start-list + theme-mapping rule</w:t>
            </w:r>
          </w:p>
        </w:tc>
        <w:tc>
          <w:tcPr>
            <w:tcW w:type="dxa" w:w="2340"/>
          </w:tcPr>
          <w:p>
            <w:pPr>
              <w:spacing w:after="40" w:before="40" w:line="240" w:lineRule="auto"/>
            </w:pPr>
            <w:r/>
            <w:r>
              <w:rPr>
                <w:rFonts w:ascii="Times New Roman" w:hAnsi="Times New Roman" w:eastAsia="Times New Roman"/>
                <w:b w:val="0"/>
                <w:i w:val="0"/>
                <w:sz w:val="20"/>
              </w:rPr>
              <w:t>Data Analysis; Constructs</w:t>
            </w:r>
          </w:p>
        </w:tc>
        <w:tc>
          <w:tcPr>
            <w:tcW w:type="dxa" w:w="2340"/>
          </w:tcPr>
          <w:p>
            <w:pPr>
              <w:spacing w:after="40" w:before="40" w:line="240" w:lineRule="auto"/>
            </w:pPr>
            <w:r/>
            <w:r>
              <w:rPr>
                <w:rFonts w:ascii="Times New Roman" w:hAnsi="Times New Roman" w:eastAsia="Times New Roman"/>
                <w:b w:val="0"/>
                <w:i w:val="0"/>
                <w:sz w:val="20"/>
              </w:rPr>
              <w:t>Findings that answer PQ1 and PQ2 without confirming Mitchell et al. in advance</w:t>
            </w:r>
          </w:p>
        </w:tc>
      </w:tr>
      <w:tr>
        <w:tc>
          <w:tcPr>
            <w:tcW w:type="dxa" w:w="2340"/>
          </w:tcPr>
          <w:p>
            <w:pPr>
              <w:spacing w:after="40" w:before="40" w:line="240" w:lineRule="auto"/>
            </w:pPr>
            <w:r/>
            <w:r>
              <w:rPr>
                <w:rFonts w:ascii="Times New Roman" w:hAnsi="Times New Roman" w:eastAsia="Times New Roman"/>
                <w:b w:val="0"/>
                <w:i w:val="0"/>
                <w:sz w:val="20"/>
              </w:rPr>
              <w:t>5</w:t>
            </w:r>
          </w:p>
        </w:tc>
        <w:tc>
          <w:tcPr>
            <w:tcW w:type="dxa" w:w="2340"/>
          </w:tcPr>
          <w:p>
            <w:pPr>
              <w:spacing w:after="40" w:before="40" w:line="240" w:lineRule="auto"/>
            </w:pPr>
            <w:r/>
            <w:r>
              <w:rPr>
                <w:rFonts w:ascii="Times New Roman" w:hAnsi="Times New Roman" w:eastAsia="Times New Roman"/>
                <w:b w:val="0"/>
                <w:i w:val="0"/>
                <w:sz w:val="20"/>
              </w:rPr>
              <w:t>Meaning-unit table template (talk + artifact rows) and required boundary case per construct</w:t>
            </w:r>
          </w:p>
        </w:tc>
        <w:tc>
          <w:tcPr>
            <w:tcW w:type="dxa" w:w="2340"/>
          </w:tcPr>
          <w:p>
            <w:pPr>
              <w:spacing w:after="40" w:before="40" w:line="240" w:lineRule="auto"/>
            </w:pPr>
            <w:r/>
            <w:r>
              <w:rPr>
                <w:rFonts w:ascii="Times New Roman" w:hAnsi="Times New Roman" w:eastAsia="Times New Roman"/>
                <w:b w:val="0"/>
                <w:i w:val="0"/>
                <w:sz w:val="20"/>
              </w:rPr>
              <w:t>Dependability; Data Analysis</w:t>
            </w:r>
          </w:p>
        </w:tc>
        <w:tc>
          <w:tcPr>
            <w:tcW w:type="dxa" w:w="2340"/>
          </w:tcPr>
          <w:p>
            <w:pPr>
              <w:spacing w:after="40" w:before="40" w:line="240" w:lineRule="auto"/>
            </w:pPr>
            <w:r/>
            <w:r>
              <w:rPr>
                <w:rFonts w:ascii="Times New Roman" w:hAnsi="Times New Roman" w:eastAsia="Times New Roman"/>
                <w:b w:val="0"/>
                <w:i w:val="0"/>
                <w:sz w:val="20"/>
              </w:rPr>
              <w:t>Contested authority and failed-proof incidents stay inside the finding</w:t>
            </w:r>
          </w:p>
        </w:tc>
      </w:tr>
      <w:tr>
        <w:tc>
          <w:tcPr>
            <w:tcW w:type="dxa" w:w="2340"/>
          </w:tcPr>
          <w:p>
            <w:pPr>
              <w:spacing w:after="40" w:before="40" w:line="240" w:lineRule="auto"/>
            </w:pPr>
            <w:r/>
            <w:r>
              <w:rPr>
                <w:rFonts w:ascii="Times New Roman" w:hAnsi="Times New Roman" w:eastAsia="Times New Roman"/>
                <w:b w:val="0"/>
                <w:i w:val="0"/>
                <w:sz w:val="20"/>
              </w:rPr>
              <w:t>6</w:t>
            </w:r>
          </w:p>
        </w:tc>
        <w:tc>
          <w:tcPr>
            <w:tcW w:type="dxa" w:w="2340"/>
          </w:tcPr>
          <w:p>
            <w:pPr>
              <w:spacing w:after="40" w:before="40" w:line="240" w:lineRule="auto"/>
            </w:pPr>
            <w:r/>
            <w:r>
              <w:rPr>
                <w:rFonts w:ascii="Times New Roman" w:hAnsi="Times New Roman" w:eastAsia="Times New Roman"/>
                <w:b w:val="0"/>
                <w:i w:val="0"/>
                <w:sz w:val="20"/>
              </w:rPr>
              <w:t>Citation repair table (what each source is now allowed to support)</w:t>
            </w:r>
          </w:p>
        </w:tc>
        <w:tc>
          <w:tcPr>
            <w:tcW w:type="dxa" w:w="2340"/>
          </w:tcPr>
          <w:p>
            <w:pPr>
              <w:spacing w:after="40" w:before="40" w:line="240" w:lineRule="auto"/>
            </w:pPr>
            <w:r/>
            <w:r>
              <w:rPr>
                <w:rFonts w:ascii="Times New Roman" w:hAnsi="Times New Roman" w:eastAsia="Times New Roman"/>
                <w:b w:val="0"/>
                <w:i w:val="0"/>
                <w:sz w:val="20"/>
              </w:rPr>
              <w:t>Methodology; Dependability</w:t>
            </w:r>
          </w:p>
        </w:tc>
        <w:tc>
          <w:tcPr>
            <w:tcW w:type="dxa" w:w="2340"/>
          </w:tcPr>
          <w:p>
            <w:pPr>
              <w:spacing w:after="40" w:before="40" w:line="240" w:lineRule="auto"/>
            </w:pPr>
            <w:r/>
            <w:r>
              <w:rPr>
                <w:rFonts w:ascii="Times New Roman" w:hAnsi="Times New Roman" w:eastAsia="Times New Roman"/>
                <w:b w:val="0"/>
                <w:i w:val="0"/>
                <w:sz w:val="20"/>
              </w:rPr>
              <w:t>Prevents CIT, saturation, and NIST from being used as the wrong method</w:t>
            </w:r>
          </w:p>
        </w:tc>
      </w:tr>
      <w:tr>
        <w:tc>
          <w:tcPr>
            <w:tcW w:type="dxa" w:w="2340"/>
          </w:tcPr>
          <w:p>
            <w:pPr>
              <w:spacing w:after="40" w:before="40" w:line="240" w:lineRule="auto"/>
            </w:pPr>
            <w:r/>
            <w:r>
              <w:rPr>
                <w:rFonts w:ascii="Times New Roman" w:hAnsi="Times New Roman" w:eastAsia="Times New Roman"/>
                <w:b w:val="0"/>
                <w:i w:val="0"/>
                <w:sz w:val="20"/>
              </w:rPr>
              <w:t>7</w:t>
            </w:r>
          </w:p>
        </w:tc>
        <w:tc>
          <w:tcPr>
            <w:tcW w:type="dxa" w:w="2340"/>
          </w:tcPr>
          <w:p>
            <w:pPr>
              <w:spacing w:after="40" w:before="40" w:line="240" w:lineRule="auto"/>
            </w:pPr>
            <w:r/>
            <w:r>
              <w:rPr>
                <w:rFonts w:ascii="Times New Roman" w:hAnsi="Times New Roman" w:eastAsia="Times New Roman"/>
                <w:b w:val="0"/>
                <w:i w:val="0"/>
                <w:sz w:val="20"/>
              </w:rPr>
              <w:t>Language-drift find/replace list (phenomenology and confirmatory wording out)</w:t>
            </w:r>
          </w:p>
        </w:tc>
        <w:tc>
          <w:tcPr>
            <w:tcW w:type="dxa" w:w="2340"/>
          </w:tcPr>
          <w:p>
            <w:pPr>
              <w:spacing w:after="40" w:before="40" w:line="240" w:lineRule="auto"/>
            </w:pPr>
            <w:r/>
            <w:r>
              <w:rPr>
                <w:rFonts w:ascii="Times New Roman" w:hAnsi="Times New Roman" w:eastAsia="Times New Roman"/>
                <w:b w:val="0"/>
                <w:i w:val="0"/>
                <w:sz w:val="20"/>
              </w:rPr>
              <w:t>Methodology; Constructs</w:t>
            </w:r>
          </w:p>
        </w:tc>
        <w:tc>
          <w:tcPr>
            <w:tcW w:type="dxa" w:w="2340"/>
          </w:tcPr>
          <w:p>
            <w:pPr>
              <w:spacing w:after="40" w:before="40" w:line="240" w:lineRule="auto"/>
            </w:pPr>
            <w:r/>
            <w:r>
              <w:rPr>
                <w:rFonts w:ascii="Times New Roman" w:hAnsi="Times New Roman" w:eastAsia="Times New Roman"/>
                <w:b w:val="0"/>
                <w:i w:val="0"/>
                <w:sz w:val="20"/>
              </w:rPr>
              <w:t>Keeps GQI on external events, decisions, and artifacts</w:t>
            </w:r>
          </w:p>
        </w:tc>
      </w:tr>
      <w:tr>
        <w:tc>
          <w:tcPr>
            <w:tcW w:type="dxa" w:w="2340"/>
          </w:tcPr>
          <w:p>
            <w:pPr>
              <w:spacing w:after="40" w:before="40" w:line="240" w:lineRule="auto"/>
            </w:pPr>
            <w:r/>
            <w:r>
              <w:rPr>
                <w:rFonts w:ascii="Times New Roman" w:hAnsi="Times New Roman" w:eastAsia="Times New Roman"/>
                <w:b w:val="0"/>
                <w:i w:val="0"/>
                <w:sz w:val="20"/>
              </w:rPr>
              <w:t>8</w:t>
            </w:r>
          </w:p>
        </w:tc>
        <w:tc>
          <w:tcPr>
            <w:tcW w:type="dxa" w:w="2340"/>
          </w:tcPr>
          <w:p>
            <w:pPr>
              <w:spacing w:after="40" w:before="40" w:line="240" w:lineRule="auto"/>
            </w:pPr>
            <w:r/>
            <w:r>
              <w:rPr>
                <w:rFonts w:ascii="Times New Roman" w:hAnsi="Times New Roman" w:eastAsia="Times New Roman"/>
                <w:b w:val="0"/>
                <w:i w:val="0"/>
                <w:sz w:val="20"/>
              </w:rPr>
              <w:t>Ethics-threat matrix tied to Gap data quality, plus member-check and storage SOP</w:t>
            </w:r>
          </w:p>
        </w:tc>
        <w:tc>
          <w:tcPr>
            <w:tcW w:type="dxa" w:w="2340"/>
          </w:tcPr>
          <w:p>
            <w:pPr>
              <w:spacing w:after="40" w:before="40" w:line="240" w:lineRule="auto"/>
            </w:pPr>
            <w:r/>
            <w:r>
              <w:rPr>
                <w:rFonts w:ascii="Times New Roman" w:hAnsi="Times New Roman" w:eastAsia="Times New Roman"/>
                <w:b w:val="0"/>
                <w:i w:val="0"/>
                <w:sz w:val="20"/>
              </w:rPr>
              <w:t>Procedures; Dependability</w:t>
            </w:r>
          </w:p>
        </w:tc>
        <w:tc>
          <w:tcPr>
            <w:tcW w:type="dxa" w:w="2340"/>
          </w:tcPr>
          <w:p>
            <w:pPr>
              <w:spacing w:after="40" w:before="40" w:line="240" w:lineRule="auto"/>
            </w:pPr>
            <w:r/>
            <w:r>
              <w:rPr>
                <w:rFonts w:ascii="Times New Roman" w:hAnsi="Times New Roman" w:eastAsia="Times New Roman"/>
                <w:b w:val="0"/>
                <w:i w:val="0"/>
                <w:sz w:val="20"/>
              </w:rPr>
              <w:t>Stops organizational risk from deleting the proof and authority talk PQ2 needs</w:t>
            </w:r>
          </w:p>
        </w:tc>
      </w:tr>
      <w:tr>
        <w:tc>
          <w:tcPr>
            <w:tcW w:type="dxa" w:w="2340"/>
          </w:tcPr>
          <w:p>
            <w:pPr>
              <w:spacing w:after="40" w:before="40" w:line="240" w:lineRule="auto"/>
            </w:pPr>
            <w:r/>
            <w:r>
              <w:rPr>
                <w:rFonts w:ascii="Times New Roman" w:hAnsi="Times New Roman" w:eastAsia="Times New Roman"/>
                <w:b w:val="0"/>
                <w:i w:val="0"/>
                <w:sz w:val="20"/>
              </w:rPr>
              <w:t>9</w:t>
            </w:r>
          </w:p>
        </w:tc>
        <w:tc>
          <w:tcPr>
            <w:tcW w:type="dxa" w:w="2340"/>
          </w:tcPr>
          <w:p>
            <w:pPr>
              <w:spacing w:after="40" w:before="40" w:line="240" w:lineRule="auto"/>
            </w:pPr>
            <w:r/>
            <w:r>
              <w:rPr>
                <w:rFonts w:ascii="Times New Roman" w:hAnsi="Times New Roman" w:eastAsia="Times New Roman"/>
                <w:b w:val="0"/>
                <w:i w:val="0"/>
                <w:sz w:val="20"/>
              </w:rPr>
              <w:t>Information-power sample justification and recruitment channel/length</w:t>
            </w:r>
          </w:p>
        </w:tc>
        <w:tc>
          <w:tcPr>
            <w:tcW w:type="dxa" w:w="2340"/>
          </w:tcPr>
          <w:p>
            <w:pPr>
              <w:spacing w:after="40" w:before="40" w:line="240" w:lineRule="auto"/>
            </w:pPr>
            <w:r/>
            <w:r>
              <w:rPr>
                <w:rFonts w:ascii="Times New Roman" w:hAnsi="Times New Roman" w:eastAsia="Times New Roman"/>
                <w:b w:val="0"/>
                <w:i w:val="0"/>
                <w:sz w:val="20"/>
              </w:rPr>
              <w:t>Sample; Recruitment</w:t>
            </w:r>
          </w:p>
        </w:tc>
        <w:tc>
          <w:tcPr>
            <w:tcW w:type="dxa" w:w="2340"/>
          </w:tcPr>
          <w:p>
            <w:pPr>
              <w:spacing w:after="40" w:before="40" w:line="240" w:lineRule="auto"/>
            </w:pPr>
            <w:r/>
            <w:r>
              <w:rPr>
                <w:rFonts w:ascii="Times New Roman" w:hAnsi="Times New Roman" w:eastAsia="Times New Roman"/>
                <w:b w:val="0"/>
                <w:i w:val="0"/>
                <w:sz w:val="20"/>
              </w:rPr>
              <w:t>Makes n = 10–15 defensible without claiming automatic saturation</w:t>
            </w:r>
          </w:p>
        </w:tc>
      </w:tr>
      <w:tr>
        <w:tc>
          <w:tcPr>
            <w:tcW w:type="dxa" w:w="2340"/>
          </w:tcPr>
          <w:p>
            <w:pPr>
              <w:spacing w:after="40" w:before="40" w:line="240" w:lineRule="auto"/>
            </w:pPr>
            <w:r/>
            <w:r>
              <w:rPr>
                <w:rFonts w:ascii="Times New Roman" w:hAnsi="Times New Roman" w:eastAsia="Times New Roman"/>
                <w:b w:val="0"/>
                <w:i w:val="0"/>
                <w:sz w:val="20"/>
              </w:rPr>
              <w:t>10</w:t>
            </w:r>
          </w:p>
        </w:tc>
        <w:tc>
          <w:tcPr>
            <w:tcW w:type="dxa" w:w="2340"/>
          </w:tcPr>
          <w:p>
            <w:pPr>
              <w:spacing w:after="40" w:before="40" w:line="240" w:lineRule="auto"/>
            </w:pPr>
            <w:r/>
            <w:r>
              <w:rPr>
                <w:rFonts w:ascii="Times New Roman" w:hAnsi="Times New Roman" w:eastAsia="Times New Roman"/>
                <w:b w:val="0"/>
                <w:i w:val="0"/>
                <w:sz w:val="20"/>
              </w:rPr>
              <w:t>Revised 3–4 paragraph Project Plan sections (Measures, Procedures, Analysis, Trustworthiness)</w:t>
            </w:r>
          </w:p>
        </w:tc>
        <w:tc>
          <w:tcPr>
            <w:tcW w:type="dxa" w:w="2340"/>
          </w:tcPr>
          <w:p>
            <w:pPr>
              <w:spacing w:after="40" w:before="40" w:line="240" w:lineRule="auto"/>
            </w:pPr>
            <w:r/>
            <w:r>
              <w:rPr>
                <w:rFonts w:ascii="Times New Roman" w:hAnsi="Times New Roman" w:eastAsia="Times New Roman"/>
                <w:b w:val="0"/>
                <w:i w:val="0"/>
                <w:sz w:val="20"/>
              </w:rPr>
              <w:t>All collection nodes</w:t>
            </w:r>
          </w:p>
        </w:tc>
        <w:tc>
          <w:tcPr>
            <w:tcW w:type="dxa" w:w="2340"/>
          </w:tcPr>
          <w:p>
            <w:pPr>
              <w:spacing w:after="40" w:before="40" w:line="240" w:lineRule="auto"/>
            </w:pPr>
            <w:r/>
            <w:r>
              <w:rPr>
                <w:rFonts w:ascii="Times New Roman" w:hAnsi="Times New Roman" w:eastAsia="Times New Roman"/>
                <w:b w:val="0"/>
                <w:i w:val="0"/>
                <w:sz w:val="20"/>
              </w:rPr>
              <w:t>Courseroom-ready prose, not only an appendix</w:t>
            </w:r>
          </w:p>
        </w:tc>
      </w:tr>
    </w:tbl>
    <w:p/>
    <w:p>
      <w:pPr>
        <w:spacing w:after="160" w:before="240" w:line="480" w:lineRule="auto"/>
      </w:pPr>
      <w:r>
        <w:rPr>
          <w:rFonts w:ascii="Times New Roman" w:hAnsi="Times New Roman" w:eastAsia="Times New Roman"/>
          <w:b/>
          <w:i w:val="0"/>
          <w:color w:val="9A3412"/>
          <w:sz w:val="28"/>
        </w:rPr>
        <w:t xml:space="preserve">1. </w:t>
      </w:r>
      <w:r>
        <w:rPr>
          <w:rFonts w:ascii="Times New Roman" w:hAnsi="Times New Roman" w:eastAsia="Times New Roman"/>
          <w:b/>
          <w:i w:val="0"/>
          <w:color w:val="9A3412"/>
          <w:sz w:val="28"/>
        </w:rPr>
        <w:t>NEW</w:t>
      </w:r>
      <w:r>
        <w:rPr>
          <w:rFonts w:ascii="Times New Roman" w:hAnsi="Times New Roman" w:eastAsia="Times New Roman"/>
          <w:b/>
          <w:i w:val="0"/>
          <w:color w:val="9A3412"/>
          <w:sz w:val="28"/>
        </w:rPr>
        <w:t xml:space="preserve"> Implied Questions (paste if official RQs are not yet locked)</w:t>
      </w:r>
    </w:p>
    <w:p>
      <w:pPr>
        <w:pStyle w:val="ListBullet"/>
        <w:spacing w:line="480" w:lineRule="auto"/>
      </w:pPr>
      <w:r>
        <w:rPr>
          <w:rFonts w:ascii="Times New Roman" w:hAnsi="Times New Roman" w:eastAsia="Times New Roman"/>
          <w:b/>
          <w:i w:val="0"/>
          <w:sz w:val="24"/>
        </w:rPr>
        <w:t>PQ1.</w:t>
      </w:r>
      <w:r>
        <w:rPr>
          <w:rFonts w:ascii="Times New Roman" w:hAnsi="Times New Roman" w:eastAsia="Times New Roman"/>
          <w:b w:val="0"/>
          <w:i w:val="0"/>
          <w:sz w:val="24"/>
        </w:rPr>
        <w:t xml:space="preserve"> How do U.S. SME IT and network managers describe stakeholder-claim management and salience shifts (power, legitimacy, urgency) during ITDRPaaS recovery or testing incidents?</w:t>
      </w:r>
    </w:p>
    <w:p>
      <w:pPr>
        <w:pStyle w:val="ListBullet"/>
        <w:spacing w:line="480" w:lineRule="auto"/>
      </w:pPr>
      <w:r>
        <w:rPr>
          <w:rFonts w:ascii="Times New Roman" w:hAnsi="Times New Roman" w:eastAsia="Times New Roman"/>
          <w:b/>
          <w:i w:val="0"/>
          <w:sz w:val="24"/>
        </w:rPr>
        <w:t>PQ2.</w:t>
      </w:r>
      <w:r>
        <w:rPr>
          <w:rFonts w:ascii="Times New Roman" w:hAnsi="Times New Roman" w:eastAsia="Times New Roman"/>
          <w:b w:val="0"/>
          <w:i w:val="0"/>
          <w:sz w:val="24"/>
        </w:rPr>
        <w:t xml:space="preserve"> How do those shifts get enacted as decision rights, escalation pathways, and evidentiary / recoverability-assurance standards that managers can defend to stakeholders?</w:t>
      </w:r>
    </w:p>
    <w:p>
      <w:pPr>
        <w:spacing w:after="120" w:before="0" w:line="480" w:lineRule="auto"/>
      </w:pPr>
      <w:r>
        <w:rPr>
          <w:rFonts w:ascii="Times New Roman" w:hAnsi="Times New Roman" w:eastAsia="Times New Roman"/>
          <w:b w:val="0"/>
          <w:i w:val="0"/>
          <w:sz w:val="24"/>
        </w:rPr>
        <w:t>Replace these two lines with official project-question wording when available. Do not change the unit of analysis (SME managers; one named incident; external platform recovery).</w:t>
      </w:r>
    </w:p>
    <w:p>
      <w:pPr>
        <w:spacing w:after="160" w:before="240" w:line="480" w:lineRule="auto"/>
      </w:pPr>
      <w:r>
        <w:rPr>
          <w:rFonts w:ascii="Times New Roman" w:hAnsi="Times New Roman" w:eastAsia="Times New Roman"/>
          <w:b/>
          <w:i w:val="0"/>
          <w:color w:val="9A3412"/>
          <w:sz w:val="28"/>
        </w:rPr>
        <w:t xml:space="preserve">2. </w:t>
      </w:r>
      <w:r>
        <w:rPr>
          <w:rFonts w:ascii="Times New Roman" w:hAnsi="Times New Roman" w:eastAsia="Times New Roman"/>
          <w:b/>
          <w:i w:val="0"/>
          <w:color w:val="9A3412"/>
          <w:sz w:val="28"/>
        </w:rPr>
        <w:t>NEW</w:t>
      </w:r>
      <w:r>
        <w:rPr>
          <w:rFonts w:ascii="Times New Roman" w:hAnsi="Times New Roman" w:eastAsia="Times New Roman"/>
          <w:b/>
          <w:i w:val="0"/>
          <w:color w:val="9A3412"/>
          <w:sz w:val="28"/>
        </w:rPr>
        <w:t xml:space="preserve"> Interview Protocol (concrete instrument)</w:t>
      </w:r>
    </w:p>
    <w:p>
      <w:pPr>
        <w:spacing w:after="120" w:before="0" w:line="480" w:lineRule="auto"/>
      </w:pPr>
      <w:r>
        <w:rPr>
          <w:rFonts w:ascii="Times New Roman" w:hAnsi="Times New Roman" w:eastAsia="Times New Roman"/>
          <w:b/>
          <w:i w:val="0"/>
          <w:sz w:val="24"/>
        </w:rPr>
        <w:t>Length:</w:t>
      </w:r>
      <w:r>
        <w:rPr>
          <w:rFonts w:ascii="Times New Roman" w:hAnsi="Times New Roman" w:eastAsia="Times New Roman"/>
          <w:b w:val="0"/>
          <w:i w:val="0"/>
          <w:sz w:val="24"/>
        </w:rPr>
        <w:t xml:space="preserve"> 60–75 minutes.</w:t>
      </w:r>
    </w:p>
    <w:p>
      <w:pPr>
        <w:spacing w:after="120" w:before="0" w:line="480" w:lineRule="auto"/>
      </w:pPr>
      <w:r>
        <w:rPr>
          <w:rFonts w:ascii="Times New Roman" w:hAnsi="Times New Roman" w:eastAsia="Times New Roman"/>
          <w:b/>
          <w:i w:val="0"/>
          <w:sz w:val="24"/>
        </w:rPr>
        <w:t>Modality:</w:t>
      </w:r>
      <w:r>
        <w:rPr>
          <w:rFonts w:ascii="Times New Roman" w:hAnsi="Times New Roman" w:eastAsia="Times New Roman"/>
          <w:b w:val="0"/>
          <w:i w:val="0"/>
          <w:sz w:val="24"/>
        </w:rPr>
        <w:t xml:space="preserve"> One-to-one video session, English, audio- and video-recorded with a running notes backup.</w:t>
      </w:r>
    </w:p>
    <w:p>
      <w:pPr>
        <w:spacing w:after="120" w:before="0" w:line="480" w:lineRule="auto"/>
      </w:pPr>
      <w:r>
        <w:rPr>
          <w:rFonts w:ascii="Times New Roman" w:hAnsi="Times New Roman" w:eastAsia="Times New Roman"/>
          <w:b/>
          <w:i w:val="0"/>
          <w:sz w:val="24"/>
        </w:rPr>
        <w:t>Rule:</w:t>
      </w:r>
      <w:r>
        <w:rPr>
          <w:rFonts w:ascii="Times New Roman" w:hAnsi="Times New Roman" w:eastAsia="Times New Roman"/>
          <w:b w:val="0"/>
          <w:i w:val="0"/>
          <w:sz w:val="24"/>
        </w:rPr>
        <w:t xml:space="preserve"> Theoretical words (salience, legitimacy, recoverability assurance) stay in the researcher codebook. Questions use manager language (Flanagan, 1954; Chell, 2004; Capella guiding-question rules).</w:t>
      </w:r>
    </w:p>
    <w:p>
      <w:pPr>
        <w:spacing w:after="160" w:before="240" w:line="480" w:lineRule="auto"/>
      </w:pPr>
      <w:r>
        <w:rPr>
          <w:rFonts w:ascii="Times New Roman" w:hAnsi="Times New Roman" w:eastAsia="Times New Roman"/>
          <w:b/>
          <w:i w:val="0"/>
          <w:color w:val="9A3412"/>
          <w:sz w:val="24"/>
        </w:rPr>
        <w:t>2.1 Pre-session checklist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w:t>
      </w:r>
    </w:p>
    <w:p>
      <w:pPr>
        <w:pStyle w:val="ListNumber"/>
        <w:spacing w:line="480" w:lineRule="auto"/>
      </w:pPr>
      <w:r>
        <w:rPr>
          <w:rFonts w:ascii="Times New Roman" w:hAnsi="Times New Roman" w:eastAsia="Times New Roman"/>
          <w:b w:val="0"/>
          <w:i w:val="0"/>
          <w:sz w:val="24"/>
        </w:rPr>
        <w:t>Confirm signed electronic consent is on file.</w:t>
      </w:r>
    </w:p>
    <w:p>
      <w:pPr>
        <w:pStyle w:val="ListNumber"/>
        <w:spacing w:line="480" w:lineRule="auto"/>
      </w:pPr>
      <w:r>
        <w:rPr>
          <w:rFonts w:ascii="Times New Roman" w:hAnsi="Times New Roman" w:eastAsia="Times New Roman"/>
          <w:b w:val="0"/>
          <w:i w:val="0"/>
          <w:sz w:val="24"/>
        </w:rPr>
        <w:t>Confirm inclusion: U.S. SME, 10–200 personnel; IT/network/systems/infrastructure/operations manager; direct role in external-platform or managed recovery; at least one disruption, failover, test, or operational recovery in 36 months; not vendor-only employed.</w:t>
      </w:r>
    </w:p>
    <w:p>
      <w:pPr>
        <w:pStyle w:val="ListNumber"/>
        <w:spacing w:line="480" w:lineRule="auto"/>
      </w:pPr>
      <w:r>
        <w:rPr>
          <w:rFonts w:ascii="Times New Roman" w:hAnsi="Times New Roman" w:eastAsia="Times New Roman"/>
          <w:b w:val="0"/>
          <w:i w:val="0"/>
          <w:sz w:val="24"/>
        </w:rPr>
        <w:t xml:space="preserve">Assign participant code </w:t>
      </w:r>
      <w:r>
        <w:rPr>
          <w:rFonts w:ascii="Times New Roman" w:hAnsi="Times New Roman" w:eastAsia="Times New Roman"/>
          <w:i/>
          <w:sz w:val="24"/>
        </w:rPr>
        <w:t>P##</w:t>
      </w:r>
      <w:r>
        <w:rPr>
          <w:rFonts w:ascii="Times New Roman" w:hAnsi="Times New Roman" w:eastAsia="Times New Roman"/>
          <w:b w:val="0"/>
          <w:i w:val="0"/>
          <w:sz w:val="24"/>
        </w:rPr>
        <w:t xml:space="preserve"> before the call. Do not speak the employer name into the recording if it can be avoided.</w:t>
      </w:r>
    </w:p>
    <w:p>
      <w:pPr>
        <w:pStyle w:val="ListNumber"/>
        <w:spacing w:line="480" w:lineRule="auto"/>
      </w:pPr>
      <w:r>
        <w:rPr>
          <w:rFonts w:ascii="Times New Roman" w:hAnsi="Times New Roman" w:eastAsia="Times New Roman"/>
          <w:b w:val="0"/>
          <w:i w:val="0"/>
          <w:sz w:val="24"/>
        </w:rPr>
        <w:t>Start recorder. If recorder fails, stop and reschedule. Do not continue from memory.</w:t>
      </w:r>
    </w:p>
    <w:p>
      <w:pPr>
        <w:pStyle w:val="ListNumber"/>
        <w:spacing w:line="480" w:lineRule="auto"/>
      </w:pPr>
      <w:r>
        <w:rPr>
          <w:rFonts w:ascii="Times New Roman" w:hAnsi="Times New Roman" w:eastAsia="Times New Roman"/>
          <w:b w:val="0"/>
          <w:i w:val="0"/>
          <w:sz w:val="24"/>
        </w:rPr>
        <w:t>Open a blank Artifact Map row set (Section 3.3) and a blank reflexive memo (Section 6.4).</w:t>
      </w:r>
    </w:p>
    <w:p>
      <w:pPr>
        <w:spacing w:after="160" w:before="240" w:line="480" w:lineRule="auto"/>
      </w:pPr>
      <w:r>
        <w:rPr>
          <w:rFonts w:ascii="Times New Roman" w:hAnsi="Times New Roman" w:eastAsia="Times New Roman"/>
          <w:b/>
          <w:i w:val="0"/>
          <w:color w:val="9A3412"/>
          <w:sz w:val="24"/>
        </w:rPr>
        <w:t>2.2 Minute 0–3: Ethics script (read aloud)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w:t>
      </w:r>
    </w:p>
    <w:p>
      <w:pPr>
        <w:spacing w:after="160" w:before="80" w:line="480" w:lineRule="auto"/>
        <w:ind w:left="720"/>
      </w:pPr>
      <w:r>
        <w:rPr>
          <w:rFonts w:ascii="Times New Roman" w:hAnsi="Times New Roman" w:eastAsia="Times New Roman"/>
          <w:b w:val="0"/>
          <w:i/>
          <w:sz w:val="24"/>
        </w:rPr>
        <w:t>Thank you for meeting. This interview is part of a doctoral study of how IT and network managers in U.S. small and medium enterprises handle recovery decisions when they use an external recovery platform. Participation is voluntary. You may skip any question or stop at any time without penalty. I will record the session so I can transcribe it. I will remove your name, your employer’s name, vendor names, and product names from the transcript. You do not have to share any confidential disaster-recovery document. If you mention a plan, ticket, or test record, you may describe what it did in the event, or share a redacted excerpt if your organization allows it. Refusing to share a document does not end the interview. After transcription I will send you a de-identified transcript and ask you to correct anything I misheard. You will have seven calendar days to reply. Correcting a factual error is welcome. The analysis will still include de-identified accounts of contested recovery decisions. Do I have your permission to begin recording and to continue?</w:t>
      </w:r>
    </w:p>
    <w:p>
      <w:pPr>
        <w:spacing w:after="120" w:before="0" w:line="480" w:lineRule="auto"/>
      </w:pPr>
      <w:r>
        <w:rPr>
          <w:rFonts w:ascii="Times New Roman" w:hAnsi="Times New Roman" w:eastAsia="Times New Roman"/>
          <w:b w:val="0"/>
          <w:i w:val="0"/>
          <w:sz w:val="24"/>
        </w:rPr>
        <w:t>If no: stop, thank the participant, destroy any partial file.</w:t>
      </w:r>
    </w:p>
    <w:p>
      <w:pPr>
        <w:spacing w:after="160" w:before="240" w:line="480" w:lineRule="auto"/>
      </w:pPr>
      <w:r>
        <w:rPr>
          <w:rFonts w:ascii="Times New Roman" w:hAnsi="Times New Roman" w:eastAsia="Times New Roman"/>
          <w:b/>
          <w:i w:val="0"/>
          <w:color w:val="1F3A5F"/>
          <w:sz w:val="24"/>
        </w:rPr>
        <w:t>2.3 Minutes 3–18: Critical-incident opening (PQ1)</w:t>
      </w:r>
    </w:p>
    <w:p>
      <w:pPr>
        <w:spacing w:after="120" w:before="0" w:line="480" w:lineRule="auto"/>
      </w:pPr>
      <w:r>
        <w:rPr>
          <w:rFonts w:ascii="Times New Roman" w:hAnsi="Times New Roman" w:eastAsia="Times New Roman"/>
          <w:b/>
          <w:i w:val="0"/>
          <w:sz w:val="24"/>
        </w:rPr>
        <w:t>Q0 (required).</w:t>
      </w:r>
    </w:p>
    <w:p>
      <w:pPr>
        <w:spacing w:after="160" w:before="80" w:line="480" w:lineRule="auto"/>
        <w:ind w:left="720"/>
      </w:pPr>
      <w:r>
        <w:rPr>
          <w:rFonts w:ascii="Times New Roman" w:hAnsi="Times New Roman" w:eastAsia="Times New Roman"/>
          <w:b w:val="0"/>
          <w:i/>
          <w:sz w:val="24"/>
        </w:rPr>
        <w:t>Please walk me through one specific disruption, failover, recovery test, or operational recovery in the last 36 months where you used an external recovery platform or managed recovery service. Start wherever the event became your problem, and tell me what happened in as much detail as you can.</w:t>
      </w:r>
    </w:p>
    <w:p>
      <w:pPr>
        <w:spacing w:after="120" w:before="0" w:line="480" w:lineRule="auto"/>
      </w:pPr>
      <w:r>
        <w:rPr>
          <w:rFonts w:ascii="Times New Roman" w:hAnsi="Times New Roman" w:eastAsia="Times New Roman"/>
          <w:b/>
          <w:i w:val="0"/>
          <w:sz w:val="24"/>
        </w:rPr>
        <w:t>Decision rules (</w:t>
      </w:r>
      <w:r>
        <w:rPr>
          <w:rFonts w:ascii="Times New Roman" w:hAnsi="Times New Roman" w:eastAsia="Times New Roman"/>
          <w:b w:val="0"/>
          <w:i w:val="0"/>
          <w:sz w:val="24"/>
        </w:rPr>
        <w:t>NEW</w:t>
      </w:r>
      <w:r>
        <w:rPr>
          <w:rFonts w:ascii="Times New Roman" w:hAnsi="Times New Roman" w:eastAsia="Times New Roman"/>
          <w:b/>
          <w:i w:val="0"/>
          <w:sz w:val="24"/>
        </w:rPr>
        <w:t>).</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before="40" w:line="240" w:lineRule="auto"/>
            </w:pPr>
            <w:r/>
            <w:r>
              <w:rPr>
                <w:rFonts w:ascii="Times New Roman" w:hAnsi="Times New Roman" w:eastAsia="Times New Roman"/>
                <w:b/>
                <w:i w:val="0"/>
                <w:sz w:val="20"/>
              </w:rPr>
              <w:t>If the participant…</w:t>
            </w:r>
          </w:p>
        </w:tc>
        <w:tc>
          <w:tcPr>
            <w:tcW w:type="dxa" w:w="4680"/>
          </w:tcPr>
          <w:p>
            <w:pPr>
              <w:spacing w:after="40" w:before="40" w:line="240" w:lineRule="auto"/>
            </w:pPr>
            <w:r/>
            <w:r>
              <w:rPr>
                <w:rFonts w:ascii="Times New Roman" w:hAnsi="Times New Roman" w:eastAsia="Times New Roman"/>
                <w:b/>
                <w:i w:val="0"/>
                <w:sz w:val="20"/>
              </w:rPr>
              <w:t>Researcher does this</w:t>
            </w:r>
          </w:p>
        </w:tc>
      </w:tr>
      <w:tr>
        <w:tc>
          <w:tcPr>
            <w:tcW w:type="dxa" w:w="4680"/>
          </w:tcPr>
          <w:p>
            <w:pPr>
              <w:spacing w:after="40" w:before="40" w:line="240" w:lineRule="auto"/>
            </w:pPr>
            <w:r/>
            <w:r>
              <w:rPr>
                <w:rFonts w:ascii="Times New Roman" w:hAnsi="Times New Roman" w:eastAsia="Times New Roman"/>
                <w:b w:val="0"/>
                <w:i w:val="0"/>
                <w:sz w:val="20"/>
              </w:rPr>
              <w:t>Stays with “how we usually recover”</w:t>
            </w:r>
          </w:p>
        </w:tc>
        <w:tc>
          <w:tcPr>
            <w:tcW w:type="dxa" w:w="4680"/>
          </w:tcPr>
          <w:p>
            <w:pPr>
              <w:spacing w:after="40" w:before="40" w:line="240" w:lineRule="auto"/>
            </w:pPr>
            <w:r/>
            <w:r>
              <w:rPr>
                <w:rFonts w:ascii="Times New Roman" w:hAnsi="Times New Roman" w:eastAsia="Times New Roman"/>
                <w:i/>
                <w:sz w:val="20"/>
              </w:rPr>
              <w:t>If you can, stay with that one event rather than with how recovery usually works.</w:t>
            </w:r>
          </w:p>
        </w:tc>
      </w:tr>
      <w:tr>
        <w:tc>
          <w:tcPr>
            <w:tcW w:type="dxa" w:w="4680"/>
          </w:tcPr>
          <w:p>
            <w:pPr>
              <w:spacing w:after="40" w:before="40" w:line="240" w:lineRule="auto"/>
            </w:pPr>
            <w:r/>
            <w:r>
              <w:rPr>
                <w:rFonts w:ascii="Times New Roman" w:hAnsi="Times New Roman" w:eastAsia="Times New Roman"/>
                <w:b w:val="0"/>
                <w:i w:val="0"/>
                <w:sz w:val="20"/>
              </w:rPr>
              <w:t>Names several events</w:t>
            </w:r>
          </w:p>
        </w:tc>
        <w:tc>
          <w:tcPr>
            <w:tcW w:type="dxa" w:w="4680"/>
          </w:tcPr>
          <w:p>
            <w:pPr>
              <w:spacing w:after="40" w:before="40" w:line="240" w:lineRule="auto"/>
            </w:pPr>
            <w:r/>
            <w:r>
              <w:rPr>
                <w:rFonts w:ascii="Times New Roman" w:hAnsi="Times New Roman" w:eastAsia="Times New Roman"/>
                <w:i/>
                <w:sz w:val="20"/>
              </w:rPr>
              <w:t>Which one is the most vivid, or the one where the recovery decision was hardest? Let’s stay with that one.</w:t>
            </w:r>
          </w:p>
        </w:tc>
      </w:tr>
      <w:tr>
        <w:tc>
          <w:tcPr>
            <w:tcW w:type="dxa" w:w="4680"/>
          </w:tcPr>
          <w:p>
            <w:pPr>
              <w:spacing w:after="40" w:before="40" w:line="240" w:lineRule="auto"/>
            </w:pPr>
            <w:r/>
            <w:r>
              <w:rPr>
                <w:rFonts w:ascii="Times New Roman" w:hAnsi="Times New Roman" w:eastAsia="Times New Roman"/>
                <w:b w:val="0"/>
                <w:i w:val="0"/>
                <w:sz w:val="20"/>
              </w:rPr>
              <w:t>Cannot name any event in 36 months</w:t>
            </w:r>
          </w:p>
        </w:tc>
        <w:tc>
          <w:tcPr>
            <w:tcW w:type="dxa" w:w="4680"/>
          </w:tcPr>
          <w:p>
            <w:pPr>
              <w:spacing w:after="40" w:before="40" w:line="240" w:lineRule="auto"/>
            </w:pPr>
            <w:r/>
            <w:r>
              <w:rPr>
                <w:rFonts w:ascii="Times New Roman" w:hAnsi="Times New Roman" w:eastAsia="Times New Roman"/>
                <w:b w:val="0"/>
                <w:i w:val="0"/>
                <w:sz w:val="20"/>
              </w:rPr>
              <w:t>Stop. The case fails inclusion. Thank and close.</w:t>
            </w:r>
          </w:p>
        </w:tc>
      </w:tr>
      <w:tr>
        <w:tc>
          <w:tcPr>
            <w:tcW w:type="dxa" w:w="4680"/>
          </w:tcPr>
          <w:p>
            <w:pPr>
              <w:spacing w:after="40" w:before="40" w:line="240" w:lineRule="auto"/>
            </w:pPr>
            <w:r/>
            <w:r>
              <w:rPr>
                <w:rFonts w:ascii="Times New Roman" w:hAnsi="Times New Roman" w:eastAsia="Times New Roman"/>
                <w:b w:val="0"/>
                <w:i w:val="0"/>
                <w:sz w:val="20"/>
              </w:rPr>
              <w:t>Gives a thin timeline</w:t>
            </w:r>
          </w:p>
        </w:tc>
        <w:tc>
          <w:tcPr>
            <w:tcW w:type="dxa" w:w="4680"/>
          </w:tcPr>
          <w:p>
            <w:pPr>
              <w:spacing w:after="40" w:before="40" w:line="240" w:lineRule="auto"/>
            </w:pPr>
            <w:r/>
            <w:r>
              <w:rPr>
                <w:rFonts w:ascii="Times New Roman" w:hAnsi="Times New Roman" w:eastAsia="Times New Roman"/>
                <w:i/>
                <w:sz w:val="20"/>
              </w:rPr>
              <w:t>What happened first? What did you do next? Who else was in that conversation?</w:t>
            </w:r>
          </w:p>
        </w:tc>
      </w:tr>
      <w:tr>
        <w:tc>
          <w:tcPr>
            <w:tcW w:type="dxa" w:w="4680"/>
          </w:tcPr>
          <w:p>
            <w:pPr>
              <w:spacing w:after="40" w:before="40" w:line="240" w:lineRule="auto"/>
            </w:pPr>
            <w:r/>
            <w:r>
              <w:rPr>
                <w:rFonts w:ascii="Times New Roman" w:hAnsi="Times New Roman" w:eastAsia="Times New Roman"/>
                <w:b w:val="0"/>
                <w:i w:val="0"/>
                <w:sz w:val="20"/>
              </w:rPr>
              <w:t>Becomes distressed</w:t>
            </w:r>
          </w:p>
        </w:tc>
        <w:tc>
          <w:tcPr>
            <w:tcW w:type="dxa" w:w="4680"/>
          </w:tcPr>
          <w:p>
            <w:pPr>
              <w:spacing w:after="40" w:before="40" w:line="240" w:lineRule="auto"/>
            </w:pPr>
            <w:r/>
            <w:r>
              <w:rPr>
                <w:rFonts w:ascii="Times New Roman" w:hAnsi="Times New Roman" w:eastAsia="Times New Roman"/>
                <w:b w:val="0"/>
                <w:i w:val="0"/>
                <w:sz w:val="20"/>
              </w:rPr>
              <w:t>Pause. Offer to skip or stop. Do not press for graphic incident detail.</w:t>
            </w:r>
          </w:p>
        </w:tc>
      </w:tr>
    </w:tbl>
    <w:p/>
    <w:p>
      <w:pPr>
        <w:spacing w:after="120" w:before="0" w:line="480" w:lineRule="auto"/>
      </w:pPr>
      <w:r>
        <w:rPr>
          <w:rFonts w:ascii="Times New Roman" w:hAnsi="Times New Roman" w:eastAsia="Times New Roman"/>
          <w:b w:val="0"/>
          <w:i w:val="0"/>
          <w:sz w:val="24"/>
        </w:rPr>
        <w:t>Do not introduce power, legitimacy, urgency, or proof in Q0. Let the story run.</w:t>
      </w:r>
    </w:p>
    <w:p>
      <w:pPr>
        <w:spacing w:after="160" w:before="240" w:line="480" w:lineRule="auto"/>
      </w:pPr>
      <w:r>
        <w:rPr>
          <w:rFonts w:ascii="Times New Roman" w:hAnsi="Times New Roman" w:eastAsia="Times New Roman"/>
          <w:b/>
          <w:i w:val="0"/>
          <w:color w:val="1F3A5F"/>
          <w:sz w:val="24"/>
        </w:rPr>
        <w:t>2.4 Minutes 18–55: Topical guiding questions (only if the story did not already cover the construct)</w:t>
      </w:r>
    </w:p>
    <w:p>
      <w:pPr>
        <w:spacing w:after="120" w:before="0" w:line="480" w:lineRule="auto"/>
      </w:pPr>
      <w:r>
        <w:rPr>
          <w:rFonts w:ascii="Times New Roman" w:hAnsi="Times New Roman" w:eastAsia="Times New Roman"/>
          <w:b w:val="0"/>
          <w:i w:val="0"/>
          <w:sz w:val="24"/>
        </w:rPr>
        <w:t>Ask in this order. Skip a set if the incident narrative already answered it with a concrete example. After a skip, record “covered in Q0” on the construct checklist (Section 2.6).</w:t>
      </w:r>
    </w:p>
    <w:p>
      <w:pPr>
        <w:spacing w:after="160" w:before="240" w:line="480" w:lineRule="auto"/>
      </w:pPr>
      <w:r>
        <w:rPr>
          <w:rFonts w:ascii="Times New Roman" w:hAnsi="Times New Roman" w:eastAsia="Times New Roman"/>
          <w:b/>
          <w:i w:val="0"/>
          <w:color w:val="9A3412"/>
          <w:sz w:val="24"/>
        </w:rPr>
        <w:t xml:space="preserve">Set A — Power (PQ1) </w:t>
      </w:r>
      <w:r>
        <w:rPr>
          <w:rFonts w:ascii="Times New Roman" w:hAnsi="Times New Roman" w:eastAsia="Times New Roman"/>
          <w:b/>
          <w:i w:val="0"/>
          <w:color w:val="9A3412"/>
          <w:sz w:val="24"/>
        </w:rPr>
        <w:t>NEW</w:t>
      </w:r>
    </w:p>
    <w:p>
      <w:pPr>
        <w:pStyle w:val="ListBullet"/>
        <w:spacing w:line="480" w:lineRule="auto"/>
      </w:pPr>
      <w:r>
        <w:rPr>
          <w:rFonts w:ascii="Times New Roman" w:hAnsi="Times New Roman" w:eastAsia="Times New Roman"/>
          <w:b w:val="0"/>
          <w:i w:val="0"/>
          <w:sz w:val="24"/>
        </w:rPr>
        <w:t xml:space="preserve">A1. </w:t>
      </w:r>
      <w:r>
        <w:rPr>
          <w:rFonts w:ascii="Times New Roman" w:hAnsi="Times New Roman" w:eastAsia="Times New Roman"/>
          <w:i/>
          <w:sz w:val="24"/>
        </w:rPr>
        <w:t>In that event, whose request or pressure most affected what got restored first?</w:t>
      </w:r>
    </w:p>
    <w:p>
      <w:pPr>
        <w:pStyle w:val="ListBullet"/>
        <w:spacing w:line="480" w:lineRule="auto"/>
      </w:pPr>
      <w:r>
        <w:rPr>
          <w:rFonts w:ascii="Times New Roman" w:hAnsi="Times New Roman" w:eastAsia="Times New Roman"/>
          <w:b w:val="0"/>
          <w:i w:val="0"/>
          <w:sz w:val="24"/>
        </w:rPr>
        <w:t xml:space="preserve">A2. </w:t>
      </w:r>
      <w:r>
        <w:rPr>
          <w:rFonts w:ascii="Times New Roman" w:hAnsi="Times New Roman" w:eastAsia="Times New Roman"/>
          <w:i/>
          <w:sz w:val="24"/>
        </w:rPr>
        <w:t>Was there anyone who could delay, override, or stop a recovery action you thought was right?</w:t>
      </w:r>
    </w:p>
    <w:p>
      <w:pPr>
        <w:pStyle w:val="ListBullet"/>
        <w:spacing w:line="480" w:lineRule="auto"/>
      </w:pPr>
      <w:r>
        <w:rPr>
          <w:rFonts w:ascii="Times New Roman" w:hAnsi="Times New Roman" w:eastAsia="Times New Roman"/>
          <w:b w:val="0"/>
          <w:i w:val="0"/>
          <w:sz w:val="24"/>
        </w:rPr>
        <w:t xml:space="preserve">A3. </w:t>
      </w:r>
      <w:r>
        <w:rPr>
          <w:rFonts w:ascii="Times New Roman" w:hAnsi="Times New Roman" w:eastAsia="Times New Roman"/>
          <w:i/>
          <w:sz w:val="24"/>
        </w:rPr>
        <w:t>If that pressure had not been there, what would you have done differently?</w:t>
      </w:r>
    </w:p>
    <w:p>
      <w:pPr>
        <w:spacing w:after="160" w:before="240" w:line="480" w:lineRule="auto"/>
      </w:pPr>
      <w:r>
        <w:rPr>
          <w:rFonts w:ascii="Times New Roman" w:hAnsi="Times New Roman" w:eastAsia="Times New Roman"/>
          <w:b/>
          <w:i w:val="0"/>
          <w:color w:val="9A3412"/>
          <w:sz w:val="24"/>
        </w:rPr>
        <w:t xml:space="preserve">Set B — Legitimacy (PQ1) </w:t>
      </w:r>
      <w:r>
        <w:rPr>
          <w:rFonts w:ascii="Times New Roman" w:hAnsi="Times New Roman" w:eastAsia="Times New Roman"/>
          <w:b/>
          <w:i w:val="0"/>
          <w:color w:val="9A3412"/>
          <w:sz w:val="24"/>
        </w:rPr>
        <w:t>NEW</w:t>
      </w:r>
    </w:p>
    <w:p>
      <w:pPr>
        <w:pStyle w:val="ListBullet"/>
        <w:spacing w:line="480" w:lineRule="auto"/>
      </w:pPr>
      <w:r>
        <w:rPr>
          <w:rFonts w:ascii="Times New Roman" w:hAnsi="Times New Roman" w:eastAsia="Times New Roman"/>
          <w:b w:val="0"/>
          <w:i w:val="0"/>
          <w:sz w:val="24"/>
        </w:rPr>
        <w:t xml:space="preserve">B1. </w:t>
      </w:r>
      <w:r>
        <w:rPr>
          <w:rFonts w:ascii="Times New Roman" w:hAnsi="Times New Roman" w:eastAsia="Times New Roman"/>
          <w:i/>
          <w:sz w:val="24"/>
        </w:rPr>
        <w:t>Whose claim to a service or a recovery order did people treat as legitimate — as “they have a right to ask for this”?</w:t>
      </w:r>
    </w:p>
    <w:p>
      <w:pPr>
        <w:pStyle w:val="ListBullet"/>
        <w:spacing w:line="480" w:lineRule="auto"/>
      </w:pPr>
      <w:r>
        <w:rPr>
          <w:rFonts w:ascii="Times New Roman" w:hAnsi="Times New Roman" w:eastAsia="Times New Roman"/>
          <w:b w:val="0"/>
          <w:i w:val="0"/>
          <w:sz w:val="24"/>
        </w:rPr>
        <w:t xml:space="preserve">B2. </w:t>
      </w:r>
      <w:r>
        <w:rPr>
          <w:rFonts w:ascii="Times New Roman" w:hAnsi="Times New Roman" w:eastAsia="Times New Roman"/>
          <w:i/>
          <w:sz w:val="24"/>
        </w:rPr>
        <w:t>Was anyone’s request treated as out of line or outside their role? What happened then?</w:t>
      </w:r>
    </w:p>
    <w:p>
      <w:pPr>
        <w:spacing w:after="120" w:before="0" w:line="480" w:lineRule="auto"/>
      </w:pPr>
      <w:r>
        <w:rPr>
          <w:rFonts w:ascii="Times New Roman" w:hAnsi="Times New Roman" w:eastAsia="Times New Roman"/>
          <w:b w:val="0"/>
          <w:i w:val="0"/>
          <w:sz w:val="24"/>
        </w:rPr>
        <w:t>Do not ask “Did you experience a legitimacy problem?” That hides an assumption.</w:t>
      </w:r>
    </w:p>
    <w:p>
      <w:pPr>
        <w:spacing w:after="160" w:before="240" w:line="480" w:lineRule="auto"/>
      </w:pPr>
      <w:r>
        <w:rPr>
          <w:rFonts w:ascii="Times New Roman" w:hAnsi="Times New Roman" w:eastAsia="Times New Roman"/>
          <w:b/>
          <w:i w:val="0"/>
          <w:color w:val="9A3412"/>
          <w:sz w:val="24"/>
        </w:rPr>
        <w:t xml:space="preserve">Set C — Urgency (PQ1) </w:t>
      </w:r>
      <w:r>
        <w:rPr>
          <w:rFonts w:ascii="Times New Roman" w:hAnsi="Times New Roman" w:eastAsia="Times New Roman"/>
          <w:b/>
          <w:i w:val="0"/>
          <w:color w:val="9A3412"/>
          <w:sz w:val="24"/>
        </w:rPr>
        <w:t>NEW</w:t>
      </w:r>
    </w:p>
    <w:p>
      <w:pPr>
        <w:pStyle w:val="ListBullet"/>
        <w:spacing w:line="480" w:lineRule="auto"/>
      </w:pPr>
      <w:r>
        <w:rPr>
          <w:rFonts w:ascii="Times New Roman" w:hAnsi="Times New Roman" w:eastAsia="Times New Roman"/>
          <w:b w:val="0"/>
          <w:i w:val="0"/>
          <w:sz w:val="24"/>
        </w:rPr>
        <w:t xml:space="preserve">C1. </w:t>
      </w:r>
      <w:r>
        <w:rPr>
          <w:rFonts w:ascii="Times New Roman" w:hAnsi="Times New Roman" w:eastAsia="Times New Roman"/>
          <w:i/>
          <w:sz w:val="24"/>
        </w:rPr>
        <w:t>What made one service or one stakeholder more time-critical than another in that event?</w:t>
      </w:r>
    </w:p>
    <w:p>
      <w:pPr>
        <w:pStyle w:val="ListBullet"/>
        <w:spacing w:line="480" w:lineRule="auto"/>
      </w:pPr>
      <w:r>
        <w:rPr>
          <w:rFonts w:ascii="Times New Roman" w:hAnsi="Times New Roman" w:eastAsia="Times New Roman"/>
          <w:b w:val="0"/>
          <w:i w:val="0"/>
          <w:sz w:val="24"/>
        </w:rPr>
        <w:t xml:space="preserve">C2. </w:t>
      </w:r>
      <w:r>
        <w:rPr>
          <w:rFonts w:ascii="Times New Roman" w:hAnsi="Times New Roman" w:eastAsia="Times New Roman"/>
          <w:i/>
          <w:sz w:val="24"/>
        </w:rPr>
        <w:t>Did that sense of urgency change while you were working the incident? What changed it?</w:t>
      </w:r>
    </w:p>
    <w:p>
      <w:pPr>
        <w:spacing w:after="160" w:before="240" w:line="480" w:lineRule="auto"/>
      </w:pPr>
      <w:r>
        <w:rPr>
          <w:rFonts w:ascii="Times New Roman" w:hAnsi="Times New Roman" w:eastAsia="Times New Roman"/>
          <w:b/>
          <w:i w:val="0"/>
          <w:color w:val="9A3412"/>
          <w:sz w:val="24"/>
        </w:rPr>
        <w:t xml:space="preserve">Set D — Decision rights (PQ2) </w:t>
      </w:r>
      <w:r>
        <w:rPr>
          <w:rFonts w:ascii="Times New Roman" w:hAnsi="Times New Roman" w:eastAsia="Times New Roman"/>
          <w:b/>
          <w:i w:val="0"/>
          <w:color w:val="9A3412"/>
          <w:sz w:val="24"/>
        </w:rPr>
        <w:t>NEW</w:t>
      </w:r>
    </w:p>
    <w:p>
      <w:pPr>
        <w:pStyle w:val="ListBullet"/>
        <w:spacing w:line="480" w:lineRule="auto"/>
      </w:pPr>
      <w:r>
        <w:rPr>
          <w:rFonts w:ascii="Times New Roman" w:hAnsi="Times New Roman" w:eastAsia="Times New Roman"/>
          <w:b w:val="0"/>
          <w:i w:val="0"/>
          <w:sz w:val="24"/>
        </w:rPr>
        <w:t xml:space="preserve">D1. </w:t>
      </w:r>
      <w:r>
        <w:rPr>
          <w:rFonts w:ascii="Times New Roman" w:hAnsi="Times New Roman" w:eastAsia="Times New Roman"/>
          <w:i/>
          <w:sz w:val="24"/>
        </w:rPr>
        <w:t>Who was supposed to make the call on that tradeoff, and who actually made it?</w:t>
      </w:r>
    </w:p>
    <w:p>
      <w:pPr>
        <w:pStyle w:val="ListBullet"/>
        <w:spacing w:line="480" w:lineRule="auto"/>
      </w:pPr>
      <w:r>
        <w:rPr>
          <w:rFonts w:ascii="Times New Roman" w:hAnsi="Times New Roman" w:eastAsia="Times New Roman"/>
          <w:b w:val="0"/>
          <w:i w:val="0"/>
          <w:sz w:val="24"/>
        </w:rPr>
        <w:t xml:space="preserve">D2. </w:t>
      </w:r>
      <w:r>
        <w:rPr>
          <w:rFonts w:ascii="Times New Roman" w:hAnsi="Times New Roman" w:eastAsia="Times New Roman"/>
          <w:i/>
          <w:sz w:val="24"/>
        </w:rPr>
        <w:t>Was there a moment when you needed authority you did not have? What did you do?</w:t>
      </w:r>
    </w:p>
    <w:p>
      <w:pPr>
        <w:spacing w:after="160" w:before="240" w:line="480" w:lineRule="auto"/>
      </w:pPr>
      <w:r>
        <w:rPr>
          <w:rFonts w:ascii="Times New Roman" w:hAnsi="Times New Roman" w:eastAsia="Times New Roman"/>
          <w:b/>
          <w:i w:val="0"/>
          <w:color w:val="9A3412"/>
          <w:sz w:val="24"/>
        </w:rPr>
        <w:t xml:space="preserve">Set E — Escalation (PQ2) </w:t>
      </w:r>
      <w:r>
        <w:rPr>
          <w:rFonts w:ascii="Times New Roman" w:hAnsi="Times New Roman" w:eastAsia="Times New Roman"/>
          <w:b/>
          <w:i w:val="0"/>
          <w:color w:val="9A3412"/>
          <w:sz w:val="24"/>
        </w:rPr>
        <w:t>NEW</w:t>
      </w:r>
    </w:p>
    <w:p>
      <w:pPr>
        <w:pStyle w:val="ListBullet"/>
        <w:spacing w:line="480" w:lineRule="auto"/>
      </w:pPr>
      <w:r>
        <w:rPr>
          <w:rFonts w:ascii="Times New Roman" w:hAnsi="Times New Roman" w:eastAsia="Times New Roman"/>
          <w:b w:val="0"/>
          <w:i w:val="0"/>
          <w:sz w:val="24"/>
        </w:rPr>
        <w:t xml:space="preserve">E1. </w:t>
      </w:r>
      <w:r>
        <w:rPr>
          <w:rFonts w:ascii="Times New Roman" w:hAnsi="Times New Roman" w:eastAsia="Times New Roman"/>
          <w:i/>
          <w:sz w:val="24"/>
        </w:rPr>
        <w:t>What, if anything, triggered an escalation?</w:t>
      </w:r>
    </w:p>
    <w:p>
      <w:pPr>
        <w:pStyle w:val="ListBullet"/>
        <w:spacing w:line="480" w:lineRule="auto"/>
      </w:pPr>
      <w:r>
        <w:rPr>
          <w:rFonts w:ascii="Times New Roman" w:hAnsi="Times New Roman" w:eastAsia="Times New Roman"/>
          <w:b w:val="0"/>
          <w:i w:val="0"/>
          <w:sz w:val="24"/>
        </w:rPr>
        <w:t xml:space="preserve">E2. </w:t>
      </w:r>
      <w:r>
        <w:rPr>
          <w:rFonts w:ascii="Times New Roman" w:hAnsi="Times New Roman" w:eastAsia="Times New Roman"/>
          <w:i/>
          <w:sz w:val="24"/>
        </w:rPr>
        <w:t>Did escalation speed the restoration, slow it, or change what “done” meant?</w:t>
      </w:r>
    </w:p>
    <w:p>
      <w:pPr>
        <w:spacing w:after="120" w:before="0" w:line="480" w:lineRule="auto"/>
      </w:pPr>
      <w:r>
        <w:rPr>
          <w:rFonts w:ascii="Times New Roman" w:hAnsi="Times New Roman" w:eastAsia="Times New Roman"/>
          <w:b w:val="0"/>
          <w:i w:val="0"/>
          <w:sz w:val="24"/>
        </w:rPr>
        <w:t xml:space="preserve">If the participant says nothing was escalated, that is a </w:t>
      </w:r>
      <w:r>
        <w:rPr>
          <w:rFonts w:ascii="Times New Roman" w:hAnsi="Times New Roman" w:eastAsia="Times New Roman"/>
          <w:b/>
          <w:i w:val="0"/>
          <w:sz w:val="24"/>
        </w:rPr>
        <w:t>boundary case</w:t>
      </w:r>
      <w:r>
        <w:rPr>
          <w:rFonts w:ascii="Times New Roman" w:hAnsi="Times New Roman" w:eastAsia="Times New Roman"/>
          <w:b w:val="0"/>
          <w:i w:val="0"/>
          <w:sz w:val="24"/>
        </w:rPr>
        <w:t>, not a failed interview. Record it.</w:t>
      </w:r>
    </w:p>
    <w:p>
      <w:pPr>
        <w:spacing w:after="160" w:before="240" w:line="480" w:lineRule="auto"/>
      </w:pPr>
      <w:r>
        <w:rPr>
          <w:rFonts w:ascii="Times New Roman" w:hAnsi="Times New Roman" w:eastAsia="Times New Roman"/>
          <w:b/>
          <w:i w:val="0"/>
          <w:color w:val="9A3412"/>
          <w:sz w:val="24"/>
        </w:rPr>
        <w:t xml:space="preserve">Set F — Evidentiary standards and recoverability assurance (PQ2) </w:t>
      </w:r>
      <w:r>
        <w:rPr>
          <w:rFonts w:ascii="Times New Roman" w:hAnsi="Times New Roman" w:eastAsia="Times New Roman"/>
          <w:b/>
          <w:i w:val="0"/>
          <w:color w:val="9A3412"/>
          <w:sz w:val="24"/>
        </w:rPr>
        <w:t>NEW</w:t>
      </w:r>
    </w:p>
    <w:p>
      <w:pPr>
        <w:pStyle w:val="ListBullet"/>
        <w:spacing w:line="480" w:lineRule="auto"/>
      </w:pPr>
      <w:r>
        <w:rPr>
          <w:rFonts w:ascii="Times New Roman" w:hAnsi="Times New Roman" w:eastAsia="Times New Roman"/>
          <w:b w:val="0"/>
          <w:i w:val="0"/>
          <w:sz w:val="24"/>
        </w:rPr>
        <w:t xml:space="preserve">F1. </w:t>
      </w:r>
      <w:r>
        <w:rPr>
          <w:rFonts w:ascii="Times New Roman" w:hAnsi="Times New Roman" w:eastAsia="Times New Roman"/>
          <w:i/>
          <w:sz w:val="24"/>
        </w:rPr>
        <w:t>When you told others the service was recovered, what did you treat as enough proof?</w:t>
      </w:r>
    </w:p>
    <w:p>
      <w:pPr>
        <w:pStyle w:val="ListBullet"/>
        <w:spacing w:line="480" w:lineRule="auto"/>
      </w:pPr>
      <w:r>
        <w:rPr>
          <w:rFonts w:ascii="Times New Roman" w:hAnsi="Times New Roman" w:eastAsia="Times New Roman"/>
          <w:b w:val="0"/>
          <w:i w:val="0"/>
          <w:sz w:val="24"/>
        </w:rPr>
        <w:t xml:space="preserve">F2. </w:t>
      </w:r>
      <w:r>
        <w:rPr>
          <w:rFonts w:ascii="Times New Roman" w:hAnsi="Times New Roman" w:eastAsia="Times New Roman"/>
          <w:i/>
          <w:sz w:val="24"/>
        </w:rPr>
        <w:t>Did anyone ask for different proof mid-incident? What did you do?</w:t>
      </w:r>
    </w:p>
    <w:p>
      <w:pPr>
        <w:pStyle w:val="ListBullet"/>
        <w:spacing w:line="480" w:lineRule="auto"/>
      </w:pPr>
      <w:r>
        <w:rPr>
          <w:rFonts w:ascii="Times New Roman" w:hAnsi="Times New Roman" w:eastAsia="Times New Roman"/>
          <w:b w:val="0"/>
          <w:i w:val="0"/>
          <w:sz w:val="24"/>
        </w:rPr>
        <w:t xml:space="preserve">F3. </w:t>
      </w:r>
      <w:r>
        <w:rPr>
          <w:rFonts w:ascii="Times New Roman" w:hAnsi="Times New Roman" w:eastAsia="Times New Roman"/>
          <w:i/>
          <w:sz w:val="24"/>
        </w:rPr>
        <w:t>Looking back, what would you point to — a log, a test, an approval, a ticket — if you had to defend that restoration?</w:t>
      </w:r>
    </w:p>
    <w:p>
      <w:pPr>
        <w:spacing w:after="120" w:before="0" w:line="480" w:lineRule="auto"/>
      </w:pPr>
      <w:r>
        <w:rPr>
          <w:rFonts w:ascii="Times New Roman" w:hAnsi="Times New Roman" w:eastAsia="Times New Roman"/>
          <w:b w:val="0"/>
          <w:i w:val="0"/>
          <w:sz w:val="24"/>
        </w:rPr>
        <w:t>If F3 names an artifact, open the artifact pipeline immediately (Section 3.1). Do not wait until the end if the artifact is central to the story.</w:t>
      </w:r>
    </w:p>
    <w:p>
      <w:pPr>
        <w:spacing w:after="160" w:before="240" w:line="480" w:lineRule="auto"/>
      </w:pPr>
      <w:r>
        <w:rPr>
          <w:rFonts w:ascii="Times New Roman" w:hAnsi="Times New Roman" w:eastAsia="Times New Roman"/>
          <w:b/>
          <w:i w:val="0"/>
          <w:color w:val="9A3412"/>
          <w:sz w:val="24"/>
        </w:rPr>
        <w:t>2.5 Minutes 55–70: Close and artifact request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w:t>
      </w:r>
    </w:p>
    <w:p>
      <w:pPr>
        <w:spacing w:after="120" w:before="0" w:line="480" w:lineRule="auto"/>
      </w:pPr>
      <w:r>
        <w:rPr>
          <w:rFonts w:ascii="Times New Roman" w:hAnsi="Times New Roman" w:eastAsia="Times New Roman"/>
          <w:b/>
          <w:i w:val="0"/>
          <w:sz w:val="24"/>
        </w:rPr>
        <w:t>Q-close.</w:t>
      </w:r>
    </w:p>
    <w:p>
      <w:pPr>
        <w:spacing w:after="160" w:before="80" w:line="480" w:lineRule="auto"/>
        <w:ind w:left="720"/>
      </w:pPr>
      <w:r>
        <w:rPr>
          <w:rFonts w:ascii="Times New Roman" w:hAnsi="Times New Roman" w:eastAsia="Times New Roman"/>
          <w:b w:val="0"/>
          <w:i/>
          <w:sz w:val="24"/>
        </w:rPr>
        <w:t>Is there anything about who had to be convinced, and with what, that I have not asked about?</w:t>
      </w:r>
    </w:p>
    <w:p>
      <w:pPr>
        <w:spacing w:after="120" w:before="0" w:line="480" w:lineRule="auto"/>
      </w:pPr>
      <w:r>
        <w:rPr>
          <w:rFonts w:ascii="Times New Roman" w:hAnsi="Times New Roman" w:eastAsia="Times New Roman"/>
          <w:b w:val="0"/>
          <w:i w:val="0"/>
          <w:sz w:val="24"/>
        </w:rPr>
        <w:t>Then run the artifact request (Section 3.1). Then:</w:t>
      </w:r>
    </w:p>
    <w:p>
      <w:pPr>
        <w:spacing w:after="160" w:before="80" w:line="480" w:lineRule="auto"/>
        <w:ind w:left="720"/>
      </w:pPr>
      <w:r>
        <w:rPr>
          <w:rFonts w:ascii="Times New Roman" w:hAnsi="Times New Roman" w:eastAsia="Times New Roman"/>
          <w:b w:val="0"/>
          <w:i/>
          <w:sz w:val="24"/>
        </w:rPr>
        <w:t>I will send the de-identified transcript within ten days. You will have seven calendar days to mark factual corrections. Thank you.</w:t>
      </w:r>
    </w:p>
    <w:p>
      <w:pPr>
        <w:spacing w:after="160" w:before="240" w:line="480" w:lineRule="auto"/>
      </w:pPr>
      <w:r>
        <w:rPr>
          <w:rFonts w:ascii="Times New Roman" w:hAnsi="Times New Roman" w:eastAsia="Times New Roman"/>
          <w:b/>
          <w:i w:val="0"/>
          <w:color w:val="9A3412"/>
          <w:sz w:val="24"/>
        </w:rPr>
        <w:t>2.6 Flexible probes only (not new questions)</w:t>
      </w:r>
    </w:p>
    <w:p>
      <w:pPr>
        <w:pStyle w:val="ListBullet"/>
        <w:spacing w:line="480" w:lineRule="auto"/>
      </w:pPr>
      <w:r>
        <w:rPr>
          <w:rFonts w:ascii="Times New Roman" w:hAnsi="Times New Roman" w:eastAsia="Times New Roman"/>
          <w:i/>
          <w:sz w:val="24"/>
        </w:rPr>
        <w:t>What would be an example of that?</w:t>
      </w:r>
    </w:p>
    <w:p>
      <w:pPr>
        <w:pStyle w:val="ListBullet"/>
        <w:spacing w:line="480" w:lineRule="auto"/>
      </w:pPr>
      <w:r>
        <w:rPr>
          <w:rFonts w:ascii="Times New Roman" w:hAnsi="Times New Roman" w:eastAsia="Times New Roman"/>
          <w:i/>
          <w:sz w:val="24"/>
        </w:rPr>
        <w:t>Please say more about that moment.</w:t>
      </w:r>
    </w:p>
    <w:p>
      <w:pPr>
        <w:pStyle w:val="ListBullet"/>
        <w:spacing w:line="480" w:lineRule="auto"/>
      </w:pPr>
      <w:r>
        <w:rPr>
          <w:rFonts w:ascii="Times New Roman" w:hAnsi="Times New Roman" w:eastAsia="Times New Roman"/>
          <w:i/>
          <w:sz w:val="24"/>
        </w:rPr>
        <w:t>Who else was in that conversation?</w:t>
      </w:r>
    </w:p>
    <w:p>
      <w:pPr>
        <w:pStyle w:val="ListBullet"/>
        <w:spacing w:line="480" w:lineRule="auto"/>
      </w:pPr>
      <w:r>
        <w:rPr>
          <w:rFonts w:ascii="Times New Roman" w:hAnsi="Times New Roman" w:eastAsia="Times New Roman"/>
          <w:i/>
          <w:sz w:val="24"/>
        </w:rPr>
        <w:t>What did you do next?</w:t>
      </w:r>
    </w:p>
    <w:p>
      <w:pPr>
        <w:pStyle w:val="ListBullet"/>
        <w:spacing w:line="480" w:lineRule="auto"/>
      </w:pPr>
      <w:r>
        <w:rPr>
          <w:rFonts w:ascii="Times New Roman" w:hAnsi="Times New Roman" w:eastAsia="Times New Roman"/>
          <w:b w:val="0"/>
          <w:i w:val="0"/>
          <w:sz w:val="24"/>
        </w:rPr>
        <w:t xml:space="preserve">Silence, or </w:t>
      </w:r>
      <w:r>
        <w:rPr>
          <w:rFonts w:ascii="Times New Roman" w:hAnsi="Times New Roman" w:eastAsia="Times New Roman"/>
          <w:i/>
          <w:sz w:val="24"/>
        </w:rPr>
        <w:t>Mmm</w:t>
      </w:r>
      <w:r>
        <w:rPr>
          <w:rFonts w:ascii="Times New Roman" w:hAnsi="Times New Roman" w:eastAsia="Times New Roman"/>
          <w:b w:val="0"/>
          <w:i w:val="0"/>
          <w:sz w:val="24"/>
        </w:rPr>
        <w:t>, after a thin answer.</w:t>
      </w:r>
    </w:p>
    <w:p>
      <w:pPr>
        <w:spacing w:after="120" w:before="0" w:line="480" w:lineRule="auto"/>
      </w:pPr>
      <w:r>
        <w:rPr>
          <w:rFonts w:ascii="Times New Roman" w:hAnsi="Times New Roman" w:eastAsia="Times New Roman"/>
          <w:b w:val="0"/>
          <w:i w:val="0"/>
          <w:sz w:val="24"/>
        </w:rPr>
        <w:t>Do not offer forced choices (yes/no, “power or legitimacy,” “NIST or BCM”).</w:t>
      </w:r>
    </w:p>
    <w:p>
      <w:pPr>
        <w:spacing w:after="160" w:before="240" w:line="480" w:lineRule="auto"/>
      </w:pPr>
      <w:r>
        <w:rPr>
          <w:rFonts w:ascii="Times New Roman" w:hAnsi="Times New Roman" w:eastAsia="Times New Roman"/>
          <w:b/>
          <w:i w:val="0"/>
          <w:color w:val="9A3412"/>
          <w:sz w:val="24"/>
        </w:rPr>
        <w:t xml:space="preserve">2.7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Construct coverage checklist (complete during or immediately after the session)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before="40" w:line="240" w:lineRule="auto"/>
            </w:pPr>
            <w:r/>
            <w:r>
              <w:rPr>
                <w:rFonts w:ascii="Times New Roman" w:hAnsi="Times New Roman" w:eastAsia="Times New Roman"/>
                <w:b/>
                <w:i w:val="0"/>
                <w:sz w:val="20"/>
              </w:rPr>
              <w:t>Construct</w:t>
            </w:r>
          </w:p>
        </w:tc>
        <w:tc>
          <w:tcPr>
            <w:tcW w:type="dxa" w:w="1560"/>
          </w:tcPr>
          <w:p>
            <w:pPr>
              <w:spacing w:after="40" w:before="40" w:line="240" w:lineRule="auto"/>
            </w:pPr>
            <w:r/>
            <w:r>
              <w:rPr>
                <w:rFonts w:ascii="Times New Roman" w:hAnsi="Times New Roman" w:eastAsia="Times New Roman"/>
                <w:b/>
                <w:i w:val="0"/>
                <w:sz w:val="20"/>
              </w:rPr>
              <w:t>Covered in Q0?</w:t>
            </w:r>
          </w:p>
        </w:tc>
        <w:tc>
          <w:tcPr>
            <w:tcW w:type="dxa" w:w="1560"/>
          </w:tcPr>
          <w:p>
            <w:pPr>
              <w:spacing w:after="40" w:before="40" w:line="240" w:lineRule="auto"/>
            </w:pPr>
            <w:r/>
            <w:r>
              <w:rPr>
                <w:rFonts w:ascii="Times New Roman" w:hAnsi="Times New Roman" w:eastAsia="Times New Roman"/>
                <w:b/>
                <w:i w:val="0"/>
                <w:sz w:val="20"/>
              </w:rPr>
              <w:t>Set used</w:t>
            </w:r>
          </w:p>
        </w:tc>
        <w:tc>
          <w:tcPr>
            <w:tcW w:type="dxa" w:w="1560"/>
          </w:tcPr>
          <w:p>
            <w:pPr>
              <w:spacing w:after="40" w:before="40" w:line="240" w:lineRule="auto"/>
            </w:pPr>
            <w:r/>
            <w:r>
              <w:rPr>
                <w:rFonts w:ascii="Times New Roman" w:hAnsi="Times New Roman" w:eastAsia="Times New Roman"/>
                <w:b/>
                <w:i w:val="0"/>
                <w:sz w:val="20"/>
              </w:rPr>
              <w:t>Concrete example captured?</w:t>
            </w:r>
          </w:p>
        </w:tc>
        <w:tc>
          <w:tcPr>
            <w:tcW w:type="dxa" w:w="1560"/>
          </w:tcPr>
          <w:p>
            <w:pPr>
              <w:spacing w:after="40" w:before="40" w:line="240" w:lineRule="auto"/>
            </w:pPr>
            <w:r/>
            <w:r>
              <w:rPr>
                <w:rFonts w:ascii="Times New Roman" w:hAnsi="Times New Roman" w:eastAsia="Times New Roman"/>
                <w:b/>
                <w:i w:val="0"/>
                <w:sz w:val="20"/>
              </w:rPr>
              <w:t>Artifact named?</w:t>
            </w:r>
          </w:p>
        </w:tc>
        <w:tc>
          <w:tcPr>
            <w:tcW w:type="dxa" w:w="1560"/>
          </w:tcPr>
          <w:p>
            <w:pPr>
              <w:spacing w:after="40" w:before="40" w:line="240" w:lineRule="auto"/>
            </w:pPr>
            <w:r/>
            <w:r>
              <w:rPr>
                <w:rFonts w:ascii="Times New Roman" w:hAnsi="Times New Roman" w:eastAsia="Times New Roman"/>
                <w:b/>
                <w:i w:val="0"/>
                <w:sz w:val="20"/>
              </w:rPr>
              <w:t>Boundary / negative case?</w:t>
            </w:r>
          </w:p>
        </w:tc>
      </w:tr>
      <w:tr>
        <w:tc>
          <w:tcPr>
            <w:tcW w:type="dxa" w:w="1560"/>
          </w:tcPr>
          <w:p>
            <w:pPr>
              <w:spacing w:after="40" w:before="40" w:line="240" w:lineRule="auto"/>
            </w:pPr>
            <w:r/>
            <w:r>
              <w:rPr>
                <w:rFonts w:ascii="Times New Roman" w:hAnsi="Times New Roman" w:eastAsia="Times New Roman"/>
                <w:b w:val="0"/>
                <w:i w:val="0"/>
                <w:sz w:val="20"/>
              </w:rPr>
              <w:t>Power</w:t>
            </w:r>
          </w:p>
        </w:tc>
        <w:tc>
          <w:tcPr>
            <w:tcW w:type="dxa" w:w="1560"/>
          </w:tcPr>
          <w:p>
            <w:pPr>
              <w:spacing w:after="40" w:before="40" w:line="240" w:lineRule="auto"/>
            </w:pPr>
            <w:r/>
          </w:p>
        </w:tc>
        <w:tc>
          <w:tcPr>
            <w:tcW w:type="dxa" w:w="1560"/>
          </w:tcPr>
          <w:p>
            <w:pPr>
              <w:spacing w:after="40" w:before="40" w:line="240" w:lineRule="auto"/>
            </w:pPr>
            <w:r/>
            <w:r>
              <w:rPr>
                <w:rFonts w:ascii="Times New Roman" w:hAnsi="Times New Roman" w:eastAsia="Times New Roman"/>
                <w:b w:val="0"/>
                <w:i w:val="0"/>
                <w:sz w:val="20"/>
              </w:rPr>
              <w:t>A / skip</w:t>
            </w:r>
          </w:p>
        </w:tc>
        <w:tc>
          <w:tcPr>
            <w:tcW w:type="dxa" w:w="1560"/>
          </w:tcPr>
          <w:p>
            <w:pPr>
              <w:spacing w:after="40" w:before="40" w:line="240" w:lineRule="auto"/>
            </w:pPr>
            <w:r/>
            <w:r>
              <w:rPr>
                <w:rFonts w:ascii="Times New Roman" w:hAnsi="Times New Roman" w:eastAsia="Times New Roman"/>
                <w:b w:val="0"/>
                <w:i w:val="0"/>
                <w:sz w:val="20"/>
              </w:rPr>
              <w:t>Y/N</w:t>
            </w:r>
          </w:p>
        </w:tc>
        <w:tc>
          <w:tcPr>
            <w:tcW w:type="dxa" w:w="1560"/>
          </w:tcPr>
          <w:p>
            <w:pPr>
              <w:spacing w:after="40" w:before="40" w:line="240" w:lineRule="auto"/>
            </w:pPr>
            <w:r/>
            <w:r>
              <w:rPr>
                <w:rFonts w:ascii="Times New Roman" w:hAnsi="Times New Roman" w:eastAsia="Times New Roman"/>
                <w:b w:val="0"/>
                <w:i w:val="0"/>
                <w:sz w:val="20"/>
              </w:rPr>
              <w:t>Y/N</w:t>
            </w:r>
          </w:p>
        </w:tc>
        <w:tc>
          <w:tcPr>
            <w:tcW w:type="dxa" w:w="1560"/>
          </w:tcPr>
          <w:p>
            <w:pPr>
              <w:spacing w:after="40" w:before="40" w:line="240" w:lineRule="auto"/>
            </w:pPr>
            <w:r/>
          </w:p>
        </w:tc>
      </w:tr>
      <w:tr>
        <w:tc>
          <w:tcPr>
            <w:tcW w:type="dxa" w:w="1560"/>
          </w:tcPr>
          <w:p>
            <w:pPr>
              <w:spacing w:after="40" w:before="40" w:line="240" w:lineRule="auto"/>
            </w:pPr>
            <w:r/>
            <w:r>
              <w:rPr>
                <w:rFonts w:ascii="Times New Roman" w:hAnsi="Times New Roman" w:eastAsia="Times New Roman"/>
                <w:b w:val="0"/>
                <w:i w:val="0"/>
                <w:sz w:val="20"/>
              </w:rPr>
              <w:t>Legitimacy</w:t>
            </w:r>
          </w:p>
        </w:tc>
        <w:tc>
          <w:tcPr>
            <w:tcW w:type="dxa" w:w="1560"/>
          </w:tcPr>
          <w:p>
            <w:pPr>
              <w:spacing w:after="40" w:before="40" w:line="240" w:lineRule="auto"/>
            </w:pPr>
            <w:r/>
          </w:p>
        </w:tc>
        <w:tc>
          <w:tcPr>
            <w:tcW w:type="dxa" w:w="1560"/>
          </w:tcPr>
          <w:p>
            <w:pPr>
              <w:spacing w:after="40" w:before="40" w:line="240" w:lineRule="auto"/>
            </w:pPr>
            <w:r/>
            <w:r>
              <w:rPr>
                <w:rFonts w:ascii="Times New Roman" w:hAnsi="Times New Roman" w:eastAsia="Times New Roman"/>
                <w:b w:val="0"/>
                <w:i w:val="0"/>
                <w:sz w:val="20"/>
              </w:rPr>
              <w:t>B / skip</w:t>
            </w:r>
          </w:p>
        </w:tc>
        <w:tc>
          <w:tcPr>
            <w:tcW w:type="dxa" w:w="1560"/>
          </w:tcPr>
          <w:p>
            <w:pPr>
              <w:spacing w:after="40" w:before="40" w:line="240" w:lineRule="auto"/>
            </w:pPr>
            <w:r/>
            <w:r>
              <w:rPr>
                <w:rFonts w:ascii="Times New Roman" w:hAnsi="Times New Roman" w:eastAsia="Times New Roman"/>
                <w:b w:val="0"/>
                <w:i w:val="0"/>
                <w:sz w:val="20"/>
              </w:rPr>
              <w:t>Y/N</w:t>
            </w:r>
          </w:p>
        </w:tc>
        <w:tc>
          <w:tcPr>
            <w:tcW w:type="dxa" w:w="1560"/>
          </w:tcPr>
          <w:p>
            <w:pPr>
              <w:spacing w:after="40" w:before="40" w:line="240" w:lineRule="auto"/>
            </w:pPr>
            <w:r/>
            <w:r>
              <w:rPr>
                <w:rFonts w:ascii="Times New Roman" w:hAnsi="Times New Roman" w:eastAsia="Times New Roman"/>
                <w:b w:val="0"/>
                <w:i w:val="0"/>
                <w:sz w:val="20"/>
              </w:rPr>
              <w:t>Y/N</w:t>
            </w:r>
          </w:p>
        </w:tc>
        <w:tc>
          <w:tcPr>
            <w:tcW w:type="dxa" w:w="1560"/>
          </w:tcPr>
          <w:p>
            <w:pPr>
              <w:spacing w:after="40" w:before="40" w:line="240" w:lineRule="auto"/>
            </w:pPr>
            <w:r/>
          </w:p>
        </w:tc>
      </w:tr>
      <w:tr>
        <w:tc>
          <w:tcPr>
            <w:tcW w:type="dxa" w:w="1560"/>
          </w:tcPr>
          <w:p>
            <w:pPr>
              <w:spacing w:after="40" w:before="40" w:line="240" w:lineRule="auto"/>
            </w:pPr>
            <w:r/>
            <w:r>
              <w:rPr>
                <w:rFonts w:ascii="Times New Roman" w:hAnsi="Times New Roman" w:eastAsia="Times New Roman"/>
                <w:b w:val="0"/>
                <w:i w:val="0"/>
                <w:sz w:val="20"/>
              </w:rPr>
              <w:t>Urgency</w:t>
            </w:r>
          </w:p>
        </w:tc>
        <w:tc>
          <w:tcPr>
            <w:tcW w:type="dxa" w:w="1560"/>
          </w:tcPr>
          <w:p>
            <w:pPr>
              <w:spacing w:after="40" w:before="40" w:line="240" w:lineRule="auto"/>
            </w:pPr>
            <w:r/>
          </w:p>
        </w:tc>
        <w:tc>
          <w:tcPr>
            <w:tcW w:type="dxa" w:w="1560"/>
          </w:tcPr>
          <w:p>
            <w:pPr>
              <w:spacing w:after="40" w:before="40" w:line="240" w:lineRule="auto"/>
            </w:pPr>
            <w:r/>
            <w:r>
              <w:rPr>
                <w:rFonts w:ascii="Times New Roman" w:hAnsi="Times New Roman" w:eastAsia="Times New Roman"/>
                <w:b w:val="0"/>
                <w:i w:val="0"/>
                <w:sz w:val="20"/>
              </w:rPr>
              <w:t>C / skip</w:t>
            </w:r>
          </w:p>
        </w:tc>
        <w:tc>
          <w:tcPr>
            <w:tcW w:type="dxa" w:w="1560"/>
          </w:tcPr>
          <w:p>
            <w:pPr>
              <w:spacing w:after="40" w:before="40" w:line="240" w:lineRule="auto"/>
            </w:pPr>
            <w:r/>
            <w:r>
              <w:rPr>
                <w:rFonts w:ascii="Times New Roman" w:hAnsi="Times New Roman" w:eastAsia="Times New Roman"/>
                <w:b w:val="0"/>
                <w:i w:val="0"/>
                <w:sz w:val="20"/>
              </w:rPr>
              <w:t>Y/N</w:t>
            </w:r>
          </w:p>
        </w:tc>
        <w:tc>
          <w:tcPr>
            <w:tcW w:type="dxa" w:w="1560"/>
          </w:tcPr>
          <w:p>
            <w:pPr>
              <w:spacing w:after="40" w:before="40" w:line="240" w:lineRule="auto"/>
            </w:pPr>
            <w:r/>
            <w:r>
              <w:rPr>
                <w:rFonts w:ascii="Times New Roman" w:hAnsi="Times New Roman" w:eastAsia="Times New Roman"/>
                <w:b w:val="0"/>
                <w:i w:val="0"/>
                <w:sz w:val="20"/>
              </w:rPr>
              <w:t>Y/N</w:t>
            </w:r>
          </w:p>
        </w:tc>
        <w:tc>
          <w:tcPr>
            <w:tcW w:type="dxa" w:w="1560"/>
          </w:tcPr>
          <w:p>
            <w:pPr>
              <w:spacing w:after="40" w:before="40" w:line="240" w:lineRule="auto"/>
            </w:pPr>
            <w:r/>
          </w:p>
        </w:tc>
      </w:tr>
      <w:tr>
        <w:tc>
          <w:tcPr>
            <w:tcW w:type="dxa" w:w="1560"/>
          </w:tcPr>
          <w:p>
            <w:pPr>
              <w:spacing w:after="40" w:before="40" w:line="240" w:lineRule="auto"/>
            </w:pPr>
            <w:r/>
            <w:r>
              <w:rPr>
                <w:rFonts w:ascii="Times New Roman" w:hAnsi="Times New Roman" w:eastAsia="Times New Roman"/>
                <w:b w:val="0"/>
                <w:i w:val="0"/>
                <w:sz w:val="20"/>
              </w:rPr>
              <w:t>Decision rights</w:t>
            </w:r>
          </w:p>
        </w:tc>
        <w:tc>
          <w:tcPr>
            <w:tcW w:type="dxa" w:w="1560"/>
          </w:tcPr>
          <w:p>
            <w:pPr>
              <w:spacing w:after="40" w:before="40" w:line="240" w:lineRule="auto"/>
            </w:pPr>
            <w:r/>
          </w:p>
        </w:tc>
        <w:tc>
          <w:tcPr>
            <w:tcW w:type="dxa" w:w="1560"/>
          </w:tcPr>
          <w:p>
            <w:pPr>
              <w:spacing w:after="40" w:before="40" w:line="240" w:lineRule="auto"/>
            </w:pPr>
            <w:r/>
            <w:r>
              <w:rPr>
                <w:rFonts w:ascii="Times New Roman" w:hAnsi="Times New Roman" w:eastAsia="Times New Roman"/>
                <w:b w:val="0"/>
                <w:i w:val="0"/>
                <w:sz w:val="20"/>
              </w:rPr>
              <w:t>D / skip</w:t>
            </w:r>
          </w:p>
        </w:tc>
        <w:tc>
          <w:tcPr>
            <w:tcW w:type="dxa" w:w="1560"/>
          </w:tcPr>
          <w:p>
            <w:pPr>
              <w:spacing w:after="40" w:before="40" w:line="240" w:lineRule="auto"/>
            </w:pPr>
            <w:r/>
            <w:r>
              <w:rPr>
                <w:rFonts w:ascii="Times New Roman" w:hAnsi="Times New Roman" w:eastAsia="Times New Roman"/>
                <w:b w:val="0"/>
                <w:i w:val="0"/>
                <w:sz w:val="20"/>
              </w:rPr>
              <w:t>Y/N</w:t>
            </w:r>
          </w:p>
        </w:tc>
        <w:tc>
          <w:tcPr>
            <w:tcW w:type="dxa" w:w="1560"/>
          </w:tcPr>
          <w:p>
            <w:pPr>
              <w:spacing w:after="40" w:before="40" w:line="240" w:lineRule="auto"/>
            </w:pPr>
            <w:r/>
            <w:r>
              <w:rPr>
                <w:rFonts w:ascii="Times New Roman" w:hAnsi="Times New Roman" w:eastAsia="Times New Roman"/>
                <w:b w:val="0"/>
                <w:i w:val="0"/>
                <w:sz w:val="20"/>
              </w:rPr>
              <w:t>Y/N</w:t>
            </w:r>
          </w:p>
        </w:tc>
        <w:tc>
          <w:tcPr>
            <w:tcW w:type="dxa" w:w="1560"/>
          </w:tcPr>
          <w:p>
            <w:pPr>
              <w:spacing w:after="40" w:before="40" w:line="240" w:lineRule="auto"/>
            </w:pPr>
            <w:r/>
          </w:p>
        </w:tc>
      </w:tr>
      <w:tr>
        <w:tc>
          <w:tcPr>
            <w:tcW w:type="dxa" w:w="1560"/>
          </w:tcPr>
          <w:p>
            <w:pPr>
              <w:spacing w:after="40" w:before="40" w:line="240" w:lineRule="auto"/>
            </w:pPr>
            <w:r/>
            <w:r>
              <w:rPr>
                <w:rFonts w:ascii="Times New Roman" w:hAnsi="Times New Roman" w:eastAsia="Times New Roman"/>
                <w:b w:val="0"/>
                <w:i w:val="0"/>
                <w:sz w:val="20"/>
              </w:rPr>
              <w:t>Escalation</w:t>
            </w:r>
          </w:p>
        </w:tc>
        <w:tc>
          <w:tcPr>
            <w:tcW w:type="dxa" w:w="1560"/>
          </w:tcPr>
          <w:p>
            <w:pPr>
              <w:spacing w:after="40" w:before="40" w:line="240" w:lineRule="auto"/>
            </w:pPr>
            <w:r/>
          </w:p>
        </w:tc>
        <w:tc>
          <w:tcPr>
            <w:tcW w:type="dxa" w:w="1560"/>
          </w:tcPr>
          <w:p>
            <w:pPr>
              <w:spacing w:after="40" w:before="40" w:line="240" w:lineRule="auto"/>
            </w:pPr>
            <w:r/>
            <w:r>
              <w:rPr>
                <w:rFonts w:ascii="Times New Roman" w:hAnsi="Times New Roman" w:eastAsia="Times New Roman"/>
                <w:b w:val="0"/>
                <w:i w:val="0"/>
                <w:sz w:val="20"/>
              </w:rPr>
              <w:t>E / skip</w:t>
            </w:r>
          </w:p>
        </w:tc>
        <w:tc>
          <w:tcPr>
            <w:tcW w:type="dxa" w:w="1560"/>
          </w:tcPr>
          <w:p>
            <w:pPr>
              <w:spacing w:after="40" w:before="40" w:line="240" w:lineRule="auto"/>
            </w:pPr>
            <w:r/>
            <w:r>
              <w:rPr>
                <w:rFonts w:ascii="Times New Roman" w:hAnsi="Times New Roman" w:eastAsia="Times New Roman"/>
                <w:b w:val="0"/>
                <w:i w:val="0"/>
                <w:sz w:val="20"/>
              </w:rPr>
              <w:t>Y/N</w:t>
            </w:r>
          </w:p>
        </w:tc>
        <w:tc>
          <w:tcPr>
            <w:tcW w:type="dxa" w:w="1560"/>
          </w:tcPr>
          <w:p>
            <w:pPr>
              <w:spacing w:after="40" w:before="40" w:line="240" w:lineRule="auto"/>
            </w:pPr>
            <w:r/>
            <w:r>
              <w:rPr>
                <w:rFonts w:ascii="Times New Roman" w:hAnsi="Times New Roman" w:eastAsia="Times New Roman"/>
                <w:b w:val="0"/>
                <w:i w:val="0"/>
                <w:sz w:val="20"/>
              </w:rPr>
              <w:t>Y/N</w:t>
            </w:r>
          </w:p>
        </w:tc>
        <w:tc>
          <w:tcPr>
            <w:tcW w:type="dxa" w:w="1560"/>
          </w:tcPr>
          <w:p>
            <w:pPr>
              <w:spacing w:after="40" w:before="40" w:line="240" w:lineRule="auto"/>
            </w:pPr>
            <w:r/>
          </w:p>
        </w:tc>
      </w:tr>
      <w:tr>
        <w:tc>
          <w:tcPr>
            <w:tcW w:type="dxa" w:w="1560"/>
          </w:tcPr>
          <w:p>
            <w:pPr>
              <w:spacing w:after="40" w:before="40" w:line="240" w:lineRule="auto"/>
            </w:pPr>
            <w:r/>
            <w:r>
              <w:rPr>
                <w:rFonts w:ascii="Times New Roman" w:hAnsi="Times New Roman" w:eastAsia="Times New Roman"/>
                <w:b w:val="0"/>
                <w:i w:val="0"/>
                <w:sz w:val="20"/>
              </w:rPr>
              <w:t>Evidentiary standards</w:t>
            </w:r>
          </w:p>
        </w:tc>
        <w:tc>
          <w:tcPr>
            <w:tcW w:type="dxa" w:w="1560"/>
          </w:tcPr>
          <w:p>
            <w:pPr>
              <w:spacing w:after="40" w:before="40" w:line="240" w:lineRule="auto"/>
            </w:pPr>
            <w:r/>
          </w:p>
        </w:tc>
        <w:tc>
          <w:tcPr>
            <w:tcW w:type="dxa" w:w="1560"/>
          </w:tcPr>
          <w:p>
            <w:pPr>
              <w:spacing w:after="40" w:before="40" w:line="240" w:lineRule="auto"/>
            </w:pPr>
            <w:r/>
            <w:r>
              <w:rPr>
                <w:rFonts w:ascii="Times New Roman" w:hAnsi="Times New Roman" w:eastAsia="Times New Roman"/>
                <w:b w:val="0"/>
                <w:i w:val="0"/>
                <w:sz w:val="20"/>
              </w:rPr>
              <w:t>F / skip</w:t>
            </w:r>
          </w:p>
        </w:tc>
        <w:tc>
          <w:tcPr>
            <w:tcW w:type="dxa" w:w="1560"/>
          </w:tcPr>
          <w:p>
            <w:pPr>
              <w:spacing w:after="40" w:before="40" w:line="240" w:lineRule="auto"/>
            </w:pPr>
            <w:r/>
            <w:r>
              <w:rPr>
                <w:rFonts w:ascii="Times New Roman" w:hAnsi="Times New Roman" w:eastAsia="Times New Roman"/>
                <w:b w:val="0"/>
                <w:i w:val="0"/>
                <w:sz w:val="20"/>
              </w:rPr>
              <w:t>Y/N</w:t>
            </w:r>
          </w:p>
        </w:tc>
        <w:tc>
          <w:tcPr>
            <w:tcW w:type="dxa" w:w="1560"/>
          </w:tcPr>
          <w:p>
            <w:pPr>
              <w:spacing w:after="40" w:before="40" w:line="240" w:lineRule="auto"/>
            </w:pPr>
            <w:r/>
            <w:r>
              <w:rPr>
                <w:rFonts w:ascii="Times New Roman" w:hAnsi="Times New Roman" w:eastAsia="Times New Roman"/>
                <w:b w:val="0"/>
                <w:i w:val="0"/>
                <w:sz w:val="20"/>
              </w:rPr>
              <w:t>Y/N</w:t>
            </w:r>
          </w:p>
        </w:tc>
        <w:tc>
          <w:tcPr>
            <w:tcW w:type="dxa" w:w="1560"/>
          </w:tcPr>
          <w:p>
            <w:pPr>
              <w:spacing w:after="40" w:before="40" w:line="240" w:lineRule="auto"/>
            </w:pPr>
            <w:r/>
          </w:p>
        </w:tc>
      </w:tr>
      <w:tr>
        <w:tc>
          <w:tcPr>
            <w:tcW w:type="dxa" w:w="1560"/>
          </w:tcPr>
          <w:p>
            <w:pPr>
              <w:spacing w:after="40" w:before="40" w:line="240" w:lineRule="auto"/>
            </w:pPr>
            <w:r/>
            <w:r>
              <w:rPr>
                <w:rFonts w:ascii="Times New Roman" w:hAnsi="Times New Roman" w:eastAsia="Times New Roman"/>
                <w:b w:val="0"/>
                <w:i w:val="0"/>
                <w:sz w:val="20"/>
              </w:rPr>
              <w:t>Recoverability assurance</w:t>
            </w:r>
          </w:p>
        </w:tc>
        <w:tc>
          <w:tcPr>
            <w:tcW w:type="dxa" w:w="1560"/>
          </w:tcPr>
          <w:p>
            <w:pPr>
              <w:spacing w:after="40" w:before="40" w:line="240" w:lineRule="auto"/>
            </w:pPr>
            <w:r/>
          </w:p>
        </w:tc>
        <w:tc>
          <w:tcPr>
            <w:tcW w:type="dxa" w:w="1560"/>
          </w:tcPr>
          <w:p>
            <w:pPr>
              <w:spacing w:after="40" w:before="40" w:line="240" w:lineRule="auto"/>
            </w:pPr>
            <w:r/>
            <w:r>
              <w:rPr>
                <w:rFonts w:ascii="Times New Roman" w:hAnsi="Times New Roman" w:eastAsia="Times New Roman"/>
                <w:b w:val="0"/>
                <w:i w:val="0"/>
                <w:sz w:val="20"/>
              </w:rPr>
              <w:t>F / skip</w:t>
            </w:r>
          </w:p>
        </w:tc>
        <w:tc>
          <w:tcPr>
            <w:tcW w:type="dxa" w:w="1560"/>
          </w:tcPr>
          <w:p>
            <w:pPr>
              <w:spacing w:after="40" w:before="40" w:line="240" w:lineRule="auto"/>
            </w:pPr>
            <w:r/>
            <w:r>
              <w:rPr>
                <w:rFonts w:ascii="Times New Roman" w:hAnsi="Times New Roman" w:eastAsia="Times New Roman"/>
                <w:b w:val="0"/>
                <w:i w:val="0"/>
                <w:sz w:val="20"/>
              </w:rPr>
              <w:t>Y/N</w:t>
            </w:r>
          </w:p>
        </w:tc>
        <w:tc>
          <w:tcPr>
            <w:tcW w:type="dxa" w:w="1560"/>
          </w:tcPr>
          <w:p>
            <w:pPr>
              <w:spacing w:after="40" w:before="40" w:line="240" w:lineRule="auto"/>
            </w:pPr>
            <w:r/>
            <w:r>
              <w:rPr>
                <w:rFonts w:ascii="Times New Roman" w:hAnsi="Times New Roman" w:eastAsia="Times New Roman"/>
                <w:b w:val="0"/>
                <w:i w:val="0"/>
                <w:sz w:val="20"/>
              </w:rPr>
              <w:t>Y/N</w:t>
            </w:r>
          </w:p>
        </w:tc>
        <w:tc>
          <w:tcPr>
            <w:tcW w:type="dxa" w:w="1560"/>
          </w:tcPr>
          <w:p>
            <w:pPr>
              <w:spacing w:after="40" w:before="40" w:line="240" w:lineRule="auto"/>
            </w:pPr>
            <w:r/>
          </w:p>
        </w:tc>
      </w:tr>
    </w:tbl>
    <w:p/>
    <w:p>
      <w:pPr>
        <w:spacing w:after="120" w:before="0" w:line="480" w:lineRule="auto"/>
      </w:pPr>
      <w:r>
        <w:rPr>
          <w:rFonts w:ascii="Times New Roman" w:hAnsi="Times New Roman" w:eastAsia="Times New Roman"/>
          <w:b w:val="0"/>
          <w:i w:val="0"/>
          <w:sz w:val="24"/>
        </w:rPr>
        <w:t xml:space="preserve">A session is complete for Alignment Tracking only when each row has a concrete example </w:t>
      </w:r>
      <w:r>
        <w:rPr>
          <w:rFonts w:ascii="Times New Roman" w:hAnsi="Times New Roman" w:eastAsia="Times New Roman"/>
          <w:b/>
          <w:i w:val="0"/>
          <w:sz w:val="24"/>
        </w:rPr>
        <w:t>or</w:t>
      </w:r>
      <w:r>
        <w:rPr>
          <w:rFonts w:ascii="Times New Roman" w:hAnsi="Times New Roman" w:eastAsia="Times New Roman"/>
          <w:b w:val="0"/>
          <w:i w:val="0"/>
          <w:sz w:val="24"/>
        </w:rPr>
        <w:t xml:space="preserve"> a documented skip-plus-boundary (for example, “no escalation occurred”).</w:t>
      </w:r>
    </w:p>
    <w:p>
      <w:pPr>
        <w:spacing w:after="160" w:before="240" w:line="480" w:lineRule="auto"/>
      </w:pPr>
      <w:r>
        <w:rPr>
          <w:rFonts w:ascii="Times New Roman" w:hAnsi="Times New Roman" w:eastAsia="Times New Roman"/>
          <w:b/>
          <w:i w:val="0"/>
          <w:color w:val="9A3412"/>
          <w:sz w:val="28"/>
        </w:rPr>
        <w:t xml:space="preserve">3. </w:t>
      </w:r>
      <w:r>
        <w:rPr>
          <w:rFonts w:ascii="Times New Roman" w:hAnsi="Times New Roman" w:eastAsia="Times New Roman"/>
          <w:b/>
          <w:i w:val="0"/>
          <w:color w:val="9A3412"/>
          <w:sz w:val="28"/>
        </w:rPr>
        <w:t>NEW</w:t>
      </w:r>
      <w:r>
        <w:rPr>
          <w:rFonts w:ascii="Times New Roman" w:hAnsi="Times New Roman" w:eastAsia="Times New Roman"/>
          <w:b/>
          <w:i w:val="0"/>
          <w:color w:val="9A3412"/>
          <w:sz w:val="28"/>
        </w:rPr>
        <w:t xml:space="preserve"> Artifact Pipeline</w:t>
      </w:r>
    </w:p>
    <w:p>
      <w:pPr>
        <w:spacing w:after="120" w:before="0" w:line="480" w:lineRule="auto"/>
      </w:pPr>
      <w:r>
        <w:rPr>
          <w:rFonts w:ascii="Times New Roman" w:hAnsi="Times New Roman" w:eastAsia="Times New Roman"/>
          <w:b w:val="0"/>
          <w:i w:val="0"/>
          <w:sz w:val="24"/>
        </w:rPr>
        <w:t>This is the missing Measures/Artifacts process. Artifacts are situated contextual objects that show how written continuity intent was used, negotiated, or bypassed. They are not a NIST/BCM audit (same rule as holding Padilla &amp; Chantler, 2011, out of confirming data in Data Analysis Practice 2).</w:t>
      </w:r>
    </w:p>
    <w:p>
      <w:pPr>
        <w:spacing w:after="160" w:before="240" w:line="480" w:lineRule="auto"/>
      </w:pPr>
      <w:r>
        <w:rPr>
          <w:rFonts w:ascii="Times New Roman" w:hAnsi="Times New Roman" w:eastAsia="Times New Roman"/>
          <w:b/>
          <w:i w:val="0"/>
          <w:color w:val="1F3A5F"/>
          <w:sz w:val="24"/>
        </w:rPr>
        <w:t>3.1 Request script (read after F3 or after Q-close)</w:t>
      </w:r>
    </w:p>
    <w:p>
      <w:pPr>
        <w:spacing w:after="160" w:before="80" w:line="480" w:lineRule="auto"/>
        <w:ind w:left="720"/>
      </w:pPr>
      <w:r>
        <w:rPr>
          <w:rFonts w:ascii="Times New Roman" w:hAnsi="Times New Roman" w:eastAsia="Times New Roman"/>
          <w:b w:val="0"/>
          <w:i/>
          <w:sz w:val="24"/>
        </w:rPr>
        <w:t>You mentioned [plan / matrix / ticket / test / approval]. I do not need a confidential file. If you are allowed to share a redacted excerpt, that helps me see how the written process compared with what you actually did. If you cannot share it, please just describe what that document or record did in the event — who used it, who ignored it, and whether it counted as proof.</w:t>
      </w:r>
    </w:p>
    <w:p>
      <w:pPr>
        <w:spacing w:after="160" w:before="240" w:line="480" w:lineRule="auto"/>
      </w:pPr>
      <w:r>
        <w:rPr>
          <w:rFonts w:ascii="Times New Roman" w:hAnsi="Times New Roman" w:eastAsia="Times New Roman"/>
          <w:b/>
          <w:i w:val="0"/>
          <w:color w:val="9A3412"/>
          <w:sz w:val="24"/>
        </w:rPr>
        <w:t>3.2 Three intake paths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line="240" w:lineRule="auto"/>
            </w:pPr>
            <w:r/>
            <w:r>
              <w:rPr>
                <w:rFonts w:ascii="Times New Roman" w:hAnsi="Times New Roman" w:eastAsia="Times New Roman"/>
                <w:b/>
                <w:i w:val="0"/>
                <w:sz w:val="20"/>
              </w:rPr>
              <w:t>Path</w:t>
            </w:r>
          </w:p>
        </w:tc>
        <w:tc>
          <w:tcPr>
            <w:tcW w:type="dxa" w:w="2340"/>
          </w:tcPr>
          <w:p>
            <w:pPr>
              <w:spacing w:after="40" w:before="40" w:line="240" w:lineRule="auto"/>
            </w:pPr>
            <w:r/>
            <w:r>
              <w:rPr>
                <w:rFonts w:ascii="Times New Roman" w:hAnsi="Times New Roman" w:eastAsia="Times New Roman"/>
                <w:b/>
                <w:i w:val="0"/>
                <w:sz w:val="20"/>
              </w:rPr>
              <w:t>When</w:t>
            </w:r>
          </w:p>
        </w:tc>
        <w:tc>
          <w:tcPr>
            <w:tcW w:type="dxa" w:w="2340"/>
          </w:tcPr>
          <w:p>
            <w:pPr>
              <w:spacing w:after="40" w:before="40" w:line="240" w:lineRule="auto"/>
            </w:pPr>
            <w:r/>
            <w:r>
              <w:rPr>
                <w:rFonts w:ascii="Times New Roman" w:hAnsi="Times New Roman" w:eastAsia="Times New Roman"/>
                <w:b/>
                <w:i w:val="0"/>
                <w:sz w:val="20"/>
              </w:rPr>
              <w:t>What the researcher captures</w:t>
            </w:r>
          </w:p>
        </w:tc>
        <w:tc>
          <w:tcPr>
            <w:tcW w:type="dxa" w:w="2340"/>
          </w:tcPr>
          <w:p>
            <w:pPr>
              <w:spacing w:after="40" w:before="40" w:line="240" w:lineRule="auto"/>
            </w:pPr>
            <w:r/>
            <w:r>
              <w:rPr>
                <w:rFonts w:ascii="Times New Roman" w:hAnsi="Times New Roman" w:eastAsia="Times New Roman"/>
                <w:b/>
                <w:i w:val="0"/>
                <w:sz w:val="20"/>
              </w:rPr>
              <w:t xml:space="preserve">What the researcher does </w:t>
            </w:r>
            <w:r>
              <w:rPr>
                <w:rFonts w:ascii="Times New Roman" w:hAnsi="Times New Roman" w:eastAsia="Times New Roman"/>
                <w:b/>
                <w:i w:val="0"/>
                <w:sz w:val="20"/>
              </w:rPr>
              <w:t>not</w:t>
            </w:r>
            <w:r>
              <w:rPr>
                <w:rFonts w:ascii="Times New Roman" w:hAnsi="Times New Roman" w:eastAsia="Times New Roman"/>
                <w:b/>
                <w:i w:val="0"/>
                <w:sz w:val="20"/>
              </w:rPr>
              <w:t xml:space="preserve"> do</w:t>
            </w:r>
          </w:p>
        </w:tc>
      </w:tr>
      <w:tr>
        <w:tc>
          <w:tcPr>
            <w:tcW w:type="dxa" w:w="2340"/>
          </w:tcPr>
          <w:p>
            <w:pPr>
              <w:spacing w:after="40" w:before="40" w:line="240" w:lineRule="auto"/>
            </w:pPr>
            <w:r/>
            <w:r>
              <w:rPr>
                <w:rFonts w:ascii="Times New Roman" w:hAnsi="Times New Roman" w:eastAsia="Times New Roman"/>
                <w:b/>
                <w:i w:val="0"/>
                <w:sz w:val="20"/>
              </w:rPr>
              <w:t>A. Redacted share</w:t>
            </w:r>
          </w:p>
        </w:tc>
        <w:tc>
          <w:tcPr>
            <w:tcW w:type="dxa" w:w="2340"/>
          </w:tcPr>
          <w:p>
            <w:pPr>
              <w:spacing w:after="40" w:before="40" w:line="240" w:lineRule="auto"/>
            </w:pPr>
            <w:r/>
            <w:r>
              <w:rPr>
                <w:rFonts w:ascii="Times New Roman" w:hAnsi="Times New Roman" w:eastAsia="Times New Roman"/>
                <w:b w:val="0"/>
                <w:i w:val="0"/>
                <w:sz w:val="20"/>
              </w:rPr>
              <w:t>Participant can send a screenshot, PDF excerpt, or ticket print after the call</w:t>
            </w:r>
          </w:p>
        </w:tc>
        <w:tc>
          <w:tcPr>
            <w:tcW w:type="dxa" w:w="2340"/>
          </w:tcPr>
          <w:p>
            <w:pPr>
              <w:spacing w:after="40" w:before="40" w:line="240" w:lineRule="auto"/>
            </w:pPr>
            <w:r/>
            <w:r>
              <w:rPr>
                <w:rFonts w:ascii="Times New Roman" w:hAnsi="Times New Roman" w:eastAsia="Times New Roman"/>
                <w:b w:val="0"/>
                <w:i w:val="0"/>
                <w:sz w:val="20"/>
              </w:rPr>
              <w:t xml:space="preserve">File stored as </w:t>
            </w:r>
            <w:r>
              <w:rPr>
                <w:rFonts w:ascii="Times New Roman" w:hAnsi="Times New Roman" w:eastAsia="Times New Roman"/>
                <w:i/>
                <w:sz w:val="20"/>
              </w:rPr>
              <w:t>P##_ART##</w:t>
            </w:r>
            <w:r>
              <w:rPr>
                <w:rFonts w:ascii="Times New Roman" w:hAnsi="Times New Roman" w:eastAsia="Times New Roman"/>
                <w:b w:val="0"/>
                <w:i w:val="0"/>
                <w:sz w:val="20"/>
              </w:rPr>
              <w:t>; identifiers stripped on receipt</w:t>
            </w:r>
          </w:p>
        </w:tc>
        <w:tc>
          <w:tcPr>
            <w:tcW w:type="dxa" w:w="2340"/>
          </w:tcPr>
          <w:p>
            <w:pPr>
              <w:spacing w:after="40" w:before="40" w:line="240" w:lineRule="auto"/>
            </w:pPr>
            <w:r/>
            <w:r>
              <w:rPr>
                <w:rFonts w:ascii="Times New Roman" w:hAnsi="Times New Roman" w:eastAsia="Times New Roman"/>
                <w:b w:val="0"/>
                <w:i w:val="0"/>
                <w:sz w:val="20"/>
              </w:rPr>
              <w:t>Do not score against NIST/ISO/BCM controls</w:t>
            </w:r>
          </w:p>
        </w:tc>
      </w:tr>
      <w:tr>
        <w:tc>
          <w:tcPr>
            <w:tcW w:type="dxa" w:w="2340"/>
          </w:tcPr>
          <w:p>
            <w:pPr>
              <w:spacing w:after="40" w:before="40" w:line="240" w:lineRule="auto"/>
            </w:pPr>
            <w:r/>
            <w:r>
              <w:rPr>
                <w:rFonts w:ascii="Times New Roman" w:hAnsi="Times New Roman" w:eastAsia="Times New Roman"/>
                <w:b/>
                <w:i w:val="0"/>
                <w:sz w:val="20"/>
              </w:rPr>
              <w:t>B. Verbal reconstruction</w:t>
            </w:r>
          </w:p>
        </w:tc>
        <w:tc>
          <w:tcPr>
            <w:tcW w:type="dxa" w:w="2340"/>
          </w:tcPr>
          <w:p>
            <w:pPr>
              <w:spacing w:after="40" w:before="40" w:line="240" w:lineRule="auto"/>
            </w:pPr>
            <w:r/>
            <w:r>
              <w:rPr>
                <w:rFonts w:ascii="Times New Roman" w:hAnsi="Times New Roman" w:eastAsia="Times New Roman"/>
                <w:b w:val="0"/>
                <w:i w:val="0"/>
                <w:sz w:val="20"/>
              </w:rPr>
              <w:t>Participant cannot share the file</w:t>
            </w:r>
          </w:p>
        </w:tc>
        <w:tc>
          <w:tcPr>
            <w:tcW w:type="dxa" w:w="2340"/>
          </w:tcPr>
          <w:p>
            <w:pPr>
              <w:spacing w:after="40" w:before="40" w:line="240" w:lineRule="auto"/>
            </w:pPr>
            <w:r/>
            <w:r>
              <w:rPr>
                <w:rFonts w:ascii="Times New Roman" w:hAnsi="Times New Roman" w:eastAsia="Times New Roman"/>
                <w:b w:val="0"/>
                <w:i w:val="0"/>
                <w:sz w:val="20"/>
              </w:rPr>
              <w:t>Field-note reconstruction: type, who used it, who ignored it, whether it counted as proof</w:t>
            </w:r>
          </w:p>
        </w:tc>
        <w:tc>
          <w:tcPr>
            <w:tcW w:type="dxa" w:w="2340"/>
          </w:tcPr>
          <w:p>
            <w:pPr>
              <w:spacing w:after="40" w:before="40" w:line="240" w:lineRule="auto"/>
            </w:pPr>
            <w:r/>
            <w:r>
              <w:rPr>
                <w:rFonts w:ascii="Times New Roman" w:hAnsi="Times New Roman" w:eastAsia="Times New Roman"/>
                <w:b w:val="0"/>
                <w:i w:val="0"/>
                <w:sz w:val="20"/>
              </w:rPr>
              <w:t>Do not invent contents the participant did not state</w:t>
            </w:r>
          </w:p>
        </w:tc>
      </w:tr>
      <w:tr>
        <w:tc>
          <w:tcPr>
            <w:tcW w:type="dxa" w:w="2340"/>
          </w:tcPr>
          <w:p>
            <w:pPr>
              <w:spacing w:after="40" w:before="40" w:line="240" w:lineRule="auto"/>
            </w:pPr>
            <w:r/>
            <w:r>
              <w:rPr>
                <w:rFonts w:ascii="Times New Roman" w:hAnsi="Times New Roman" w:eastAsia="Times New Roman"/>
                <w:b/>
                <w:i w:val="0"/>
                <w:sz w:val="20"/>
              </w:rPr>
              <w:t>C. No artifact</w:t>
            </w:r>
          </w:p>
        </w:tc>
        <w:tc>
          <w:tcPr>
            <w:tcW w:type="dxa" w:w="2340"/>
          </w:tcPr>
          <w:p>
            <w:pPr>
              <w:spacing w:after="40" w:before="40" w:line="240" w:lineRule="auto"/>
            </w:pPr>
            <w:r/>
            <w:r>
              <w:rPr>
                <w:rFonts w:ascii="Times New Roman" w:hAnsi="Times New Roman" w:eastAsia="Times New Roman"/>
                <w:b w:val="0"/>
                <w:i w:val="0"/>
                <w:sz w:val="20"/>
              </w:rPr>
              <w:t>Participant names none</w:t>
            </w:r>
          </w:p>
        </w:tc>
        <w:tc>
          <w:tcPr>
            <w:tcW w:type="dxa" w:w="2340"/>
          </w:tcPr>
          <w:p>
            <w:pPr>
              <w:spacing w:after="40" w:before="40" w:line="240" w:lineRule="auto"/>
            </w:pPr>
            <w:r/>
            <w:r>
              <w:rPr>
                <w:rFonts w:ascii="Times New Roman" w:hAnsi="Times New Roman" w:eastAsia="Times New Roman"/>
                <w:b w:val="0"/>
                <w:i w:val="0"/>
                <w:sz w:val="20"/>
              </w:rPr>
              <w:t xml:space="preserve">Record “no reviewable artifact named” as a recoverability-assurance </w:t>
            </w:r>
            <w:r>
              <w:rPr>
                <w:rFonts w:ascii="Times New Roman" w:hAnsi="Times New Roman" w:eastAsia="Times New Roman"/>
                <w:b/>
                <w:i w:val="0"/>
                <w:sz w:val="20"/>
              </w:rPr>
              <w:t>boundary case</w:t>
            </w:r>
          </w:p>
        </w:tc>
        <w:tc>
          <w:tcPr>
            <w:tcW w:type="dxa" w:w="2340"/>
          </w:tcPr>
          <w:p>
            <w:pPr>
              <w:spacing w:after="40" w:before="40" w:line="240" w:lineRule="auto"/>
            </w:pPr>
            <w:r/>
            <w:r>
              <w:rPr>
                <w:rFonts w:ascii="Times New Roman" w:hAnsi="Times New Roman" w:eastAsia="Times New Roman"/>
                <w:b w:val="0"/>
                <w:i w:val="0"/>
                <w:sz w:val="20"/>
              </w:rPr>
              <w:t>Do not treat this as missing data that invalidates the interview</w:t>
            </w:r>
          </w:p>
        </w:tc>
      </w:tr>
    </w:tbl>
    <w:p/>
    <w:p>
      <w:pPr>
        <w:spacing w:after="120" w:before="0" w:line="480" w:lineRule="auto"/>
      </w:pPr>
      <w:r>
        <w:rPr>
          <w:rFonts w:ascii="Times New Roman" w:hAnsi="Times New Roman" w:eastAsia="Times New Roman"/>
          <w:b w:val="0"/>
          <w:i w:val="0"/>
          <w:sz w:val="24"/>
        </w:rPr>
        <w:t>Deadline for Path A: 14 calendar days after the interview. If nothing arrives, recode the row as Path B using the session notes.</w:t>
      </w:r>
    </w:p>
    <w:p>
      <w:pPr>
        <w:spacing w:after="160" w:before="240" w:line="480" w:lineRule="auto"/>
      </w:pPr>
      <w:r>
        <w:rPr>
          <w:rFonts w:ascii="Times New Roman" w:hAnsi="Times New Roman" w:eastAsia="Times New Roman"/>
          <w:b/>
          <w:i w:val="0"/>
          <w:color w:val="9A3412"/>
          <w:sz w:val="24"/>
        </w:rPr>
        <w:t xml:space="preserve">3.3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Artifact Map (one row per object)</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before="40" w:line="240" w:lineRule="auto"/>
            </w:pPr>
            <w:r/>
            <w:r>
              <w:rPr>
                <w:rFonts w:ascii="Times New Roman" w:hAnsi="Times New Roman" w:eastAsia="Times New Roman"/>
                <w:b/>
                <w:i w:val="0"/>
                <w:sz w:val="20"/>
              </w:rPr>
              <w:t>Field</w:t>
            </w:r>
          </w:p>
        </w:tc>
        <w:tc>
          <w:tcPr>
            <w:tcW w:type="dxa" w:w="4680"/>
          </w:tcPr>
          <w:p>
            <w:pPr>
              <w:spacing w:after="40" w:before="40" w:line="240" w:lineRule="auto"/>
            </w:pPr>
            <w:r/>
            <w:r>
              <w:rPr>
                <w:rFonts w:ascii="Times New Roman" w:hAnsi="Times New Roman" w:eastAsia="Times New Roman"/>
                <w:b/>
                <w:i w:val="0"/>
                <w:sz w:val="20"/>
              </w:rPr>
              <w:t>Entry rule</w:t>
            </w:r>
          </w:p>
        </w:tc>
      </w:tr>
      <w:tr>
        <w:tc>
          <w:tcPr>
            <w:tcW w:type="dxa" w:w="4680"/>
          </w:tcPr>
          <w:p>
            <w:pPr>
              <w:spacing w:after="40" w:before="40" w:line="240" w:lineRule="auto"/>
            </w:pPr>
            <w:r/>
            <w:r>
              <w:rPr>
                <w:rFonts w:ascii="Times New Roman" w:hAnsi="Times New Roman" w:eastAsia="Times New Roman"/>
                <w:b w:val="0"/>
                <w:i w:val="0"/>
                <w:sz w:val="20"/>
              </w:rPr>
              <w:t>Artifact ID</w:t>
            </w:r>
          </w:p>
        </w:tc>
        <w:tc>
          <w:tcPr>
            <w:tcW w:type="dxa" w:w="4680"/>
          </w:tcPr>
          <w:p>
            <w:pPr>
              <w:spacing w:after="40" w:before="40" w:line="240" w:lineRule="auto"/>
            </w:pPr>
            <w:r/>
            <w:r>
              <w:rPr>
                <w:rFonts w:ascii="Times New Roman" w:hAnsi="Times New Roman" w:eastAsia="Times New Roman"/>
                <w:i/>
                <w:sz w:val="20"/>
              </w:rPr>
              <w:t>P##_ART##</w:t>
            </w:r>
          </w:p>
        </w:tc>
      </w:tr>
      <w:tr>
        <w:tc>
          <w:tcPr>
            <w:tcW w:type="dxa" w:w="4680"/>
          </w:tcPr>
          <w:p>
            <w:pPr>
              <w:spacing w:after="40" w:before="40" w:line="240" w:lineRule="auto"/>
            </w:pPr>
            <w:r/>
            <w:r>
              <w:rPr>
                <w:rFonts w:ascii="Times New Roman" w:hAnsi="Times New Roman" w:eastAsia="Times New Roman"/>
                <w:b w:val="0"/>
                <w:i w:val="0"/>
                <w:sz w:val="20"/>
              </w:rPr>
              <w:t>Type</w:t>
            </w:r>
          </w:p>
        </w:tc>
        <w:tc>
          <w:tcPr>
            <w:tcW w:type="dxa" w:w="4680"/>
          </w:tcPr>
          <w:p>
            <w:pPr>
              <w:spacing w:after="40" w:before="40" w:line="240" w:lineRule="auto"/>
            </w:pPr>
            <w:r/>
            <w:r>
              <w:rPr>
                <w:rFonts w:ascii="Times New Roman" w:hAnsi="Times New Roman" w:eastAsia="Times New Roman"/>
                <w:b w:val="0"/>
                <w:i w:val="0"/>
                <w:sz w:val="20"/>
              </w:rPr>
              <w:t>DR plan; escalation matrix; test report; ticket; authorization record; integrity check; other (name it)</w:t>
            </w:r>
          </w:p>
        </w:tc>
      </w:tr>
      <w:tr>
        <w:tc>
          <w:tcPr>
            <w:tcW w:type="dxa" w:w="4680"/>
          </w:tcPr>
          <w:p>
            <w:pPr>
              <w:spacing w:after="40" w:before="40" w:line="240" w:lineRule="auto"/>
            </w:pPr>
            <w:r/>
            <w:r>
              <w:rPr>
                <w:rFonts w:ascii="Times New Roman" w:hAnsi="Times New Roman" w:eastAsia="Times New Roman"/>
                <w:b w:val="0"/>
                <w:i w:val="0"/>
                <w:sz w:val="20"/>
              </w:rPr>
              <w:t>How obtained</w:t>
            </w:r>
          </w:p>
        </w:tc>
        <w:tc>
          <w:tcPr>
            <w:tcW w:type="dxa" w:w="4680"/>
          </w:tcPr>
          <w:p>
            <w:pPr>
              <w:spacing w:after="40" w:before="40" w:line="240" w:lineRule="auto"/>
            </w:pPr>
            <w:r/>
            <w:r>
              <w:rPr>
                <w:rFonts w:ascii="Times New Roman" w:hAnsi="Times New Roman" w:eastAsia="Times New Roman"/>
                <w:b w:val="0"/>
                <w:i w:val="0"/>
                <w:sz w:val="20"/>
              </w:rPr>
              <w:t>Path A / B / C</w:t>
            </w:r>
          </w:p>
        </w:tc>
      </w:tr>
      <w:tr>
        <w:tc>
          <w:tcPr>
            <w:tcW w:type="dxa" w:w="4680"/>
          </w:tcPr>
          <w:p>
            <w:pPr>
              <w:spacing w:after="40" w:before="40" w:line="240" w:lineRule="auto"/>
            </w:pPr>
            <w:r/>
            <w:r>
              <w:rPr>
                <w:rFonts w:ascii="Times New Roman" w:hAnsi="Times New Roman" w:eastAsia="Times New Roman"/>
                <w:b w:val="0"/>
                <w:i w:val="0"/>
                <w:sz w:val="20"/>
              </w:rPr>
              <w:t>Role in the incident</w:t>
            </w:r>
          </w:p>
        </w:tc>
        <w:tc>
          <w:tcPr>
            <w:tcW w:type="dxa" w:w="4680"/>
          </w:tcPr>
          <w:p>
            <w:pPr>
              <w:spacing w:after="40" w:before="40" w:line="240" w:lineRule="auto"/>
            </w:pPr>
            <w:r/>
            <w:r>
              <w:rPr>
                <w:rFonts w:ascii="Times New Roman" w:hAnsi="Times New Roman" w:eastAsia="Times New Roman"/>
                <w:b w:val="0"/>
                <w:i w:val="0"/>
                <w:sz w:val="20"/>
              </w:rPr>
              <w:t>Used as written / used then overridden / unused / unknown</w:t>
            </w:r>
          </w:p>
        </w:tc>
      </w:tr>
      <w:tr>
        <w:tc>
          <w:tcPr>
            <w:tcW w:type="dxa" w:w="4680"/>
          </w:tcPr>
          <w:p>
            <w:pPr>
              <w:spacing w:after="40" w:before="40" w:line="240" w:lineRule="auto"/>
            </w:pPr>
            <w:r/>
            <w:r>
              <w:rPr>
                <w:rFonts w:ascii="Times New Roman" w:hAnsi="Times New Roman" w:eastAsia="Times New Roman"/>
                <w:b w:val="0"/>
                <w:i w:val="0"/>
                <w:sz w:val="20"/>
              </w:rPr>
              <w:t>Formal intent it stated (if known)</w:t>
            </w:r>
          </w:p>
        </w:tc>
        <w:tc>
          <w:tcPr>
            <w:tcW w:type="dxa" w:w="4680"/>
          </w:tcPr>
          <w:p>
            <w:pPr>
              <w:spacing w:after="40" w:before="40" w:line="240" w:lineRule="auto"/>
            </w:pPr>
            <w:r/>
            <w:r>
              <w:rPr>
                <w:rFonts w:ascii="Times New Roman" w:hAnsi="Times New Roman" w:eastAsia="Times New Roman"/>
                <w:b w:val="0"/>
                <w:i w:val="0"/>
                <w:sz w:val="20"/>
              </w:rPr>
              <w:t>Risk tolerance, priority, downtime, approval path — only what the participant said or the redacted excerpt shows</w:t>
            </w:r>
          </w:p>
        </w:tc>
      </w:tr>
      <w:tr>
        <w:tc>
          <w:tcPr>
            <w:tcW w:type="dxa" w:w="4680"/>
          </w:tcPr>
          <w:p>
            <w:pPr>
              <w:spacing w:after="40" w:before="40" w:line="240" w:lineRule="auto"/>
            </w:pPr>
            <w:r/>
            <w:r>
              <w:rPr>
                <w:rFonts w:ascii="Times New Roman" w:hAnsi="Times New Roman" w:eastAsia="Times New Roman"/>
                <w:b w:val="0"/>
                <w:i w:val="0"/>
                <w:sz w:val="20"/>
              </w:rPr>
              <w:t>Ad hoc action it was compared with</w:t>
            </w:r>
          </w:p>
        </w:tc>
        <w:tc>
          <w:tcPr>
            <w:tcW w:type="dxa" w:w="4680"/>
          </w:tcPr>
          <w:p>
            <w:pPr>
              <w:spacing w:after="40" w:before="40" w:line="240" w:lineRule="auto"/>
            </w:pPr>
            <w:r/>
            <w:r>
              <w:rPr>
                <w:rFonts w:ascii="Times New Roman" w:hAnsi="Times New Roman" w:eastAsia="Times New Roman"/>
                <w:b w:val="0"/>
                <w:i w:val="0"/>
                <w:sz w:val="20"/>
              </w:rPr>
              <w:t>What was actually restored, delayed, or skipped</w:t>
            </w:r>
          </w:p>
        </w:tc>
      </w:tr>
      <w:tr>
        <w:tc>
          <w:tcPr>
            <w:tcW w:type="dxa" w:w="4680"/>
          </w:tcPr>
          <w:p>
            <w:pPr>
              <w:spacing w:after="40" w:before="40" w:line="240" w:lineRule="auto"/>
            </w:pPr>
            <w:r/>
            <w:r>
              <w:rPr>
                <w:rFonts w:ascii="Times New Roman" w:hAnsi="Times New Roman" w:eastAsia="Times New Roman"/>
                <w:b w:val="0"/>
                <w:i w:val="0"/>
                <w:sz w:val="20"/>
              </w:rPr>
              <w:t>Counted as proof?</w:t>
            </w:r>
          </w:p>
        </w:tc>
        <w:tc>
          <w:tcPr>
            <w:tcW w:type="dxa" w:w="4680"/>
          </w:tcPr>
          <w:p>
            <w:pPr>
              <w:spacing w:after="40" w:before="40" w:line="240" w:lineRule="auto"/>
            </w:pPr>
            <w:r/>
            <w:r>
              <w:rPr>
                <w:rFonts w:ascii="Times New Roman" w:hAnsi="Times New Roman" w:eastAsia="Times New Roman"/>
                <w:b w:val="0"/>
                <w:i w:val="0"/>
                <w:sz w:val="20"/>
              </w:rPr>
              <w:t>Yes / no / renegotiated / unknown</w:t>
            </w:r>
          </w:p>
        </w:tc>
      </w:tr>
      <w:tr>
        <w:tc>
          <w:tcPr>
            <w:tcW w:type="dxa" w:w="4680"/>
          </w:tcPr>
          <w:p>
            <w:pPr>
              <w:spacing w:after="40" w:before="40" w:line="240" w:lineRule="auto"/>
            </w:pPr>
            <w:r/>
            <w:r>
              <w:rPr>
                <w:rFonts w:ascii="Times New Roman" w:hAnsi="Times New Roman" w:eastAsia="Times New Roman"/>
                <w:b w:val="0"/>
                <w:i w:val="0"/>
                <w:sz w:val="20"/>
              </w:rPr>
              <w:t>Linked constructs</w:t>
            </w:r>
          </w:p>
        </w:tc>
        <w:tc>
          <w:tcPr>
            <w:tcW w:type="dxa" w:w="4680"/>
          </w:tcPr>
          <w:p>
            <w:pPr>
              <w:spacing w:after="40" w:before="40" w:line="240" w:lineRule="auto"/>
            </w:pPr>
            <w:r/>
            <w:r>
              <w:rPr>
                <w:rFonts w:ascii="Times New Roman" w:hAnsi="Times New Roman" w:eastAsia="Times New Roman"/>
                <w:b w:val="0"/>
                <w:i w:val="0"/>
                <w:sz w:val="20"/>
              </w:rPr>
              <w:t xml:space="preserve">Power; legitimacy; urgency; decision rights; escalation; evidentiary standards; recoverability assurance (check all that apply as </w:t>
            </w:r>
            <w:r>
              <w:rPr>
                <w:rFonts w:ascii="Times New Roman" w:hAnsi="Times New Roman" w:eastAsia="Times New Roman"/>
                <w:i/>
                <w:sz w:val="20"/>
              </w:rPr>
              <w:t>sensitizing links</w:t>
            </w:r>
            <w:r>
              <w:rPr>
                <w:rFonts w:ascii="Times New Roman" w:hAnsi="Times New Roman" w:eastAsia="Times New Roman"/>
                <w:b w:val="0"/>
                <w:i w:val="0"/>
                <w:sz w:val="20"/>
              </w:rPr>
              <w:t>, not theme names)</w:t>
            </w:r>
          </w:p>
        </w:tc>
      </w:tr>
      <w:tr>
        <w:tc>
          <w:tcPr>
            <w:tcW w:type="dxa" w:w="4680"/>
          </w:tcPr>
          <w:p>
            <w:pPr>
              <w:spacing w:after="40" w:before="40" w:line="240" w:lineRule="auto"/>
            </w:pPr>
            <w:r/>
            <w:r>
              <w:rPr>
                <w:rFonts w:ascii="Times New Roman" w:hAnsi="Times New Roman" w:eastAsia="Times New Roman"/>
                <w:b w:val="0"/>
                <w:i w:val="0"/>
                <w:sz w:val="20"/>
              </w:rPr>
              <w:t>Confirming or boundary</w:t>
            </w:r>
          </w:p>
        </w:tc>
        <w:tc>
          <w:tcPr>
            <w:tcW w:type="dxa" w:w="4680"/>
          </w:tcPr>
          <w:p>
            <w:pPr>
              <w:spacing w:after="40" w:before="40" w:line="240" w:lineRule="auto"/>
            </w:pPr>
            <w:r/>
            <w:r>
              <w:rPr>
                <w:rFonts w:ascii="Times New Roman" w:hAnsi="Times New Roman" w:eastAsia="Times New Roman"/>
                <w:b w:val="0"/>
                <w:i w:val="0"/>
                <w:sz w:val="20"/>
              </w:rPr>
              <w:t>Confirming = supports a later meaning unit; boundary = limits an over-broad claim</w:t>
            </w:r>
          </w:p>
        </w:tc>
      </w:tr>
      <w:tr>
        <w:tc>
          <w:tcPr>
            <w:tcW w:type="dxa" w:w="4680"/>
          </w:tcPr>
          <w:p>
            <w:pPr>
              <w:spacing w:after="40" w:before="40" w:line="240" w:lineRule="auto"/>
            </w:pPr>
            <w:r/>
            <w:r>
              <w:rPr>
                <w:rFonts w:ascii="Times New Roman" w:hAnsi="Times New Roman" w:eastAsia="Times New Roman"/>
                <w:b w:val="0"/>
                <w:i w:val="0"/>
                <w:sz w:val="20"/>
              </w:rPr>
              <w:t>Identifiers stripped</w:t>
            </w:r>
          </w:p>
        </w:tc>
        <w:tc>
          <w:tcPr>
            <w:tcW w:type="dxa" w:w="4680"/>
          </w:tcPr>
          <w:p>
            <w:pPr>
              <w:spacing w:after="40" w:before="40" w:line="240" w:lineRule="auto"/>
            </w:pPr>
            <w:r/>
            <w:r>
              <w:rPr>
                <w:rFonts w:ascii="Times New Roman" w:hAnsi="Times New Roman" w:eastAsia="Times New Roman"/>
                <w:b w:val="0"/>
                <w:i w:val="0"/>
                <w:sz w:val="20"/>
              </w:rPr>
              <w:t>Y/N date</w:t>
            </w:r>
          </w:p>
        </w:tc>
      </w:tr>
    </w:tbl>
    <w:p/>
    <w:p>
      <w:pPr>
        <w:spacing w:after="160" w:before="240" w:line="480" w:lineRule="auto"/>
      </w:pPr>
      <w:r>
        <w:rPr>
          <w:rFonts w:ascii="Times New Roman" w:hAnsi="Times New Roman" w:eastAsia="Times New Roman"/>
          <w:b/>
          <w:i w:val="0"/>
          <w:color w:val="9A3412"/>
          <w:sz w:val="24"/>
        </w:rPr>
        <w:t xml:space="preserve">3.4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De-identification SOP for artifacts</w:t>
      </w:r>
    </w:p>
    <w:p>
      <w:pPr>
        <w:spacing w:after="120" w:before="0" w:line="480" w:lineRule="auto"/>
      </w:pPr>
      <w:r>
        <w:rPr>
          <w:rFonts w:ascii="Times New Roman" w:hAnsi="Times New Roman" w:eastAsia="Times New Roman"/>
          <w:b w:val="0"/>
          <w:i w:val="0"/>
          <w:sz w:val="24"/>
        </w:rPr>
        <w:t>On receipt or on note-taking, replace:</w:t>
      </w:r>
    </w:p>
    <w:p>
      <w:pPr>
        <w:pStyle w:val="ListBullet"/>
        <w:spacing w:line="480" w:lineRule="auto"/>
      </w:pPr>
      <w:r>
        <w:rPr>
          <w:rFonts w:ascii="Times New Roman" w:hAnsi="Times New Roman" w:eastAsia="Times New Roman"/>
          <w:b w:val="0"/>
          <w:i w:val="0"/>
          <w:sz w:val="24"/>
        </w:rPr>
        <w:t>Person names → role only (</w:t>
      </w:r>
      <w:r>
        <w:rPr>
          <w:rFonts w:ascii="Times New Roman" w:hAnsi="Times New Roman" w:eastAsia="Times New Roman"/>
          <w:i/>
          <w:sz w:val="24"/>
        </w:rPr>
        <w:t>CFO</w:t>
      </w:r>
      <w:r>
        <w:rPr>
          <w:rFonts w:ascii="Times New Roman" w:hAnsi="Times New Roman" w:eastAsia="Times New Roman"/>
          <w:b w:val="0"/>
          <w:i w:val="0"/>
          <w:sz w:val="24"/>
        </w:rPr>
        <w:t xml:space="preserve">, </w:t>
      </w:r>
      <w:r>
        <w:rPr>
          <w:rFonts w:ascii="Times New Roman" w:hAnsi="Times New Roman" w:eastAsia="Times New Roman"/>
          <w:i/>
          <w:sz w:val="24"/>
        </w:rPr>
        <w:t>owner</w:t>
      </w:r>
      <w:r>
        <w:rPr>
          <w:rFonts w:ascii="Times New Roman" w:hAnsi="Times New Roman" w:eastAsia="Times New Roman"/>
          <w:b w:val="0"/>
          <w:i w:val="0"/>
          <w:sz w:val="24"/>
        </w:rPr>
        <w:t xml:space="preserve">, </w:t>
      </w:r>
      <w:r>
        <w:rPr>
          <w:rFonts w:ascii="Times New Roman" w:hAnsi="Times New Roman" w:eastAsia="Times New Roman"/>
          <w:i/>
          <w:sz w:val="24"/>
        </w:rPr>
        <w:t>help-desk lead</w:t>
      </w:r>
      <w:r>
        <w:rPr>
          <w:rFonts w:ascii="Times New Roman" w:hAnsi="Times New Roman" w:eastAsia="Times New Roman"/>
          <w:b w:val="0"/>
          <w:i w:val="0"/>
          <w:sz w:val="24"/>
        </w:rPr>
        <w:t>)</w:t>
      </w:r>
    </w:p>
    <w:p>
      <w:pPr>
        <w:pStyle w:val="ListBullet"/>
        <w:spacing w:line="480" w:lineRule="auto"/>
      </w:pPr>
      <w:r>
        <w:rPr>
          <w:rFonts w:ascii="Times New Roman" w:hAnsi="Times New Roman" w:eastAsia="Times New Roman"/>
          <w:b w:val="0"/>
          <w:i w:val="0"/>
          <w:sz w:val="24"/>
        </w:rPr>
        <w:t xml:space="preserve">Employer / client / city → </w:t>
      </w:r>
      <w:r>
        <w:rPr>
          <w:rFonts w:ascii="Times New Roman" w:hAnsi="Times New Roman" w:eastAsia="Times New Roman"/>
          <w:i/>
          <w:sz w:val="24"/>
        </w:rPr>
        <w:t>SME-A</w:t>
      </w:r>
      <w:r>
        <w:rPr>
          <w:rFonts w:ascii="Times New Roman" w:hAnsi="Times New Roman" w:eastAsia="Times New Roman"/>
          <w:b w:val="0"/>
          <w:i w:val="0"/>
          <w:sz w:val="24"/>
        </w:rPr>
        <w:t xml:space="preserve">, </w:t>
      </w:r>
      <w:r>
        <w:rPr>
          <w:rFonts w:ascii="Times New Roman" w:hAnsi="Times New Roman" w:eastAsia="Times New Roman"/>
          <w:i/>
          <w:sz w:val="24"/>
        </w:rPr>
        <w:t>site-1</w:t>
      </w:r>
    </w:p>
    <w:p>
      <w:pPr>
        <w:pStyle w:val="ListBullet"/>
        <w:spacing w:line="480" w:lineRule="auto"/>
      </w:pPr>
      <w:r>
        <w:rPr>
          <w:rFonts w:ascii="Times New Roman" w:hAnsi="Times New Roman" w:eastAsia="Times New Roman"/>
          <w:b w:val="0"/>
          <w:i w:val="0"/>
          <w:sz w:val="24"/>
        </w:rPr>
        <w:t xml:space="preserve">Vendor / product / platform → </w:t>
      </w:r>
      <w:r>
        <w:rPr>
          <w:rFonts w:ascii="Times New Roman" w:hAnsi="Times New Roman" w:eastAsia="Times New Roman"/>
          <w:i/>
          <w:sz w:val="24"/>
        </w:rPr>
        <w:t>Platform-1</w:t>
      </w:r>
      <w:r>
        <w:rPr>
          <w:rFonts w:ascii="Times New Roman" w:hAnsi="Times New Roman" w:eastAsia="Times New Roman"/>
          <w:b w:val="0"/>
          <w:i w:val="0"/>
          <w:sz w:val="24"/>
        </w:rPr>
        <w:t xml:space="preserve">, </w:t>
      </w:r>
      <w:r>
        <w:rPr>
          <w:rFonts w:ascii="Times New Roman" w:hAnsi="Times New Roman" w:eastAsia="Times New Roman"/>
          <w:i/>
          <w:sz w:val="24"/>
        </w:rPr>
        <w:t>Vendor-1</w:t>
      </w:r>
    </w:p>
    <w:p>
      <w:pPr>
        <w:pStyle w:val="ListBullet"/>
        <w:spacing w:line="480" w:lineRule="auto"/>
      </w:pPr>
      <w:r>
        <w:rPr>
          <w:rFonts w:ascii="Times New Roman" w:hAnsi="Times New Roman" w:eastAsia="Times New Roman"/>
          <w:b w:val="0"/>
          <w:i w:val="0"/>
          <w:sz w:val="24"/>
        </w:rPr>
        <w:t xml:space="preserve">IP addresses, account IDs, ticket numbers → </w:t>
      </w:r>
      <w:r>
        <w:rPr>
          <w:rFonts w:ascii="Times New Roman" w:hAnsi="Times New Roman" w:eastAsia="Times New Roman"/>
          <w:i/>
          <w:sz w:val="24"/>
        </w:rPr>
        <w:t>TICKET-##</w:t>
      </w:r>
    </w:p>
    <w:p>
      <w:pPr>
        <w:pStyle w:val="ListBullet"/>
        <w:spacing w:line="480" w:lineRule="auto"/>
      </w:pPr>
      <w:r>
        <w:rPr>
          <w:rFonts w:ascii="Times New Roman" w:hAnsi="Times New Roman" w:eastAsia="Times New Roman"/>
          <w:b w:val="0"/>
          <w:i w:val="0"/>
          <w:sz w:val="24"/>
        </w:rPr>
        <w:t xml:space="preserve">Exact RTO/RPO numbers that could identify a firm → keep the </w:t>
      </w:r>
      <w:r>
        <w:rPr>
          <w:rFonts w:ascii="Times New Roman" w:hAnsi="Times New Roman" w:eastAsia="Times New Roman"/>
          <w:i/>
          <w:sz w:val="24"/>
        </w:rPr>
        <w:t>relationship</w:t>
      </w:r>
      <w:r>
        <w:rPr>
          <w:rFonts w:ascii="Times New Roman" w:hAnsi="Times New Roman" w:eastAsia="Times New Roman"/>
          <w:b w:val="0"/>
          <w:i w:val="0"/>
          <w:sz w:val="24"/>
        </w:rPr>
        <w:t xml:space="preserve"> (missed, met, renegotiated), not the marketing figure, if the figure is unique</w:t>
      </w:r>
    </w:p>
    <w:p>
      <w:pPr>
        <w:spacing w:after="120" w:before="0" w:line="480" w:lineRule="auto"/>
      </w:pPr>
      <w:r>
        <w:rPr>
          <w:rFonts w:ascii="Times New Roman" w:hAnsi="Times New Roman" w:eastAsia="Times New Roman"/>
          <w:b w:val="0"/>
          <w:i w:val="0"/>
          <w:sz w:val="24"/>
        </w:rPr>
        <w:t>Do not store original Path A files outside the encrypted directory. Do not quote unique error strings that could identify a vendor incident write-up.</w:t>
      </w:r>
    </w:p>
    <w:p>
      <w:pPr>
        <w:spacing w:after="160" w:before="240" w:line="480" w:lineRule="auto"/>
      </w:pPr>
      <w:r>
        <w:rPr>
          <w:rFonts w:ascii="Times New Roman" w:hAnsi="Times New Roman" w:eastAsia="Times New Roman"/>
          <w:b/>
          <w:i w:val="0"/>
          <w:color w:val="9A3412"/>
          <w:sz w:val="24"/>
        </w:rPr>
        <w:t>3.5 How an artifact enters analysis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w:t>
      </w:r>
    </w:p>
    <w:p>
      <w:pPr>
        <w:spacing w:after="120" w:before="0" w:line="480" w:lineRule="auto"/>
      </w:pPr>
      <w:r>
        <w:rPr>
          <w:rFonts w:ascii="Times New Roman" w:hAnsi="Times New Roman" w:eastAsia="Times New Roman"/>
          <w:b w:val="0"/>
          <w:i w:val="0"/>
          <w:sz w:val="24"/>
        </w:rPr>
        <w:t xml:space="preserve">Every Artifact Map row becomes one row in the meaning-unit table (Section 4.3), in the same format as a spoken excerpt. The speaker field is </w:t>
      </w:r>
      <w:r>
        <w:rPr>
          <w:rFonts w:ascii="Times New Roman" w:hAnsi="Times New Roman" w:eastAsia="Times New Roman"/>
          <w:i/>
          <w:sz w:val="24"/>
        </w:rPr>
        <w:t>P## + artifact type + path</w:t>
      </w:r>
      <w:r>
        <w:rPr>
          <w:rFonts w:ascii="Times New Roman" w:hAnsi="Times New Roman" w:eastAsia="Times New Roman"/>
          <w:b w:val="0"/>
          <w:i w:val="0"/>
          <w:sz w:val="24"/>
        </w:rPr>
        <w:t xml:space="preserve">. NIST, ISO, or BCM named by the participant is </w:t>
      </w:r>
      <w:r>
        <w:rPr>
          <w:rFonts w:ascii="Times New Roman" w:hAnsi="Times New Roman" w:eastAsia="Times New Roman"/>
          <w:b/>
          <w:i w:val="0"/>
          <w:sz w:val="24"/>
        </w:rPr>
        <w:t>context</w:t>
      </w:r>
      <w:r>
        <w:rPr>
          <w:rFonts w:ascii="Times New Roman" w:hAnsi="Times New Roman" w:eastAsia="Times New Roman"/>
          <w:b w:val="0"/>
          <w:i w:val="0"/>
          <w:sz w:val="24"/>
        </w:rPr>
        <w:t xml:space="preserve"> in What We Know. It is not confirming data for a theme.</w:t>
      </w:r>
    </w:p>
    <w:p>
      <w:pPr>
        <w:spacing w:after="160" w:before="240" w:line="480" w:lineRule="auto"/>
      </w:pPr>
      <w:r>
        <w:rPr>
          <w:rFonts w:ascii="Times New Roman" w:hAnsi="Times New Roman" w:eastAsia="Times New Roman"/>
          <w:b/>
          <w:i w:val="0"/>
          <w:color w:val="9A3412"/>
          <w:sz w:val="28"/>
        </w:rPr>
        <w:t xml:space="preserve">4. </w:t>
      </w:r>
      <w:r>
        <w:rPr>
          <w:rFonts w:ascii="Times New Roman" w:hAnsi="Times New Roman" w:eastAsia="Times New Roman"/>
          <w:b/>
          <w:i w:val="0"/>
          <w:color w:val="9A3412"/>
          <w:sz w:val="28"/>
        </w:rPr>
        <w:t>NEW</w:t>
      </w:r>
      <w:r>
        <w:rPr>
          <w:rFonts w:ascii="Times New Roman" w:hAnsi="Times New Roman" w:eastAsia="Times New Roman"/>
          <w:b/>
          <w:i w:val="0"/>
          <w:color w:val="9A3412"/>
          <w:sz w:val="28"/>
        </w:rPr>
        <w:t xml:space="preserve"> Analysis Bridge (Practice 2 → ITDR Gap)</w:t>
      </w:r>
    </w:p>
    <w:p>
      <w:pPr>
        <w:spacing w:after="120" w:before="0" w:line="480" w:lineRule="auto"/>
      </w:pPr>
      <w:r>
        <w:rPr>
          <w:rFonts w:ascii="Times New Roman" w:hAnsi="Times New Roman" w:eastAsia="Times New Roman"/>
          <w:b w:val="0"/>
          <w:i w:val="0"/>
          <w:sz w:val="24"/>
        </w:rPr>
        <w:t>Do not start from the seven labels as theme titles. That would break Alignment Map alignment between Constructs and Data Analysis.</w:t>
      </w:r>
    </w:p>
    <w:p>
      <w:pPr>
        <w:spacing w:after="160" w:before="240" w:line="480" w:lineRule="auto"/>
      </w:pPr>
      <w:r>
        <w:rPr>
          <w:rFonts w:ascii="Times New Roman" w:hAnsi="Times New Roman" w:eastAsia="Times New Roman"/>
          <w:b/>
          <w:i w:val="0"/>
          <w:color w:val="1F3A5F"/>
          <w:sz w:val="24"/>
        </w:rPr>
        <w:t>4.1 Order of work</w:t>
      </w:r>
    </w:p>
    <w:p>
      <w:pPr>
        <w:pStyle w:val="ListNumber"/>
        <w:spacing w:line="480" w:lineRule="auto"/>
      </w:pPr>
      <w:r>
        <w:rPr>
          <w:rFonts w:ascii="Times New Roman" w:hAnsi="Times New Roman" w:eastAsia="Times New Roman"/>
          <w:b/>
          <w:i w:val="0"/>
          <w:sz w:val="24"/>
        </w:rPr>
        <w:t>Constructs node (before analysis):</w:t>
      </w:r>
      <w:r>
        <w:rPr>
          <w:rFonts w:ascii="Times New Roman" w:hAnsi="Times New Roman" w:eastAsia="Times New Roman"/>
          <w:b w:val="0"/>
          <w:i w:val="0"/>
          <w:sz w:val="24"/>
        </w:rPr>
        <w:t xml:space="preserve"> Power, Legitimacy, Urgency, Decision Rights, Escalation, Evidentiary Standards, Recoverability Assurance remain a sensitizing start-list and the interview topical sets.</w:t>
      </w:r>
    </w:p>
    <w:p>
      <w:pPr>
        <w:pStyle w:val="ListNumber"/>
        <w:spacing w:line="480" w:lineRule="auto"/>
      </w:pPr>
      <w:r>
        <w:rPr>
          <w:rFonts w:ascii="Times New Roman" w:hAnsi="Times New Roman" w:eastAsia="Times New Roman"/>
          <w:b/>
          <w:i w:val="0"/>
          <w:sz w:val="24"/>
        </w:rPr>
        <w:t>Data Collection:</w:t>
      </w:r>
      <w:r>
        <w:rPr>
          <w:rFonts w:ascii="Times New Roman" w:hAnsi="Times New Roman" w:eastAsia="Times New Roman"/>
          <w:b w:val="0"/>
          <w:i w:val="0"/>
          <w:sz w:val="24"/>
        </w:rPr>
        <w:t xml:space="preserve"> Use the protocol and artifact pipeline above.</w:t>
      </w:r>
    </w:p>
    <w:p>
      <w:pPr>
        <w:pStyle w:val="ListNumber"/>
        <w:spacing w:line="480" w:lineRule="auto"/>
      </w:pPr>
      <w:r>
        <w:rPr>
          <w:rFonts w:ascii="Times New Roman" w:hAnsi="Times New Roman" w:eastAsia="Times New Roman"/>
          <w:b/>
          <w:i w:val="0"/>
          <w:sz w:val="24"/>
        </w:rPr>
        <w:t>Data Analysis Step 1:</w:t>
      </w:r>
      <w:r>
        <w:rPr>
          <w:rFonts w:ascii="Times New Roman" w:hAnsi="Times New Roman" w:eastAsia="Times New Roman"/>
          <w:b w:val="0"/>
          <w:i w:val="0"/>
          <w:sz w:val="24"/>
        </w:rPr>
        <w:t xml:space="preserve"> After repeated reading of the transcript and Artifact Map, lock meaning units that state a </w:t>
      </w:r>
      <w:r>
        <w:rPr>
          <w:rFonts w:ascii="Times New Roman" w:hAnsi="Times New Roman" w:eastAsia="Times New Roman"/>
          <w:i/>
          <w:sz w:val="24"/>
        </w:rPr>
        <w:t>practice claim</w:t>
      </w:r>
      <w:r>
        <w:rPr>
          <w:rFonts w:ascii="Times New Roman" w:hAnsi="Times New Roman" w:eastAsia="Times New Roman"/>
          <w:b w:val="0"/>
          <w:i w:val="0"/>
          <w:sz w:val="24"/>
        </w:rPr>
        <w:t xml:space="preserve"> before any theme name is written (Aronson, 1994; Taylor &amp; Bogdan, 1998).</w:t>
      </w:r>
    </w:p>
    <w:p>
      <w:pPr>
        <w:pStyle w:val="ListNumber"/>
        <w:spacing w:line="480" w:lineRule="auto"/>
      </w:pPr>
      <w:r>
        <w:rPr>
          <w:rFonts w:ascii="Times New Roman" w:hAnsi="Times New Roman" w:eastAsia="Times New Roman"/>
          <w:b/>
          <w:i w:val="0"/>
          <w:sz w:val="24"/>
        </w:rPr>
        <w:t>Step 2:</w:t>
      </w:r>
      <w:r>
        <w:rPr>
          <w:rFonts w:ascii="Times New Roman" w:hAnsi="Times New Roman" w:eastAsia="Times New Roman"/>
          <w:b w:val="0"/>
          <w:i w:val="0"/>
          <w:sz w:val="24"/>
        </w:rPr>
        <w:t xml:space="preserve"> Confirm each unit with a named excerpt </w:t>
      </w:r>
      <w:r>
        <w:rPr>
          <w:rFonts w:ascii="Times New Roman" w:hAnsi="Times New Roman" w:eastAsia="Times New Roman"/>
          <w:b/>
          <w:i w:val="0"/>
          <w:sz w:val="24"/>
        </w:rPr>
        <w:t>and</w:t>
      </w:r>
      <w:r>
        <w:rPr>
          <w:rFonts w:ascii="Times New Roman" w:hAnsi="Times New Roman" w:eastAsia="Times New Roman"/>
          <w:b w:val="0"/>
          <w:i w:val="0"/>
          <w:sz w:val="24"/>
        </w:rPr>
        <w:t xml:space="preserve"> a negative or boundary case (Practice 2 rule).</w:t>
      </w:r>
    </w:p>
    <w:p>
      <w:pPr>
        <w:pStyle w:val="ListNumber"/>
        <w:spacing w:line="480" w:lineRule="auto"/>
      </w:pPr>
      <w:r>
        <w:rPr>
          <w:rFonts w:ascii="Times New Roman" w:hAnsi="Times New Roman" w:eastAsia="Times New Roman"/>
          <w:b/>
          <w:i w:val="0"/>
          <w:sz w:val="24"/>
        </w:rPr>
        <w:t>Step 3:</w:t>
      </w:r>
      <w:r>
        <w:rPr>
          <w:rFonts w:ascii="Times New Roman" w:hAnsi="Times New Roman" w:eastAsia="Times New Roman"/>
          <w:b w:val="0"/>
          <w:i w:val="0"/>
          <w:sz w:val="24"/>
        </w:rPr>
        <w:t xml:space="preserve"> Group related units only when they describe the same </w:t>
      </w:r>
      <w:r>
        <w:rPr>
          <w:rFonts w:ascii="Times New Roman" w:hAnsi="Times New Roman" w:eastAsia="Times New Roman"/>
          <w:b/>
          <w:i w:val="0"/>
          <w:sz w:val="24"/>
        </w:rPr>
        <w:t>salience-to-assurance bargain</w:t>
      </w:r>
      <w:r>
        <w:rPr>
          <w:rFonts w:ascii="Times New Roman" w:hAnsi="Times New Roman" w:eastAsia="Times New Roman"/>
          <w:b w:val="0"/>
          <w:i w:val="0"/>
          <w:sz w:val="24"/>
        </w:rPr>
        <w:t xml:space="preserve"> (who counted → who decided → what counted as proof), not merely the same recovery topic (Braun &amp; Clarke, 2021).</w:t>
      </w:r>
    </w:p>
    <w:p>
      <w:pPr>
        <w:pStyle w:val="ListNumber"/>
        <w:spacing w:line="480" w:lineRule="auto"/>
      </w:pPr>
      <w:r>
        <w:rPr>
          <w:rFonts w:ascii="Times New Roman" w:hAnsi="Times New Roman" w:eastAsia="Times New Roman"/>
          <w:b/>
          <w:i w:val="0"/>
          <w:sz w:val="24"/>
        </w:rPr>
        <w:t>Step 4:</w:t>
      </w:r>
      <w:r>
        <w:rPr>
          <w:rFonts w:ascii="Times New Roman" w:hAnsi="Times New Roman" w:eastAsia="Times New Roman"/>
          <w:b w:val="0"/>
          <w:i w:val="0"/>
          <w:sz w:val="24"/>
        </w:rPr>
        <w:t xml:space="preserve"> Synthesize two separate answers — PQ1 and PQ2 — so salience and proof do not collapse into one recovery story (Percy et al., 2015; Lester et al., 2020).</w:t>
      </w:r>
    </w:p>
    <w:p>
      <w:pPr>
        <w:pStyle w:val="ListNumber"/>
        <w:spacing w:line="480" w:lineRule="auto"/>
      </w:pPr>
      <w:r>
        <w:rPr>
          <w:rFonts w:ascii="Times New Roman" w:hAnsi="Times New Roman" w:eastAsia="Times New Roman"/>
          <w:b/>
          <w:i w:val="0"/>
          <w:sz w:val="24"/>
        </w:rPr>
        <w:t>Mapping pass (after themes exist):</w:t>
      </w:r>
      <w:r>
        <w:rPr>
          <w:rFonts w:ascii="Times New Roman" w:hAnsi="Times New Roman" w:eastAsia="Times New Roman"/>
          <w:b w:val="0"/>
          <w:i w:val="0"/>
          <w:sz w:val="24"/>
        </w:rPr>
        <w:t xml:space="preserve"> Only now map emergent themes back onto the Gap mechanism. A theme may touch more than one construct. A construct with no supporting meaning unit is a finding of absence, not a license to force a theme.</w:t>
      </w:r>
    </w:p>
    <w:p>
      <w:pPr>
        <w:spacing w:after="160" w:before="240" w:line="480" w:lineRule="auto"/>
      </w:pPr>
      <w:r>
        <w:rPr>
          <w:rFonts w:ascii="Times New Roman" w:hAnsi="Times New Roman" w:eastAsia="Times New Roman"/>
          <w:b/>
          <w:i w:val="0"/>
          <w:color w:val="9A3412"/>
          <w:sz w:val="24"/>
        </w:rPr>
        <w:t>4.2 Relatedness test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w:t>
      </w:r>
    </w:p>
    <w:p>
      <w:pPr>
        <w:spacing w:after="120" w:before="0" w:line="480" w:lineRule="auto"/>
      </w:pPr>
      <w:r>
        <w:rPr>
          <w:rFonts w:ascii="Times New Roman" w:hAnsi="Times New Roman" w:eastAsia="Times New Roman"/>
          <w:b w:val="0"/>
          <w:i w:val="0"/>
          <w:sz w:val="24"/>
        </w:rPr>
        <w:t xml:space="preserve">Ask of every proposed grouping: </w:t>
      </w:r>
      <w:r>
        <w:rPr>
          <w:rFonts w:ascii="Times New Roman" w:hAnsi="Times New Roman" w:eastAsia="Times New Roman"/>
          <w:i/>
          <w:sz w:val="24"/>
        </w:rPr>
        <w:t>Do these units describe the same bargain?</w:t>
      </w:r>
    </w:p>
    <w:p>
      <w:pPr>
        <w:pStyle w:val="ListBullet"/>
        <w:spacing w:line="480" w:lineRule="auto"/>
      </w:pPr>
      <w:r>
        <w:rPr>
          <w:rFonts w:ascii="Times New Roman" w:hAnsi="Times New Roman" w:eastAsia="Times New Roman"/>
          <w:b w:val="0"/>
          <w:i w:val="0"/>
          <w:sz w:val="24"/>
        </w:rPr>
        <w:t xml:space="preserve">Same bargain example: executive pressure reordered restore priority </w:t>
      </w:r>
      <w:r>
        <w:rPr>
          <w:rFonts w:ascii="Times New Roman" w:hAnsi="Times New Roman" w:eastAsia="Times New Roman"/>
          <w:b/>
          <w:i w:val="0"/>
          <w:sz w:val="24"/>
        </w:rPr>
        <w:t>and</w:t>
      </w:r>
      <w:r>
        <w:rPr>
          <w:rFonts w:ascii="Times New Roman" w:hAnsi="Times New Roman" w:eastAsia="Times New Roman"/>
          <w:b w:val="0"/>
          <w:i w:val="0"/>
          <w:sz w:val="24"/>
        </w:rPr>
        <w:t xml:space="preserve"> the written RTO was ignored </w:t>
      </w:r>
      <w:r>
        <w:rPr>
          <w:rFonts w:ascii="Times New Roman" w:hAnsi="Times New Roman" w:eastAsia="Times New Roman"/>
          <w:b/>
          <w:i w:val="0"/>
          <w:sz w:val="24"/>
        </w:rPr>
        <w:t>and</w:t>
      </w:r>
      <w:r>
        <w:rPr>
          <w:rFonts w:ascii="Times New Roman" w:hAnsi="Times New Roman" w:eastAsia="Times New Roman"/>
          <w:b w:val="0"/>
          <w:i w:val="0"/>
          <w:sz w:val="24"/>
        </w:rPr>
        <w:t xml:space="preserve"> “up” was declared without an integrity check.</w:t>
      </w:r>
    </w:p>
    <w:p>
      <w:pPr>
        <w:pStyle w:val="ListBullet"/>
        <w:spacing w:line="480" w:lineRule="auto"/>
      </w:pPr>
      <w:r>
        <w:rPr>
          <w:rFonts w:ascii="Times New Roman" w:hAnsi="Times New Roman" w:eastAsia="Times New Roman"/>
          <w:b w:val="0"/>
          <w:i w:val="0"/>
          <w:sz w:val="24"/>
        </w:rPr>
        <w:t>Same topic, not same bargain: “we used the cloud failover tool” and “we had a DR plan” — do not combine only because both are about recovery.</w:t>
      </w:r>
    </w:p>
    <w:p>
      <w:pPr>
        <w:spacing w:after="160" w:before="240" w:line="480" w:lineRule="auto"/>
      </w:pPr>
      <w:r>
        <w:rPr>
          <w:rFonts w:ascii="Times New Roman" w:hAnsi="Times New Roman" w:eastAsia="Times New Roman"/>
          <w:b/>
          <w:i w:val="0"/>
          <w:color w:val="9A3412"/>
          <w:sz w:val="24"/>
        </w:rPr>
        <w:t xml:space="preserve">4.3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Meaning-unit table template</w:t>
      </w:r>
    </w:p>
    <w:p>
      <w:pPr>
        <w:spacing w:after="120" w:before="0" w:line="480" w:lineRule="auto"/>
      </w:pPr>
      <w:r>
        <w:rPr>
          <w:rFonts w:ascii="Times New Roman" w:hAnsi="Times New Roman" w:eastAsia="Times New Roman"/>
          <w:b w:val="0"/>
          <w:i w:val="0"/>
          <w:sz w:val="24"/>
        </w:rPr>
        <w:t>Copy one table per study, add rows as units lock.</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before="40" w:line="240" w:lineRule="auto"/>
            </w:pPr>
            <w:r/>
            <w:r>
              <w:rPr>
                <w:rFonts w:ascii="Times New Roman" w:hAnsi="Times New Roman" w:eastAsia="Times New Roman"/>
                <w:b/>
                <w:i w:val="0"/>
                <w:sz w:val="20"/>
              </w:rPr>
              <w:t>MU</w:t>
            </w:r>
          </w:p>
        </w:tc>
        <w:tc>
          <w:tcPr>
            <w:tcW w:type="dxa" w:w="1337"/>
          </w:tcPr>
          <w:p>
            <w:pPr>
              <w:spacing w:after="40" w:before="40" w:line="240" w:lineRule="auto"/>
            </w:pPr>
            <w:r/>
            <w:r>
              <w:rPr>
                <w:rFonts w:ascii="Times New Roman" w:hAnsi="Times New Roman" w:eastAsia="Times New Roman"/>
                <w:b/>
                <w:i w:val="0"/>
                <w:sz w:val="20"/>
              </w:rPr>
              <w:t>Meaning-claim (practice sentence, not a noun)</w:t>
            </w:r>
          </w:p>
        </w:tc>
        <w:tc>
          <w:tcPr>
            <w:tcW w:type="dxa" w:w="1337"/>
          </w:tcPr>
          <w:p>
            <w:pPr>
              <w:spacing w:after="40" w:before="40" w:line="240" w:lineRule="auto"/>
            </w:pPr>
            <w:r/>
            <w:r>
              <w:rPr>
                <w:rFonts w:ascii="Times New Roman" w:hAnsi="Times New Roman" w:eastAsia="Times New Roman"/>
                <w:b/>
                <w:i w:val="0"/>
                <w:sz w:val="20"/>
              </w:rPr>
              <w:t>Inclusion bound</w:t>
            </w:r>
          </w:p>
        </w:tc>
        <w:tc>
          <w:tcPr>
            <w:tcW w:type="dxa" w:w="1337"/>
          </w:tcPr>
          <w:p>
            <w:pPr>
              <w:spacing w:after="40" w:before="40" w:line="240" w:lineRule="auto"/>
            </w:pPr>
            <w:r/>
            <w:r>
              <w:rPr>
                <w:rFonts w:ascii="Times New Roman" w:hAnsi="Times New Roman" w:eastAsia="Times New Roman"/>
                <w:b/>
                <w:i w:val="0"/>
                <w:sz w:val="20"/>
              </w:rPr>
              <w:t>Confirming excerpt (P## + city/role band + incident type — no firm name)</w:t>
            </w:r>
          </w:p>
        </w:tc>
        <w:tc>
          <w:tcPr>
            <w:tcW w:type="dxa" w:w="1337"/>
          </w:tcPr>
          <w:p>
            <w:pPr>
              <w:spacing w:after="40" w:before="40" w:line="240" w:lineRule="auto"/>
            </w:pPr>
            <w:r/>
            <w:r>
              <w:rPr>
                <w:rFonts w:ascii="Times New Roman" w:hAnsi="Times New Roman" w:eastAsia="Times New Roman"/>
                <w:b/>
                <w:i w:val="0"/>
                <w:sz w:val="20"/>
              </w:rPr>
              <w:t>Artifact row (if any)</w:t>
            </w:r>
          </w:p>
        </w:tc>
        <w:tc>
          <w:tcPr>
            <w:tcW w:type="dxa" w:w="1337"/>
          </w:tcPr>
          <w:p>
            <w:pPr>
              <w:spacing w:after="40" w:before="40" w:line="240" w:lineRule="auto"/>
            </w:pPr>
            <w:r/>
            <w:r>
              <w:rPr>
                <w:rFonts w:ascii="Times New Roman" w:hAnsi="Times New Roman" w:eastAsia="Times New Roman"/>
                <w:b/>
                <w:i w:val="0"/>
                <w:sz w:val="20"/>
              </w:rPr>
              <w:t>Negative / boundary case</w:t>
            </w:r>
          </w:p>
        </w:tc>
        <w:tc>
          <w:tcPr>
            <w:tcW w:type="dxa" w:w="1337"/>
          </w:tcPr>
          <w:p>
            <w:pPr>
              <w:spacing w:after="40" w:before="40" w:line="240" w:lineRule="auto"/>
            </w:pPr>
            <w:r/>
            <w:r>
              <w:rPr>
                <w:rFonts w:ascii="Times New Roman" w:hAnsi="Times New Roman" w:eastAsia="Times New Roman"/>
                <w:b/>
                <w:i w:val="0"/>
                <w:sz w:val="20"/>
              </w:rPr>
              <w:t>Later theme (filled in Step 3 only)</w:t>
            </w:r>
          </w:p>
        </w:tc>
      </w:tr>
      <w:tr>
        <w:tc>
          <w:tcPr>
            <w:tcW w:type="dxa" w:w="1337"/>
          </w:tcPr>
          <w:p>
            <w:pPr>
              <w:spacing w:after="40" w:before="40" w:line="240" w:lineRule="auto"/>
            </w:pPr>
            <w:r/>
            <w:r>
              <w:rPr>
                <w:rFonts w:ascii="Times New Roman" w:hAnsi="Times New Roman" w:eastAsia="Times New Roman"/>
                <w:b w:val="0"/>
                <w:i w:val="0"/>
                <w:sz w:val="20"/>
              </w:rPr>
              <w:t>MU1</w:t>
            </w:r>
          </w:p>
        </w:tc>
        <w:tc>
          <w:tcPr>
            <w:tcW w:type="dxa" w:w="1337"/>
          </w:tcPr>
          <w:p>
            <w:pPr>
              <w:spacing w:after="40" w:before="40" w:line="240" w:lineRule="auto"/>
            </w:pPr>
            <w:r/>
          </w:p>
        </w:tc>
        <w:tc>
          <w:tcPr>
            <w:tcW w:type="dxa" w:w="1337"/>
          </w:tcPr>
          <w:p>
            <w:pPr>
              <w:spacing w:after="40" w:before="40" w:line="240" w:lineRule="auto"/>
            </w:pPr>
            <w:r/>
          </w:p>
        </w:tc>
        <w:tc>
          <w:tcPr>
            <w:tcW w:type="dxa" w:w="1337"/>
          </w:tcPr>
          <w:p>
            <w:pPr>
              <w:spacing w:after="40" w:before="40" w:line="240" w:lineRule="auto"/>
            </w:pPr>
            <w:r/>
          </w:p>
        </w:tc>
        <w:tc>
          <w:tcPr>
            <w:tcW w:type="dxa" w:w="1337"/>
          </w:tcPr>
          <w:p>
            <w:pPr>
              <w:spacing w:after="40" w:before="40" w:line="240" w:lineRule="auto"/>
            </w:pPr>
            <w:r/>
          </w:p>
        </w:tc>
        <w:tc>
          <w:tcPr>
            <w:tcW w:type="dxa" w:w="1337"/>
          </w:tcPr>
          <w:p>
            <w:pPr>
              <w:spacing w:after="40" w:before="40" w:line="240" w:lineRule="auto"/>
            </w:pPr>
            <w:r/>
          </w:p>
        </w:tc>
        <w:tc>
          <w:tcPr>
            <w:tcW w:type="dxa" w:w="1337"/>
          </w:tcPr>
          <w:p>
            <w:pPr>
              <w:spacing w:after="40" w:before="40" w:line="240" w:lineRule="auto"/>
            </w:pPr>
            <w:r/>
            <w:r>
              <w:rPr>
                <w:rFonts w:ascii="Times New Roman" w:hAnsi="Times New Roman" w:eastAsia="Times New Roman"/>
                <w:b w:val="0"/>
                <w:i w:val="0"/>
                <w:sz w:val="20"/>
              </w:rPr>
              <w:t>—</w:t>
            </w:r>
          </w:p>
        </w:tc>
      </w:tr>
      <w:tr>
        <w:tc>
          <w:tcPr>
            <w:tcW w:type="dxa" w:w="1337"/>
          </w:tcPr>
          <w:p>
            <w:pPr>
              <w:spacing w:after="40" w:before="40" w:line="240" w:lineRule="auto"/>
            </w:pPr>
            <w:r/>
            <w:r>
              <w:rPr>
                <w:rFonts w:ascii="Times New Roman" w:hAnsi="Times New Roman" w:eastAsia="Times New Roman"/>
                <w:b w:val="0"/>
                <w:i w:val="0"/>
                <w:sz w:val="20"/>
              </w:rPr>
              <w:t>MU2</w:t>
            </w:r>
          </w:p>
        </w:tc>
        <w:tc>
          <w:tcPr>
            <w:tcW w:type="dxa" w:w="1337"/>
          </w:tcPr>
          <w:p>
            <w:pPr>
              <w:spacing w:after="40" w:before="40" w:line="240" w:lineRule="auto"/>
            </w:pPr>
            <w:r/>
          </w:p>
        </w:tc>
        <w:tc>
          <w:tcPr>
            <w:tcW w:type="dxa" w:w="1337"/>
          </w:tcPr>
          <w:p>
            <w:pPr>
              <w:spacing w:after="40" w:before="40" w:line="240" w:lineRule="auto"/>
            </w:pPr>
            <w:r/>
          </w:p>
        </w:tc>
        <w:tc>
          <w:tcPr>
            <w:tcW w:type="dxa" w:w="1337"/>
          </w:tcPr>
          <w:p>
            <w:pPr>
              <w:spacing w:after="40" w:before="40" w:line="240" w:lineRule="auto"/>
            </w:pPr>
            <w:r/>
          </w:p>
        </w:tc>
        <w:tc>
          <w:tcPr>
            <w:tcW w:type="dxa" w:w="1337"/>
          </w:tcPr>
          <w:p>
            <w:pPr>
              <w:spacing w:after="40" w:before="40" w:line="240" w:lineRule="auto"/>
            </w:pPr>
            <w:r/>
          </w:p>
        </w:tc>
        <w:tc>
          <w:tcPr>
            <w:tcW w:type="dxa" w:w="1337"/>
          </w:tcPr>
          <w:p>
            <w:pPr>
              <w:spacing w:after="40" w:before="40" w:line="240" w:lineRule="auto"/>
            </w:pPr>
            <w:r/>
          </w:p>
        </w:tc>
        <w:tc>
          <w:tcPr>
            <w:tcW w:type="dxa" w:w="1337"/>
          </w:tcPr>
          <w:p>
            <w:pPr>
              <w:spacing w:after="40" w:before="40" w:line="240" w:lineRule="auto"/>
            </w:pPr>
            <w:r/>
            <w:r>
              <w:rPr>
                <w:rFonts w:ascii="Times New Roman" w:hAnsi="Times New Roman" w:eastAsia="Times New Roman"/>
                <w:b w:val="0"/>
                <w:i w:val="0"/>
                <w:sz w:val="20"/>
              </w:rPr>
              <w:t>—</w:t>
            </w:r>
          </w:p>
        </w:tc>
      </w:tr>
    </w:tbl>
    <w:p/>
    <w:p>
      <w:pPr>
        <w:spacing w:after="120" w:before="0" w:line="480" w:lineRule="auto"/>
      </w:pPr>
      <w:r>
        <w:rPr>
          <w:rFonts w:ascii="Times New Roman" w:hAnsi="Times New Roman" w:eastAsia="Times New Roman"/>
          <w:b/>
          <w:i w:val="0"/>
          <w:sz w:val="24"/>
        </w:rPr>
        <w:t>Required:</w:t>
      </w:r>
      <w:r>
        <w:rPr>
          <w:rFonts w:ascii="Times New Roman" w:hAnsi="Times New Roman" w:eastAsia="Times New Roman"/>
          <w:b w:val="0"/>
          <w:i w:val="0"/>
          <w:sz w:val="24"/>
        </w:rPr>
        <w:t xml:space="preserve"> at least one boundary case per sensitizing construct across the corpus (for example, a manager who never escalated; a restoration accepted with no reviewable proof; a low-power stakeholder whose claim still won).</w:t>
      </w:r>
    </w:p>
    <w:p>
      <w:pPr>
        <w:spacing w:after="160" w:before="240" w:line="480" w:lineRule="auto"/>
      </w:pPr>
      <w:r>
        <w:rPr>
          <w:rFonts w:ascii="Times New Roman" w:hAnsi="Times New Roman" w:eastAsia="Times New Roman"/>
          <w:b/>
          <w:i w:val="0"/>
          <w:color w:val="9A3412"/>
          <w:sz w:val="24"/>
        </w:rPr>
        <w:t xml:space="preserve">4.4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Worked analysis-bridge example (illustrative only)</w:t>
      </w:r>
    </w:p>
    <w:p>
      <w:pPr>
        <w:spacing w:after="120" w:before="0" w:line="480" w:lineRule="auto"/>
      </w:pPr>
      <w:r>
        <w:rPr>
          <w:rFonts w:ascii="Times New Roman" w:hAnsi="Times New Roman" w:eastAsia="Times New Roman"/>
          <w:b w:val="0"/>
          <w:i w:val="0"/>
          <w:sz w:val="24"/>
        </w:rPr>
        <w:t>Not findings. This shows how a future incident would travel the bridge.</w:t>
      </w:r>
    </w:p>
    <w:p>
      <w:pPr>
        <w:pStyle w:val="ListBullet"/>
        <w:spacing w:line="480" w:lineRule="auto"/>
      </w:pPr>
      <w:r>
        <w:rPr>
          <w:rFonts w:ascii="Times New Roman" w:hAnsi="Times New Roman" w:eastAsia="Times New Roman"/>
          <w:b/>
          <w:i w:val="0"/>
          <w:sz w:val="24"/>
        </w:rPr>
        <w:t>Q0 excerpt (illustrative):</w:t>
      </w:r>
      <w:r>
        <w:rPr>
          <w:rFonts w:ascii="Times New Roman" w:hAnsi="Times New Roman" w:eastAsia="Times New Roman"/>
          <w:b w:val="0"/>
          <w:i w:val="0"/>
          <w:sz w:val="24"/>
        </w:rPr>
        <w:t xml:space="preserve"> “The owner wanted email first. I wanted finance first because payroll was in two hours.”</w:t>
      </w:r>
    </w:p>
    <w:p>
      <w:pPr>
        <w:pStyle w:val="ListBullet"/>
        <w:spacing w:line="480" w:lineRule="auto"/>
      </w:pPr>
      <w:r>
        <w:rPr>
          <w:rFonts w:ascii="Times New Roman" w:hAnsi="Times New Roman" w:eastAsia="Times New Roman"/>
          <w:b/>
          <w:i w:val="0"/>
          <w:sz w:val="24"/>
        </w:rPr>
        <w:t>Step 1 MU:</w:t>
      </w:r>
      <w:r>
        <w:rPr>
          <w:rFonts w:ascii="Times New Roman" w:hAnsi="Times New Roman" w:eastAsia="Times New Roman"/>
          <w:b w:val="0"/>
          <w:i w:val="0"/>
          <w:sz w:val="24"/>
        </w:rPr>
        <w:t xml:space="preserve"> Competing restore claims were ranked by who could halt the work, not by the written critical-service list.</w:t>
      </w:r>
    </w:p>
    <w:p>
      <w:pPr>
        <w:pStyle w:val="ListBullet"/>
        <w:spacing w:line="480" w:lineRule="auto"/>
      </w:pPr>
      <w:r>
        <w:rPr>
          <w:rFonts w:ascii="Times New Roman" w:hAnsi="Times New Roman" w:eastAsia="Times New Roman"/>
          <w:b/>
          <w:i w:val="0"/>
          <w:sz w:val="24"/>
        </w:rPr>
        <w:t>Set A follow-up:</w:t>
      </w:r>
      <w:r>
        <w:rPr>
          <w:rFonts w:ascii="Times New Roman" w:hAnsi="Times New Roman" w:eastAsia="Times New Roman"/>
          <w:b w:val="0"/>
          <w:i w:val="0"/>
          <w:sz w:val="24"/>
        </w:rPr>
        <w:t xml:space="preserve"> Owner could stop the failover; finance manager could not.</w:t>
      </w:r>
    </w:p>
    <w:p>
      <w:pPr>
        <w:pStyle w:val="ListBullet"/>
        <w:spacing w:line="480" w:lineRule="auto"/>
      </w:pPr>
      <w:r>
        <w:rPr>
          <w:rFonts w:ascii="Times New Roman" w:hAnsi="Times New Roman" w:eastAsia="Times New Roman"/>
          <w:b/>
          <w:i w:val="0"/>
          <w:sz w:val="24"/>
        </w:rPr>
        <w:t>Artifact Path B:</w:t>
      </w:r>
      <w:r>
        <w:rPr>
          <w:rFonts w:ascii="Times New Roman" w:hAnsi="Times New Roman" w:eastAsia="Times New Roman"/>
          <w:b w:val="0"/>
          <w:i w:val="0"/>
          <w:sz w:val="24"/>
        </w:rPr>
        <w:t xml:space="preserve"> Verbal reconstruction of an escalation matrix that listed finance first; unused in the event.</w:t>
      </w:r>
    </w:p>
    <w:p>
      <w:pPr>
        <w:pStyle w:val="ListBullet"/>
        <w:spacing w:line="480" w:lineRule="auto"/>
      </w:pPr>
      <w:r>
        <w:rPr>
          <w:rFonts w:ascii="Times New Roman" w:hAnsi="Times New Roman" w:eastAsia="Times New Roman"/>
          <w:b/>
          <w:i w:val="0"/>
          <w:sz w:val="24"/>
        </w:rPr>
        <w:t>Boundary case to seek later:</w:t>
      </w:r>
      <w:r>
        <w:rPr>
          <w:rFonts w:ascii="Times New Roman" w:hAnsi="Times New Roman" w:eastAsia="Times New Roman"/>
          <w:b w:val="0"/>
          <w:i w:val="0"/>
          <w:sz w:val="24"/>
        </w:rPr>
        <w:t xml:space="preserve"> A participant whose written matrix </w:t>
      </w:r>
      <w:r>
        <w:rPr>
          <w:rFonts w:ascii="Times New Roman" w:hAnsi="Times New Roman" w:eastAsia="Times New Roman"/>
          <w:i/>
          <w:sz w:val="24"/>
        </w:rPr>
        <w:t>was</w:t>
      </w:r>
      <w:r>
        <w:rPr>
          <w:rFonts w:ascii="Times New Roman" w:hAnsi="Times New Roman" w:eastAsia="Times New Roman"/>
          <w:b w:val="0"/>
          <w:i w:val="0"/>
          <w:sz w:val="24"/>
        </w:rPr>
        <w:t xml:space="preserve"> followed against owner pressure.</w:t>
      </w:r>
    </w:p>
    <w:p>
      <w:pPr>
        <w:pStyle w:val="ListBullet"/>
        <w:spacing w:line="480" w:lineRule="auto"/>
      </w:pPr>
      <w:r>
        <w:rPr>
          <w:rFonts w:ascii="Times New Roman" w:hAnsi="Times New Roman" w:eastAsia="Times New Roman"/>
          <w:b/>
          <w:i w:val="0"/>
          <w:sz w:val="24"/>
        </w:rPr>
        <w:t>Step 3 bargain:</w:t>
      </w:r>
      <w:r>
        <w:rPr>
          <w:rFonts w:ascii="Times New Roman" w:hAnsi="Times New Roman" w:eastAsia="Times New Roman"/>
          <w:b w:val="0"/>
          <w:i w:val="0"/>
          <w:sz w:val="24"/>
        </w:rPr>
        <w:t xml:space="preserve"> Power reordered priority; written legitimacy of the matrix lost; proof of “email is up” was a user ping, not an integrity check.</w:t>
      </w:r>
    </w:p>
    <w:p>
      <w:pPr>
        <w:pStyle w:val="ListBullet"/>
        <w:spacing w:line="480" w:lineRule="auto"/>
      </w:pPr>
      <w:r>
        <w:rPr>
          <w:rFonts w:ascii="Times New Roman" w:hAnsi="Times New Roman" w:eastAsia="Times New Roman"/>
          <w:b/>
          <w:i w:val="0"/>
          <w:sz w:val="24"/>
        </w:rPr>
        <w:t>Step 4:</w:t>
      </w:r>
      <w:r>
        <w:rPr>
          <w:rFonts w:ascii="Times New Roman" w:hAnsi="Times New Roman" w:eastAsia="Times New Roman"/>
          <w:b w:val="0"/>
          <w:i w:val="0"/>
          <w:sz w:val="24"/>
        </w:rPr>
        <w:t xml:space="preserve"> PQ1 paragraph on whose claim counted; PQ2 paragraph on who decided and what counted as enough proof.</w:t>
      </w:r>
    </w:p>
    <w:p>
      <w:pPr>
        <w:spacing w:after="160" w:before="240" w:line="480" w:lineRule="auto"/>
      </w:pPr>
      <w:r>
        <w:rPr>
          <w:rFonts w:ascii="Times New Roman" w:hAnsi="Times New Roman" w:eastAsia="Times New Roman"/>
          <w:b/>
          <w:i w:val="0"/>
          <w:color w:val="9A3412"/>
          <w:sz w:val="24"/>
        </w:rPr>
        <w:t>4.5 Saturation / stopping rule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w:t>
      </w:r>
    </w:p>
    <w:p>
      <w:pPr>
        <w:spacing w:after="120" w:before="0" w:line="480" w:lineRule="auto"/>
      </w:pPr>
      <w:r>
        <w:rPr>
          <w:rFonts w:ascii="Times New Roman" w:hAnsi="Times New Roman" w:eastAsia="Times New Roman"/>
          <w:b w:val="0"/>
          <w:i w:val="0"/>
          <w:sz w:val="24"/>
        </w:rPr>
        <w:t>Do not claim that 10–15 interviews saturate the Gap. Use information power (Malterud et al., 2016): narrow aim, specific sample, theoretically informed dialogue. Use Naeem et al. (2024) as a decision guide: stop adding interviews when new sessions no longer create new meaning units on the salience-to-assurance bargain, after at least one boundary case per construct. Guest et al. (2006) may be cited only in that stopping discussion, never as the interview method.</w:t>
      </w:r>
    </w:p>
    <w:p>
      <w:pPr>
        <w:spacing w:after="160" w:before="240" w:line="480" w:lineRule="auto"/>
      </w:pPr>
      <w:r>
        <w:rPr>
          <w:rFonts w:ascii="Times New Roman" w:hAnsi="Times New Roman" w:eastAsia="Times New Roman"/>
          <w:b/>
          <w:i w:val="0"/>
          <w:color w:val="1F3A5F"/>
          <w:sz w:val="28"/>
        </w:rPr>
        <w:t>5. Citation Revisions</w:t>
      </w:r>
    </w:p>
    <w:p>
      <w:pPr>
        <w:spacing w:after="160" w:before="240" w:line="480" w:lineRule="auto"/>
      </w:pPr>
      <w:r>
        <w:rPr>
          <w:rFonts w:ascii="Times New Roman" w:hAnsi="Times New Roman" w:eastAsia="Times New Roman"/>
          <w:b/>
          <w:i w:val="0"/>
          <w:color w:val="9A3412"/>
          <w:sz w:val="24"/>
        </w:rPr>
        <w:t xml:space="preserve">5.1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Allowed-use table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Source</w:t>
            </w:r>
          </w:p>
        </w:tc>
        <w:tc>
          <w:tcPr>
            <w:tcW w:type="dxa" w:w="3120"/>
          </w:tcPr>
          <w:p>
            <w:pPr>
              <w:spacing w:after="40" w:before="40" w:line="240" w:lineRule="auto"/>
            </w:pPr>
            <w:r/>
            <w:r>
              <w:rPr>
                <w:rFonts w:ascii="Times New Roman" w:hAnsi="Times New Roman" w:eastAsia="Times New Roman"/>
                <w:b/>
                <w:i w:val="0"/>
                <w:sz w:val="20"/>
              </w:rPr>
              <w:t>Allowed use in this plan</w:t>
            </w:r>
          </w:p>
        </w:tc>
        <w:tc>
          <w:tcPr>
            <w:tcW w:type="dxa" w:w="3120"/>
          </w:tcPr>
          <w:p>
            <w:pPr>
              <w:spacing w:after="40" w:before="40" w:line="240" w:lineRule="auto"/>
            </w:pPr>
            <w:r/>
            <w:r>
              <w:rPr>
                <w:rFonts w:ascii="Times New Roman" w:hAnsi="Times New Roman" w:eastAsia="Times New Roman"/>
                <w:b/>
                <w:i w:val="0"/>
                <w:sz w:val="20"/>
              </w:rPr>
              <w:t>Remove from</w:t>
            </w:r>
          </w:p>
        </w:tc>
      </w:tr>
      <w:tr>
        <w:tc>
          <w:tcPr>
            <w:tcW w:type="dxa" w:w="3120"/>
          </w:tcPr>
          <w:p>
            <w:pPr>
              <w:spacing w:after="40" w:before="40" w:line="240" w:lineRule="auto"/>
            </w:pPr>
            <w:r/>
            <w:r>
              <w:rPr>
                <w:rFonts w:ascii="Times New Roman" w:hAnsi="Times New Roman" w:eastAsia="Times New Roman"/>
                <w:b w:val="0"/>
                <w:i w:val="0"/>
                <w:sz w:val="20"/>
              </w:rPr>
              <w:t>Mitchell et al. (1997)</w:t>
            </w:r>
          </w:p>
        </w:tc>
        <w:tc>
          <w:tcPr>
            <w:tcW w:type="dxa" w:w="3120"/>
          </w:tcPr>
          <w:p>
            <w:pPr>
              <w:spacing w:after="40" w:before="40" w:line="240" w:lineRule="auto"/>
            </w:pPr>
            <w:r/>
            <w:r>
              <w:rPr>
                <w:rFonts w:ascii="Times New Roman" w:hAnsi="Times New Roman" w:eastAsia="Times New Roman"/>
                <w:b w:val="0"/>
                <w:i w:val="0"/>
                <w:sz w:val="20"/>
              </w:rPr>
              <w:t>Constructs: power, legitimacy, urgency; topical sets A–C</w:t>
            </w:r>
          </w:p>
        </w:tc>
        <w:tc>
          <w:tcPr>
            <w:tcW w:type="dxa" w:w="3120"/>
          </w:tcPr>
          <w:p>
            <w:pPr>
              <w:spacing w:after="40" w:before="40" w:line="240" w:lineRule="auto"/>
            </w:pPr>
            <w:r/>
            <w:r>
              <w:rPr>
                <w:rFonts w:ascii="Times New Roman" w:hAnsi="Times New Roman" w:eastAsia="Times New Roman"/>
                <w:b w:val="0"/>
                <w:i w:val="0"/>
                <w:sz w:val="20"/>
              </w:rPr>
              <w:t>Findings; theme titles</w:t>
            </w:r>
          </w:p>
        </w:tc>
      </w:tr>
      <w:tr>
        <w:tc>
          <w:tcPr>
            <w:tcW w:type="dxa" w:w="3120"/>
          </w:tcPr>
          <w:p>
            <w:pPr>
              <w:spacing w:after="40" w:before="40" w:line="240" w:lineRule="auto"/>
            </w:pPr>
            <w:r/>
            <w:r>
              <w:rPr>
                <w:rFonts w:ascii="Times New Roman" w:hAnsi="Times New Roman" w:eastAsia="Times New Roman"/>
                <w:b w:val="0"/>
                <w:i w:val="0"/>
                <w:sz w:val="20"/>
              </w:rPr>
              <w:t>Donaldson &amp; Preston (1995); Freeman et al. (2004)</w:t>
            </w:r>
          </w:p>
        </w:tc>
        <w:tc>
          <w:tcPr>
            <w:tcW w:type="dxa" w:w="3120"/>
          </w:tcPr>
          <w:p>
            <w:pPr>
              <w:spacing w:after="40" w:before="40" w:line="240" w:lineRule="auto"/>
            </w:pPr>
            <w:r/>
            <w:r>
              <w:rPr>
                <w:rFonts w:ascii="Times New Roman" w:hAnsi="Times New Roman" w:eastAsia="Times New Roman"/>
                <w:b w:val="0"/>
                <w:i w:val="0"/>
                <w:sz w:val="20"/>
              </w:rPr>
              <w:t>What We Know / Gap / Need (stakeholder-claim management; corporate objective)</w:t>
            </w:r>
          </w:p>
        </w:tc>
        <w:tc>
          <w:tcPr>
            <w:tcW w:type="dxa" w:w="3120"/>
          </w:tcPr>
          <w:p>
            <w:pPr>
              <w:spacing w:after="40" w:before="40" w:line="240" w:lineRule="auto"/>
            </w:pPr>
            <w:r/>
            <w:r>
              <w:rPr>
                <w:rFonts w:ascii="Times New Roman" w:hAnsi="Times New Roman" w:eastAsia="Times New Roman"/>
                <w:b w:val="0"/>
                <w:i w:val="0"/>
                <w:sz w:val="20"/>
              </w:rPr>
              <w:t>CIT; interview procedures</w:t>
            </w:r>
          </w:p>
        </w:tc>
      </w:tr>
      <w:tr>
        <w:tc>
          <w:tcPr>
            <w:tcW w:type="dxa" w:w="3120"/>
          </w:tcPr>
          <w:p>
            <w:pPr>
              <w:spacing w:after="40" w:before="40" w:line="240" w:lineRule="auto"/>
            </w:pPr>
            <w:r/>
            <w:r>
              <w:rPr>
                <w:rFonts w:ascii="Times New Roman" w:hAnsi="Times New Roman" w:eastAsia="Times New Roman"/>
                <w:b w:val="0"/>
                <w:i w:val="0"/>
                <w:sz w:val="20"/>
              </w:rPr>
              <w:t>Freeman et al. (2020)</w:t>
            </w:r>
          </w:p>
        </w:tc>
        <w:tc>
          <w:tcPr>
            <w:tcW w:type="dxa" w:w="3120"/>
          </w:tcPr>
          <w:p>
            <w:pPr>
              <w:spacing w:after="40" w:before="40" w:line="240" w:lineRule="auto"/>
            </w:pPr>
            <w:r/>
            <w:r>
              <w:rPr>
                <w:rFonts w:ascii="Times New Roman" w:hAnsi="Times New Roman" w:eastAsia="Times New Roman"/>
                <w:b w:val="0"/>
                <w:i w:val="0"/>
                <w:sz w:val="20"/>
              </w:rPr>
              <w:t>Need / What We Know only: value-creation stakeholder theory (</w:t>
            </w:r>
            <w:r>
              <w:rPr>
                <w:rFonts w:ascii="Times New Roman" w:hAnsi="Times New Roman" w:eastAsia="Times New Roman"/>
                <w:i/>
                <w:sz w:val="20"/>
              </w:rPr>
              <w:t>VCST</w:t>
            </w:r>
            <w:r>
              <w:rPr>
                <w:rFonts w:ascii="Times New Roman" w:hAnsi="Times New Roman" w:eastAsia="Times New Roman"/>
                <w:b w:val="0"/>
                <w:i w:val="0"/>
                <w:sz w:val="20"/>
              </w:rPr>
              <w:t>); cooperative value creation and trade</w:t>
            </w:r>
          </w:p>
        </w:tc>
        <w:tc>
          <w:tcPr>
            <w:tcW w:type="dxa" w:w="3120"/>
          </w:tcPr>
          <w:p>
            <w:pPr>
              <w:spacing w:after="40" w:before="40" w:line="240" w:lineRule="auto"/>
            </w:pPr>
            <w:r/>
            <w:r>
              <w:rPr>
                <w:rFonts w:ascii="Times New Roman" w:hAnsi="Times New Roman" w:eastAsia="Times New Roman"/>
                <w:b w:val="0"/>
                <w:i w:val="0"/>
                <w:sz w:val="20"/>
              </w:rPr>
              <w:t>Replacing 1995/2004; Mitchell 1997 defs; spoken questions; theme titles</w:t>
            </w:r>
          </w:p>
        </w:tc>
      </w:tr>
      <w:tr>
        <w:tc>
          <w:tcPr>
            <w:tcW w:type="dxa" w:w="3120"/>
          </w:tcPr>
          <w:p>
            <w:pPr>
              <w:spacing w:after="40" w:before="40" w:line="240" w:lineRule="auto"/>
            </w:pPr>
            <w:r/>
            <w:r>
              <w:rPr>
                <w:rFonts w:ascii="Times New Roman" w:hAnsi="Times New Roman" w:eastAsia="Times New Roman"/>
                <w:b w:val="0"/>
                <w:i w:val="0"/>
                <w:sz w:val="20"/>
              </w:rPr>
              <w:t>Lowry et al. (2025); Park et al. (2023)</w:t>
            </w:r>
          </w:p>
        </w:tc>
        <w:tc>
          <w:tcPr>
            <w:tcW w:type="dxa" w:w="3120"/>
          </w:tcPr>
          <w:p>
            <w:pPr>
              <w:spacing w:after="40" w:before="40" w:line="240" w:lineRule="auto"/>
            </w:pPr>
            <w:r/>
            <w:r>
              <w:rPr>
                <w:rFonts w:ascii="Times New Roman" w:hAnsi="Times New Roman" w:eastAsia="Times New Roman"/>
                <w:b w:val="0"/>
                <w:i w:val="0"/>
                <w:sz w:val="20"/>
              </w:rPr>
              <w:t>Recoverability assurance definition; PQ2</w:t>
            </w:r>
          </w:p>
        </w:tc>
        <w:tc>
          <w:tcPr>
            <w:tcW w:type="dxa" w:w="3120"/>
          </w:tcPr>
          <w:p>
            <w:pPr>
              <w:spacing w:after="40" w:before="40" w:line="240" w:lineRule="auto"/>
            </w:pPr>
            <w:r/>
            <w:r>
              <w:rPr>
                <w:rFonts w:ascii="Times New Roman" w:hAnsi="Times New Roman" w:eastAsia="Times New Roman"/>
                <w:b w:val="0"/>
                <w:i w:val="0"/>
                <w:sz w:val="20"/>
              </w:rPr>
              <w:t>Sampling screens</w:t>
            </w:r>
          </w:p>
        </w:tc>
      </w:tr>
      <w:tr>
        <w:tc>
          <w:tcPr>
            <w:tcW w:type="dxa" w:w="3120"/>
          </w:tcPr>
          <w:p>
            <w:pPr>
              <w:spacing w:after="40" w:before="40" w:line="240" w:lineRule="auto"/>
            </w:pPr>
            <w:r/>
            <w:r>
              <w:rPr>
                <w:rFonts w:ascii="Times New Roman" w:hAnsi="Times New Roman" w:eastAsia="Times New Roman"/>
                <w:b w:val="0"/>
                <w:i w:val="0"/>
                <w:sz w:val="20"/>
              </w:rPr>
              <w:t>Dorobantu et al. (2024)</w:t>
            </w:r>
          </w:p>
        </w:tc>
        <w:tc>
          <w:tcPr>
            <w:tcW w:type="dxa" w:w="3120"/>
          </w:tcPr>
          <w:p>
            <w:pPr>
              <w:spacing w:after="40" w:before="40" w:line="240" w:lineRule="auto"/>
            </w:pPr>
            <w:r/>
            <w:r>
              <w:rPr>
                <w:rFonts w:ascii="Times New Roman" w:hAnsi="Times New Roman" w:eastAsia="Times New Roman"/>
                <w:b w:val="0"/>
                <w:i w:val="0"/>
                <w:sz w:val="20"/>
              </w:rPr>
              <w:t>Why now (legitimacy judgments in fast information environments)</w:t>
            </w:r>
          </w:p>
        </w:tc>
        <w:tc>
          <w:tcPr>
            <w:tcW w:type="dxa" w:w="3120"/>
          </w:tcPr>
          <w:p>
            <w:pPr>
              <w:spacing w:after="40" w:before="40" w:line="240" w:lineRule="auto"/>
            </w:pPr>
            <w:r/>
            <w:r>
              <w:rPr>
                <w:rFonts w:ascii="Times New Roman" w:hAnsi="Times New Roman" w:eastAsia="Times New Roman"/>
                <w:b w:val="0"/>
                <w:i w:val="0"/>
                <w:sz w:val="20"/>
              </w:rPr>
              <w:t>Methods</w:t>
            </w:r>
          </w:p>
        </w:tc>
      </w:tr>
      <w:tr>
        <w:tc>
          <w:tcPr>
            <w:tcW w:type="dxa" w:w="3120"/>
          </w:tcPr>
          <w:p>
            <w:pPr>
              <w:spacing w:after="40" w:before="40" w:line="240" w:lineRule="auto"/>
            </w:pPr>
            <w:r/>
            <w:r>
              <w:rPr>
                <w:rFonts w:ascii="Times New Roman" w:hAnsi="Times New Roman" w:eastAsia="Times New Roman"/>
                <w:b w:val="0"/>
                <w:i w:val="0"/>
                <w:sz w:val="20"/>
              </w:rPr>
              <w:t>Flanagan (1954); Chell (2004); Butterfield et al. (2005)</w:t>
            </w:r>
          </w:p>
        </w:tc>
        <w:tc>
          <w:tcPr>
            <w:tcW w:type="dxa" w:w="3120"/>
          </w:tcPr>
          <w:p>
            <w:pPr>
              <w:spacing w:after="40" w:before="40" w:line="240" w:lineRule="auto"/>
            </w:pPr>
            <w:r/>
            <w:r>
              <w:rPr>
                <w:rFonts w:ascii="Times New Roman" w:hAnsi="Times New Roman" w:eastAsia="Times New Roman"/>
                <w:b/>
                <w:i w:val="0"/>
                <w:sz w:val="20"/>
              </w:rPr>
              <w:t>NEW</w:t>
            </w:r>
            <w:r>
              <w:rPr>
                <w:rFonts w:ascii="Times New Roman" w:hAnsi="Times New Roman" w:eastAsia="Times New Roman"/>
                <w:b w:val="0"/>
                <w:i w:val="0"/>
                <w:sz w:val="20"/>
              </w:rPr>
              <w:t xml:space="preserve"> CIT method for Q0</w:t>
            </w:r>
          </w:p>
        </w:tc>
        <w:tc>
          <w:tcPr>
            <w:tcW w:type="dxa" w:w="3120"/>
          </w:tcPr>
          <w:p>
            <w:pPr>
              <w:spacing w:after="40" w:before="40" w:line="240" w:lineRule="auto"/>
            </w:pPr>
            <w:r/>
            <w:r>
              <w:rPr>
                <w:rFonts w:ascii="Times New Roman" w:hAnsi="Times New Roman" w:eastAsia="Times New Roman"/>
                <w:b w:val="0"/>
                <w:i w:val="0"/>
                <w:sz w:val="20"/>
              </w:rPr>
              <w:t>—</w:t>
            </w:r>
          </w:p>
        </w:tc>
      </w:tr>
      <w:tr>
        <w:tc>
          <w:tcPr>
            <w:tcW w:type="dxa" w:w="3120"/>
          </w:tcPr>
          <w:p>
            <w:pPr>
              <w:spacing w:after="40" w:before="40" w:line="240" w:lineRule="auto"/>
            </w:pPr>
            <w:r/>
            <w:r>
              <w:rPr>
                <w:rFonts w:ascii="Times New Roman" w:hAnsi="Times New Roman" w:eastAsia="Times New Roman"/>
                <w:b w:val="0"/>
                <w:i w:val="0"/>
                <w:sz w:val="20"/>
              </w:rPr>
              <w:t>Caelli et al. (2003); Kahlke (2014); Percy et al. (2015)</w:t>
            </w:r>
          </w:p>
        </w:tc>
        <w:tc>
          <w:tcPr>
            <w:tcW w:type="dxa" w:w="3120"/>
          </w:tcPr>
          <w:p>
            <w:pPr>
              <w:spacing w:after="40" w:before="40" w:line="240" w:lineRule="auto"/>
            </w:pPr>
            <w:r/>
            <w:r>
              <w:rPr>
                <w:rFonts w:ascii="Times New Roman" w:hAnsi="Times New Roman" w:eastAsia="Times New Roman"/>
                <w:b w:val="0"/>
                <w:i w:val="0"/>
                <w:sz w:val="20"/>
              </w:rPr>
              <w:t>GQI design justification</w:t>
            </w:r>
          </w:p>
        </w:tc>
        <w:tc>
          <w:tcPr>
            <w:tcW w:type="dxa" w:w="3120"/>
          </w:tcPr>
          <w:p>
            <w:pPr>
              <w:spacing w:after="40" w:before="40" w:line="240" w:lineRule="auto"/>
            </w:pPr>
            <w:r/>
            <w:r>
              <w:rPr>
                <w:rFonts w:ascii="Times New Roman" w:hAnsi="Times New Roman" w:eastAsia="Times New Roman"/>
                <w:b w:val="0"/>
                <w:i w:val="0"/>
                <w:sz w:val="20"/>
              </w:rPr>
              <w:t>Inclusion-criteria screens (Caelli is not a sampling manual)</w:t>
            </w:r>
          </w:p>
        </w:tc>
      </w:tr>
      <w:tr>
        <w:tc>
          <w:tcPr>
            <w:tcW w:type="dxa" w:w="3120"/>
          </w:tcPr>
          <w:p>
            <w:pPr>
              <w:spacing w:after="40" w:before="40" w:line="240" w:lineRule="auto"/>
            </w:pPr>
            <w:r/>
            <w:r>
              <w:rPr>
                <w:rFonts w:ascii="Times New Roman" w:hAnsi="Times New Roman" w:eastAsia="Times New Roman"/>
                <w:b w:val="0"/>
                <w:i w:val="0"/>
                <w:sz w:val="20"/>
              </w:rPr>
              <w:t>Aronson (1994); Taylor &amp; Bogdan (1998); Braun &amp; Clarke (2021)</w:t>
            </w:r>
          </w:p>
        </w:tc>
        <w:tc>
          <w:tcPr>
            <w:tcW w:type="dxa" w:w="3120"/>
          </w:tcPr>
          <w:p>
            <w:pPr>
              <w:spacing w:after="40" w:before="40" w:line="240" w:lineRule="auto"/>
            </w:pPr>
            <w:r/>
            <w:r>
              <w:rPr>
                <w:rFonts w:ascii="Times New Roman" w:hAnsi="Times New Roman" w:eastAsia="Times New Roman"/>
                <w:b w:val="0"/>
                <w:i w:val="0"/>
                <w:sz w:val="20"/>
              </w:rPr>
              <w:t>Data Analysis Steps 1–4</w:t>
            </w:r>
          </w:p>
        </w:tc>
        <w:tc>
          <w:tcPr>
            <w:tcW w:type="dxa" w:w="3120"/>
          </w:tcPr>
          <w:p>
            <w:pPr>
              <w:spacing w:after="40" w:before="40" w:line="240" w:lineRule="auto"/>
            </w:pPr>
            <w:r/>
            <w:r>
              <w:rPr>
                <w:rFonts w:ascii="Times New Roman" w:hAnsi="Times New Roman" w:eastAsia="Times New Roman"/>
                <w:b w:val="0"/>
                <w:i w:val="0"/>
                <w:sz w:val="20"/>
              </w:rPr>
              <w:t>Collection as if they were interview protocols</w:t>
            </w:r>
          </w:p>
        </w:tc>
      </w:tr>
      <w:tr>
        <w:tc>
          <w:tcPr>
            <w:tcW w:type="dxa" w:w="3120"/>
          </w:tcPr>
          <w:p>
            <w:pPr>
              <w:spacing w:after="40" w:before="40" w:line="240" w:lineRule="auto"/>
            </w:pPr>
            <w:r/>
            <w:r>
              <w:rPr>
                <w:rFonts w:ascii="Times New Roman" w:hAnsi="Times New Roman" w:eastAsia="Times New Roman"/>
                <w:b w:val="0"/>
                <w:i w:val="0"/>
                <w:sz w:val="20"/>
              </w:rPr>
              <w:t>Braun &amp; Clarke (2019)</w:t>
            </w:r>
          </w:p>
        </w:tc>
        <w:tc>
          <w:tcPr>
            <w:tcW w:type="dxa" w:w="3120"/>
          </w:tcPr>
          <w:p>
            <w:pPr>
              <w:spacing w:after="40" w:before="40" w:line="240" w:lineRule="auto"/>
            </w:pPr>
            <w:r/>
            <w:r>
              <w:rPr>
                <w:rFonts w:ascii="Times New Roman" w:hAnsi="Times New Roman" w:eastAsia="Times New Roman"/>
                <w:b w:val="0"/>
                <w:i w:val="0"/>
                <w:sz w:val="20"/>
              </w:rPr>
              <w:t>Reflexive memo; confirmability</w:t>
            </w:r>
          </w:p>
        </w:tc>
        <w:tc>
          <w:tcPr>
            <w:tcW w:type="dxa" w:w="3120"/>
          </w:tcPr>
          <w:p>
            <w:pPr>
              <w:spacing w:after="40" w:before="40" w:line="240" w:lineRule="auto"/>
            </w:pPr>
            <w:r/>
            <w:r>
              <w:rPr>
                <w:rFonts w:ascii="Times New Roman" w:hAnsi="Times New Roman" w:eastAsia="Times New Roman"/>
                <w:b w:val="0"/>
                <w:i w:val="0"/>
                <w:sz w:val="20"/>
              </w:rPr>
              <w:t>—</w:t>
            </w:r>
          </w:p>
        </w:tc>
      </w:tr>
      <w:tr>
        <w:tc>
          <w:tcPr>
            <w:tcW w:type="dxa" w:w="3120"/>
          </w:tcPr>
          <w:p>
            <w:pPr>
              <w:spacing w:after="40" w:before="40" w:line="240" w:lineRule="auto"/>
            </w:pPr>
            <w:r/>
            <w:r>
              <w:rPr>
                <w:rFonts w:ascii="Times New Roman" w:hAnsi="Times New Roman" w:eastAsia="Times New Roman"/>
                <w:b w:val="0"/>
                <w:i w:val="0"/>
                <w:sz w:val="20"/>
              </w:rPr>
              <w:t>Lester et al. (2020)</w:t>
            </w:r>
          </w:p>
        </w:tc>
        <w:tc>
          <w:tcPr>
            <w:tcW w:type="dxa" w:w="3120"/>
          </w:tcPr>
          <w:p>
            <w:pPr>
              <w:spacing w:after="40" w:before="40" w:line="240" w:lineRule="auto"/>
            </w:pPr>
            <w:r/>
            <w:r>
              <w:rPr>
                <w:rFonts w:ascii="Times New Roman" w:hAnsi="Times New Roman" w:eastAsia="Times New Roman"/>
                <w:b w:val="0"/>
                <w:i w:val="0"/>
                <w:sz w:val="20"/>
              </w:rPr>
              <w:t>Write-up as continuation of analysis</w:t>
            </w:r>
          </w:p>
        </w:tc>
        <w:tc>
          <w:tcPr>
            <w:tcW w:type="dxa" w:w="3120"/>
          </w:tcPr>
          <w:p>
            <w:pPr>
              <w:spacing w:after="40" w:before="40" w:line="240" w:lineRule="auto"/>
            </w:pPr>
            <w:r/>
            <w:r>
              <w:rPr>
                <w:rFonts w:ascii="Times New Roman" w:hAnsi="Times New Roman" w:eastAsia="Times New Roman"/>
                <w:b w:val="0"/>
                <w:i w:val="0"/>
                <w:sz w:val="20"/>
              </w:rPr>
              <w:t>—</w:t>
            </w:r>
          </w:p>
        </w:tc>
      </w:tr>
      <w:tr>
        <w:tc>
          <w:tcPr>
            <w:tcW w:type="dxa" w:w="3120"/>
          </w:tcPr>
          <w:p>
            <w:pPr>
              <w:spacing w:after="40" w:before="40" w:line="240" w:lineRule="auto"/>
            </w:pPr>
            <w:r/>
            <w:r>
              <w:rPr>
                <w:rFonts w:ascii="Times New Roman" w:hAnsi="Times New Roman" w:eastAsia="Times New Roman"/>
                <w:b w:val="0"/>
                <w:i w:val="0"/>
                <w:sz w:val="20"/>
              </w:rPr>
              <w:t>Lincoln &amp; Guba (1985); Korstjens &amp; Moser (2018)</w:t>
            </w:r>
          </w:p>
        </w:tc>
        <w:tc>
          <w:tcPr>
            <w:tcW w:type="dxa" w:w="3120"/>
          </w:tcPr>
          <w:p>
            <w:pPr>
              <w:spacing w:after="40" w:before="40" w:line="240" w:lineRule="auto"/>
            </w:pPr>
            <w:r/>
            <w:r>
              <w:rPr>
                <w:rFonts w:ascii="Times New Roman" w:hAnsi="Times New Roman" w:eastAsia="Times New Roman"/>
                <w:b w:val="0"/>
                <w:i w:val="0"/>
                <w:sz w:val="20"/>
              </w:rPr>
              <w:t>Trustworthiness / Dependability</w:t>
            </w:r>
          </w:p>
        </w:tc>
        <w:tc>
          <w:tcPr>
            <w:tcW w:type="dxa" w:w="3120"/>
          </w:tcPr>
          <w:p>
            <w:pPr>
              <w:spacing w:after="40" w:before="40" w:line="240" w:lineRule="auto"/>
            </w:pPr>
            <w:r/>
            <w:r>
              <w:rPr>
                <w:rFonts w:ascii="Times New Roman" w:hAnsi="Times New Roman" w:eastAsia="Times New Roman"/>
                <w:b w:val="0"/>
                <w:i w:val="0"/>
                <w:sz w:val="20"/>
              </w:rPr>
              <w:t>Quantitative validity language</w:t>
            </w:r>
          </w:p>
        </w:tc>
      </w:tr>
      <w:tr>
        <w:tc>
          <w:tcPr>
            <w:tcW w:type="dxa" w:w="3120"/>
          </w:tcPr>
          <w:p>
            <w:pPr>
              <w:spacing w:after="40" w:before="40" w:line="240" w:lineRule="auto"/>
            </w:pPr>
            <w:r/>
            <w:r>
              <w:rPr>
                <w:rFonts w:ascii="Times New Roman" w:hAnsi="Times New Roman" w:eastAsia="Times New Roman"/>
                <w:b w:val="0"/>
                <w:i w:val="0"/>
                <w:sz w:val="20"/>
              </w:rPr>
              <w:t>Malterud et al. (2016)</w:t>
            </w:r>
          </w:p>
        </w:tc>
        <w:tc>
          <w:tcPr>
            <w:tcW w:type="dxa" w:w="3120"/>
          </w:tcPr>
          <w:p>
            <w:pPr>
              <w:spacing w:after="40" w:before="40" w:line="240" w:lineRule="auto"/>
            </w:pPr>
            <w:r/>
            <w:r>
              <w:rPr>
                <w:rFonts w:ascii="Times New Roman" w:hAnsi="Times New Roman" w:eastAsia="Times New Roman"/>
                <w:b/>
                <w:i w:val="0"/>
                <w:sz w:val="20"/>
              </w:rPr>
              <w:t>NEW</w:t>
            </w:r>
            <w:r>
              <w:rPr>
                <w:rFonts w:ascii="Times New Roman" w:hAnsi="Times New Roman" w:eastAsia="Times New Roman"/>
                <w:b w:val="0"/>
                <w:i w:val="0"/>
                <w:sz w:val="20"/>
              </w:rPr>
              <w:t xml:space="preserve"> n = 10–15 information power</w:t>
            </w:r>
          </w:p>
        </w:tc>
        <w:tc>
          <w:tcPr>
            <w:tcW w:type="dxa" w:w="3120"/>
          </w:tcPr>
          <w:p>
            <w:pPr>
              <w:spacing w:after="40" w:before="40" w:line="240" w:lineRule="auto"/>
            </w:pPr>
            <w:r/>
            <w:r>
              <w:rPr>
                <w:rFonts w:ascii="Times New Roman" w:hAnsi="Times New Roman" w:eastAsia="Times New Roman"/>
                <w:b w:val="0"/>
                <w:i w:val="0"/>
                <w:sz w:val="20"/>
              </w:rPr>
              <w:t>—</w:t>
            </w:r>
          </w:p>
        </w:tc>
      </w:tr>
      <w:tr>
        <w:tc>
          <w:tcPr>
            <w:tcW w:type="dxa" w:w="3120"/>
          </w:tcPr>
          <w:p>
            <w:pPr>
              <w:spacing w:after="40" w:before="40" w:line="240" w:lineRule="auto"/>
            </w:pPr>
            <w:r/>
            <w:r>
              <w:rPr>
                <w:rFonts w:ascii="Times New Roman" w:hAnsi="Times New Roman" w:eastAsia="Times New Roman"/>
                <w:b w:val="0"/>
                <w:i w:val="0"/>
                <w:sz w:val="20"/>
              </w:rPr>
              <w:t>Naeem et al. (2024)</w:t>
            </w:r>
          </w:p>
        </w:tc>
        <w:tc>
          <w:tcPr>
            <w:tcW w:type="dxa" w:w="3120"/>
          </w:tcPr>
          <w:p>
            <w:pPr>
              <w:spacing w:after="40" w:before="40" w:line="240" w:lineRule="auto"/>
            </w:pPr>
            <w:r/>
            <w:r>
              <w:rPr>
                <w:rFonts w:ascii="Times New Roman" w:hAnsi="Times New Roman" w:eastAsia="Times New Roman"/>
                <w:b w:val="0"/>
                <w:i w:val="0"/>
                <w:sz w:val="20"/>
              </w:rPr>
              <w:t>Saturation as decision guide</w:t>
            </w:r>
          </w:p>
        </w:tc>
        <w:tc>
          <w:tcPr>
            <w:tcW w:type="dxa" w:w="3120"/>
          </w:tcPr>
          <w:p>
            <w:pPr>
              <w:spacing w:after="40" w:before="40" w:line="240" w:lineRule="auto"/>
            </w:pPr>
            <w:r/>
            <w:r>
              <w:rPr>
                <w:rFonts w:ascii="Times New Roman" w:hAnsi="Times New Roman" w:eastAsia="Times New Roman"/>
                <w:b w:val="0"/>
                <w:i w:val="0"/>
                <w:sz w:val="20"/>
              </w:rPr>
              <w:t>Claim that n saturates</w:t>
            </w:r>
          </w:p>
        </w:tc>
      </w:tr>
      <w:tr>
        <w:tc>
          <w:tcPr>
            <w:tcW w:type="dxa" w:w="3120"/>
          </w:tcPr>
          <w:p>
            <w:pPr>
              <w:spacing w:after="40" w:before="40" w:line="240" w:lineRule="auto"/>
            </w:pPr>
            <w:r/>
            <w:r>
              <w:rPr>
                <w:rFonts w:ascii="Times New Roman" w:hAnsi="Times New Roman" w:eastAsia="Times New Roman"/>
                <w:b w:val="0"/>
                <w:i w:val="0"/>
                <w:sz w:val="20"/>
              </w:rPr>
              <w:t>Guest et al. (2006)</w:t>
            </w:r>
          </w:p>
        </w:tc>
        <w:tc>
          <w:tcPr>
            <w:tcW w:type="dxa" w:w="3120"/>
          </w:tcPr>
          <w:p>
            <w:pPr>
              <w:spacing w:after="40" w:before="40" w:line="240" w:lineRule="auto"/>
            </w:pPr>
            <w:r/>
            <w:r>
              <w:rPr>
                <w:rFonts w:ascii="Times New Roman" w:hAnsi="Times New Roman" w:eastAsia="Times New Roman"/>
                <w:b w:val="0"/>
                <w:i w:val="0"/>
                <w:sz w:val="20"/>
              </w:rPr>
              <w:t>Optional stopping discussion only</w:t>
            </w:r>
          </w:p>
        </w:tc>
        <w:tc>
          <w:tcPr>
            <w:tcW w:type="dxa" w:w="3120"/>
          </w:tcPr>
          <w:p>
            <w:pPr>
              <w:spacing w:after="40" w:before="40" w:line="240" w:lineRule="auto"/>
            </w:pPr>
            <w:r/>
            <w:r>
              <w:rPr>
                <w:rFonts w:ascii="Times New Roman" w:hAnsi="Times New Roman" w:eastAsia="Times New Roman"/>
                <w:b w:val="0"/>
                <w:i w:val="0"/>
                <w:sz w:val="20"/>
              </w:rPr>
              <w:t>CIT; GQI execution; recruitment</w:t>
            </w:r>
          </w:p>
        </w:tc>
      </w:tr>
      <w:tr>
        <w:tc>
          <w:tcPr>
            <w:tcW w:type="dxa" w:w="3120"/>
          </w:tcPr>
          <w:p>
            <w:pPr>
              <w:spacing w:after="40" w:before="40" w:line="240" w:lineRule="auto"/>
            </w:pPr>
            <w:r/>
            <w:r>
              <w:rPr>
                <w:rFonts w:ascii="Times New Roman" w:hAnsi="Times New Roman" w:eastAsia="Times New Roman"/>
                <w:b w:val="0"/>
                <w:i w:val="0"/>
                <w:sz w:val="20"/>
              </w:rPr>
              <w:t>NIST / BCM / ISO (as named by participants)</w:t>
            </w:r>
          </w:p>
        </w:tc>
        <w:tc>
          <w:tcPr>
            <w:tcW w:type="dxa" w:w="3120"/>
          </w:tcPr>
          <w:p>
            <w:pPr>
              <w:spacing w:after="40" w:before="40" w:line="240" w:lineRule="auto"/>
            </w:pPr>
            <w:r/>
            <w:r>
              <w:rPr>
                <w:rFonts w:ascii="Times New Roman" w:hAnsi="Times New Roman" w:eastAsia="Times New Roman"/>
                <w:b w:val="0"/>
                <w:i w:val="0"/>
                <w:sz w:val="20"/>
              </w:rPr>
              <w:t xml:space="preserve">What We Know context; artifact </w:t>
            </w:r>
            <w:r>
              <w:rPr>
                <w:rFonts w:ascii="Times New Roman" w:hAnsi="Times New Roman" w:eastAsia="Times New Roman"/>
                <w:i/>
                <w:sz w:val="20"/>
              </w:rPr>
              <w:t>type</w:t>
            </w:r>
            <w:r>
              <w:rPr>
                <w:rFonts w:ascii="Times New Roman" w:hAnsi="Times New Roman" w:eastAsia="Times New Roman"/>
                <w:b w:val="0"/>
                <w:i w:val="0"/>
                <w:sz w:val="20"/>
              </w:rPr>
              <w:t xml:space="preserve"> participants may mention</w:t>
            </w:r>
          </w:p>
        </w:tc>
        <w:tc>
          <w:tcPr>
            <w:tcW w:type="dxa" w:w="3120"/>
          </w:tcPr>
          <w:p>
            <w:pPr>
              <w:spacing w:after="40" w:before="40" w:line="240" w:lineRule="auto"/>
            </w:pPr>
            <w:r/>
            <w:r>
              <w:rPr>
                <w:rFonts w:ascii="Times New Roman" w:hAnsi="Times New Roman" w:eastAsia="Times New Roman"/>
                <w:b w:val="0"/>
                <w:i w:val="0"/>
                <w:sz w:val="20"/>
              </w:rPr>
              <w:t>Analysis method; confirming excerpts</w:t>
            </w:r>
          </w:p>
        </w:tc>
      </w:tr>
      <w:tr>
        <w:tc>
          <w:tcPr>
            <w:tcW w:type="dxa" w:w="3120"/>
          </w:tcPr>
          <w:p>
            <w:pPr>
              <w:spacing w:after="40" w:before="40" w:line="240" w:lineRule="auto"/>
            </w:pPr>
            <w:r/>
            <w:r>
              <w:rPr>
                <w:rFonts w:ascii="Times New Roman" w:hAnsi="Times New Roman" w:eastAsia="Times New Roman"/>
                <w:b w:val="0"/>
                <w:i w:val="0"/>
                <w:sz w:val="20"/>
              </w:rPr>
              <w:t>Padilla &amp; Chantler (2011) analog rule from Practice 2</w:t>
            </w:r>
          </w:p>
        </w:tc>
        <w:tc>
          <w:tcPr>
            <w:tcW w:type="dxa" w:w="3120"/>
          </w:tcPr>
          <w:p>
            <w:pPr>
              <w:spacing w:after="40" w:before="40" w:line="240" w:lineRule="auto"/>
            </w:pPr>
            <w:r/>
            <w:r>
              <w:rPr>
                <w:rFonts w:ascii="Times New Roman" w:hAnsi="Times New Roman" w:eastAsia="Times New Roman"/>
                <w:b w:val="0"/>
                <w:i w:val="0"/>
                <w:sz w:val="20"/>
              </w:rPr>
              <w:t>Hold external frameworks out of confirming data</w:t>
            </w:r>
          </w:p>
        </w:tc>
        <w:tc>
          <w:tcPr>
            <w:tcW w:type="dxa" w:w="3120"/>
          </w:tcPr>
          <w:p>
            <w:pPr>
              <w:spacing w:after="40" w:before="40" w:line="240" w:lineRule="auto"/>
            </w:pPr>
            <w:r/>
            <w:r>
              <w:rPr>
                <w:rFonts w:ascii="Times New Roman" w:hAnsi="Times New Roman" w:eastAsia="Times New Roman"/>
                <w:b w:val="0"/>
                <w:i w:val="0"/>
                <w:sz w:val="20"/>
              </w:rPr>
              <w:t>—</w:t>
            </w:r>
          </w:p>
        </w:tc>
      </w:tr>
      <w:tr>
        <w:tc>
          <w:tcPr>
            <w:tcW w:type="dxa" w:w="3120"/>
          </w:tcPr>
          <w:p>
            <w:pPr>
              <w:spacing w:after="40" w:before="40" w:line="240" w:lineRule="auto"/>
            </w:pPr>
            <w:r/>
            <w:r>
              <w:rPr>
                <w:rFonts w:ascii="Times New Roman" w:hAnsi="Times New Roman" w:eastAsia="Times New Roman"/>
                <w:b w:val="0"/>
                <w:i w:val="0"/>
                <w:sz w:val="20"/>
              </w:rPr>
              <w:t>Walker (2026) Practice 2</w:t>
            </w:r>
          </w:p>
        </w:tc>
        <w:tc>
          <w:tcPr>
            <w:tcW w:type="dxa" w:w="3120"/>
          </w:tcPr>
          <w:p>
            <w:pPr>
              <w:spacing w:after="40" w:before="40" w:line="240" w:lineRule="auto"/>
            </w:pPr>
            <w:r/>
            <w:r>
              <w:rPr>
                <w:rFonts w:ascii="Times New Roman" w:hAnsi="Times New Roman" w:eastAsia="Times New Roman"/>
                <w:b w:val="0"/>
                <w:i w:val="0"/>
                <w:sz w:val="20"/>
              </w:rPr>
              <w:t>Analysis procedure already practiced</w:t>
            </w:r>
          </w:p>
        </w:tc>
        <w:tc>
          <w:tcPr>
            <w:tcW w:type="dxa" w:w="3120"/>
          </w:tcPr>
          <w:p>
            <w:pPr>
              <w:spacing w:after="40" w:before="40" w:line="240" w:lineRule="auto"/>
            </w:pPr>
            <w:r/>
            <w:r>
              <w:rPr>
                <w:rFonts w:ascii="Times New Roman" w:hAnsi="Times New Roman" w:eastAsia="Times New Roman"/>
                <w:b w:val="0"/>
                <w:i w:val="0"/>
                <w:sz w:val="20"/>
              </w:rPr>
              <w:t>ITDR findings (it is a fashion-sample methods rehearsal)</w:t>
            </w:r>
          </w:p>
        </w:tc>
      </w:tr>
    </w:tbl>
    <w:p/>
    <w:p>
      <w:pPr>
        <w:spacing w:after="160" w:before="240" w:line="480" w:lineRule="auto"/>
      </w:pPr>
      <w:r>
        <w:rPr>
          <w:rFonts w:ascii="Times New Roman" w:hAnsi="Times New Roman" w:eastAsia="Times New Roman"/>
          <w:b/>
          <w:i w:val="0"/>
          <w:color w:val="9A3412"/>
          <w:sz w:val="24"/>
        </w:rPr>
        <w:t xml:space="preserve">5.2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In-text swaps (apply throughout the Project Plan)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before="40" w:line="240" w:lineRule="auto"/>
            </w:pPr>
            <w:r/>
            <w:r>
              <w:rPr>
                <w:rFonts w:ascii="Times New Roman" w:hAnsi="Times New Roman" w:eastAsia="Times New Roman"/>
                <w:b/>
                <w:i w:val="0"/>
                <w:sz w:val="20"/>
              </w:rPr>
              <w:t>Current (incorrect or drifting)</w:t>
            </w:r>
          </w:p>
        </w:tc>
        <w:tc>
          <w:tcPr>
            <w:tcW w:type="dxa" w:w="4680"/>
          </w:tcPr>
          <w:p>
            <w:pPr>
              <w:spacing w:after="40" w:before="40" w:line="240" w:lineRule="auto"/>
            </w:pPr>
            <w:r/>
            <w:r>
              <w:rPr>
                <w:rFonts w:ascii="Times New Roman" w:hAnsi="Times New Roman" w:eastAsia="Times New Roman"/>
                <w:b/>
                <w:i w:val="0"/>
                <w:sz w:val="20"/>
              </w:rPr>
              <w:t>Replace with</w:t>
            </w:r>
          </w:p>
        </w:tc>
      </w:tr>
      <w:tr>
        <w:tc>
          <w:tcPr>
            <w:tcW w:type="dxa" w:w="4680"/>
          </w:tcPr>
          <w:p>
            <w:pPr>
              <w:spacing w:after="40" w:before="40" w:line="240" w:lineRule="auto"/>
            </w:pPr>
            <w:r/>
            <w:r>
              <w:rPr>
                <w:rFonts w:ascii="Times New Roman" w:hAnsi="Times New Roman" w:eastAsia="Times New Roman"/>
                <w:b w:val="0"/>
                <w:i w:val="0"/>
                <w:sz w:val="20"/>
              </w:rPr>
              <w:t>Critical-incident technique (Donaldson &amp; Preston, 1995)</w:t>
            </w:r>
          </w:p>
        </w:tc>
        <w:tc>
          <w:tcPr>
            <w:tcW w:type="dxa" w:w="4680"/>
          </w:tcPr>
          <w:p>
            <w:pPr>
              <w:spacing w:after="40" w:before="40" w:line="240" w:lineRule="auto"/>
            </w:pPr>
            <w:r/>
            <w:r>
              <w:rPr>
                <w:rFonts w:ascii="Times New Roman" w:hAnsi="Times New Roman" w:eastAsia="Times New Roman"/>
                <w:b w:val="0"/>
                <w:i w:val="0"/>
                <w:sz w:val="20"/>
              </w:rPr>
              <w:t>Critical-incident technique (Flanagan, 1954; Chell, 2004)</w:t>
            </w:r>
          </w:p>
        </w:tc>
      </w:tr>
      <w:tr>
        <w:tc>
          <w:tcPr>
            <w:tcW w:type="dxa" w:w="4680"/>
          </w:tcPr>
          <w:p>
            <w:pPr>
              <w:spacing w:after="40" w:before="40" w:line="240" w:lineRule="auto"/>
            </w:pPr>
            <w:r/>
            <w:r>
              <w:rPr>
                <w:rFonts w:ascii="Times New Roman" w:hAnsi="Times New Roman" w:eastAsia="Times New Roman"/>
                <w:b w:val="0"/>
                <w:i w:val="0"/>
                <w:sz w:val="20"/>
              </w:rPr>
              <w:t>Critical-incident technique (Guest et al., 2006)</w:t>
            </w:r>
          </w:p>
        </w:tc>
        <w:tc>
          <w:tcPr>
            <w:tcW w:type="dxa" w:w="4680"/>
          </w:tcPr>
          <w:p>
            <w:pPr>
              <w:spacing w:after="40" w:before="40" w:line="240" w:lineRule="auto"/>
            </w:pPr>
            <w:r/>
            <w:r>
              <w:rPr>
                <w:rFonts w:ascii="Times New Roman" w:hAnsi="Times New Roman" w:eastAsia="Times New Roman"/>
                <w:b w:val="0"/>
                <w:i w:val="0"/>
                <w:sz w:val="20"/>
              </w:rPr>
              <w:t>Critical-incident technique (Flanagan, 1954; Butterfield et al., 2005)</w:t>
            </w:r>
          </w:p>
        </w:tc>
      </w:tr>
      <w:tr>
        <w:tc>
          <w:tcPr>
            <w:tcW w:type="dxa" w:w="4680"/>
          </w:tcPr>
          <w:p>
            <w:pPr>
              <w:spacing w:after="40" w:before="40" w:line="240" w:lineRule="auto"/>
            </w:pPr>
            <w:r/>
            <w:r>
              <w:rPr>
                <w:rFonts w:ascii="Times New Roman" w:hAnsi="Times New Roman" w:eastAsia="Times New Roman"/>
                <w:b w:val="0"/>
                <w:i w:val="0"/>
                <w:sz w:val="20"/>
              </w:rPr>
              <w:t>Screening criteria (Caelli et al., 2003)</w:t>
            </w:r>
          </w:p>
        </w:tc>
        <w:tc>
          <w:tcPr>
            <w:tcW w:type="dxa" w:w="4680"/>
          </w:tcPr>
          <w:p>
            <w:pPr>
              <w:spacing w:after="40" w:before="40" w:line="240" w:lineRule="auto"/>
            </w:pPr>
            <w:r/>
            <w:r>
              <w:rPr>
                <w:rFonts w:ascii="Times New Roman" w:hAnsi="Times New Roman" w:eastAsia="Times New Roman"/>
                <w:b w:val="0"/>
                <w:i w:val="0"/>
                <w:sz w:val="20"/>
              </w:rPr>
              <w:t>Screening criteria (purposive/criterion sampling; Creswell &amp; Poth, 2018, if a methods text is needed)</w:t>
            </w:r>
          </w:p>
        </w:tc>
      </w:tr>
      <w:tr>
        <w:tc>
          <w:tcPr>
            <w:tcW w:type="dxa" w:w="4680"/>
          </w:tcPr>
          <w:p>
            <w:pPr>
              <w:spacing w:after="40" w:before="40" w:line="240" w:lineRule="auto"/>
            </w:pPr>
            <w:r/>
            <w:r>
              <w:rPr>
                <w:rFonts w:ascii="Times New Roman" w:hAnsi="Times New Roman" w:eastAsia="Times New Roman"/>
                <w:b w:val="0"/>
                <w:i w:val="0"/>
                <w:sz w:val="20"/>
              </w:rPr>
              <w:t>Artifact analysis (NIST, 2024)</w:t>
            </w:r>
          </w:p>
        </w:tc>
        <w:tc>
          <w:tcPr>
            <w:tcW w:type="dxa" w:w="4680"/>
          </w:tcPr>
          <w:p>
            <w:pPr>
              <w:spacing w:after="40" w:before="40" w:line="240" w:lineRule="auto"/>
            </w:pPr>
            <w:r/>
            <w:r>
              <w:rPr>
                <w:rFonts w:ascii="Times New Roman" w:hAnsi="Times New Roman" w:eastAsia="Times New Roman"/>
                <w:b w:val="0"/>
                <w:i w:val="0"/>
                <w:sz w:val="20"/>
              </w:rPr>
              <w:t>Artifacts analyzed as situated contextual objects (Creswell &amp; Poth, 2018); NIST/BCM remain context if participants name them</w:t>
            </w:r>
          </w:p>
        </w:tc>
      </w:tr>
      <w:tr>
        <w:tc>
          <w:tcPr>
            <w:tcW w:type="dxa" w:w="4680"/>
          </w:tcPr>
          <w:p>
            <w:pPr>
              <w:spacing w:after="40" w:before="40" w:line="240" w:lineRule="auto"/>
            </w:pPr>
            <w:r/>
            <w:r>
              <w:rPr>
                <w:rFonts w:ascii="Times New Roman" w:hAnsi="Times New Roman" w:eastAsia="Times New Roman"/>
                <w:b w:val="0"/>
                <w:i w:val="0"/>
                <w:sz w:val="20"/>
              </w:rPr>
              <w:t>Saturation will be reached at 10–15 (Guest et al., 2006)</w:t>
            </w:r>
          </w:p>
        </w:tc>
        <w:tc>
          <w:tcPr>
            <w:tcW w:type="dxa" w:w="4680"/>
          </w:tcPr>
          <w:p>
            <w:pPr>
              <w:spacing w:after="40" w:before="40" w:line="240" w:lineRule="auto"/>
            </w:pPr>
            <w:r/>
            <w:r>
              <w:rPr>
                <w:rFonts w:ascii="Times New Roman" w:hAnsi="Times New Roman" w:eastAsia="Times New Roman"/>
                <w:b w:val="0"/>
                <w:i w:val="0"/>
                <w:sz w:val="20"/>
              </w:rPr>
              <w:t>Sample size is justified by information power (Malterud et al., 2016); stopping follows analytic decision rules (Naeem et al., 2024)</w:t>
            </w:r>
          </w:p>
        </w:tc>
      </w:tr>
    </w:tbl>
    <w:p/>
    <w:p>
      <w:pPr>
        <w:spacing w:after="120" w:before="0" w:line="480" w:lineRule="auto"/>
      </w:pPr>
      <w:r>
        <w:rPr>
          <w:rFonts w:ascii="Times New Roman" w:hAnsi="Times New Roman" w:eastAsia="Times New Roman"/>
          <w:b w:val="0"/>
          <w:i w:val="0"/>
          <w:sz w:val="24"/>
        </w:rPr>
        <w:t>Add Flanagan (1954), Chell (2004) or Butterfield et al. (2005), and Malterud et al. (2016) to the reference list. Keep Mitchell, Donaldson &amp; Preston, and Lowry where they belong (Gap and Constructs), not in Procedures.</w:t>
      </w:r>
    </w:p>
    <w:p>
      <w:pPr>
        <w:spacing w:after="160" w:before="240" w:line="480" w:lineRule="auto"/>
      </w:pPr>
      <w:r>
        <w:rPr>
          <w:rFonts w:ascii="Times New Roman" w:hAnsi="Times New Roman" w:eastAsia="Times New Roman"/>
          <w:b/>
          <w:i w:val="0"/>
          <w:color w:val="1F3A5F"/>
          <w:sz w:val="28"/>
        </w:rPr>
        <w:t>6. Language-Drift Revisions</w:t>
      </w:r>
    </w:p>
    <w:p>
      <w:pPr>
        <w:spacing w:after="160" w:before="240" w:line="480" w:lineRule="auto"/>
      </w:pPr>
      <w:r>
        <w:rPr>
          <w:rFonts w:ascii="Times New Roman" w:hAnsi="Times New Roman" w:eastAsia="Times New Roman"/>
          <w:b/>
          <w:i w:val="0"/>
          <w:color w:val="9A3412"/>
          <w:sz w:val="24"/>
        </w:rPr>
        <w:t xml:space="preserve">6.1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Find/replace list (run on the whole Project Plan)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before="40" w:line="240" w:lineRule="auto"/>
            </w:pPr>
            <w:r/>
            <w:r>
              <w:rPr>
                <w:rFonts w:ascii="Times New Roman" w:hAnsi="Times New Roman" w:eastAsia="Times New Roman"/>
                <w:b/>
                <w:i w:val="0"/>
                <w:sz w:val="20"/>
              </w:rPr>
              <w:t>Find (phenomenology, confirmation, or debris)</w:t>
            </w:r>
          </w:p>
        </w:tc>
        <w:tc>
          <w:tcPr>
            <w:tcW w:type="dxa" w:w="4680"/>
          </w:tcPr>
          <w:p>
            <w:pPr>
              <w:spacing w:after="40" w:before="40" w:line="240" w:lineRule="auto"/>
            </w:pPr>
            <w:r/>
            <w:r>
              <w:rPr>
                <w:rFonts w:ascii="Times New Roman" w:hAnsi="Times New Roman" w:eastAsia="Times New Roman"/>
                <w:b/>
                <w:i w:val="0"/>
                <w:sz w:val="20"/>
              </w:rPr>
              <w:t>Replace (GQI / Alignment Map)</w:t>
            </w:r>
          </w:p>
        </w:tc>
      </w:tr>
      <w:tr>
        <w:tc>
          <w:tcPr>
            <w:tcW w:type="dxa" w:w="4680"/>
          </w:tcPr>
          <w:p>
            <w:pPr>
              <w:spacing w:after="40" w:before="40" w:line="240" w:lineRule="auto"/>
            </w:pPr>
            <w:r/>
            <w:r>
              <w:rPr>
                <w:rFonts w:ascii="Times New Roman" w:hAnsi="Times New Roman" w:eastAsia="Times New Roman"/>
                <w:b w:val="0"/>
                <w:i w:val="0"/>
                <w:sz w:val="20"/>
              </w:rPr>
              <w:t>lived experiences</w:t>
            </w:r>
          </w:p>
        </w:tc>
        <w:tc>
          <w:tcPr>
            <w:tcW w:type="dxa" w:w="4680"/>
          </w:tcPr>
          <w:p>
            <w:pPr>
              <w:spacing w:after="40" w:before="40" w:line="240" w:lineRule="auto"/>
            </w:pPr>
            <w:r/>
            <w:r>
              <w:rPr>
                <w:rFonts w:ascii="Times New Roman" w:hAnsi="Times New Roman" w:eastAsia="Times New Roman"/>
                <w:b w:val="0"/>
                <w:i w:val="0"/>
                <w:sz w:val="20"/>
              </w:rPr>
              <w:t>managers’ accounts of a named recovery or test event</w:t>
            </w:r>
          </w:p>
        </w:tc>
      </w:tr>
      <w:tr>
        <w:tc>
          <w:tcPr>
            <w:tcW w:type="dxa" w:w="4680"/>
          </w:tcPr>
          <w:p>
            <w:pPr>
              <w:spacing w:after="40" w:before="40" w:line="240" w:lineRule="auto"/>
            </w:pPr>
            <w:r/>
            <w:r>
              <w:rPr>
                <w:rFonts w:ascii="Times New Roman" w:hAnsi="Times New Roman" w:eastAsia="Times New Roman"/>
                <w:b w:val="0"/>
                <w:i w:val="0"/>
                <w:sz w:val="20"/>
              </w:rPr>
              <w:t>lived experience</w:t>
            </w:r>
          </w:p>
        </w:tc>
        <w:tc>
          <w:tcPr>
            <w:tcW w:type="dxa" w:w="4680"/>
          </w:tcPr>
          <w:p>
            <w:pPr>
              <w:spacing w:after="40" w:before="40" w:line="240" w:lineRule="auto"/>
            </w:pPr>
            <w:r/>
            <w:r>
              <w:rPr>
                <w:rFonts w:ascii="Times New Roman" w:hAnsi="Times New Roman" w:eastAsia="Times New Roman"/>
                <w:b w:val="0"/>
                <w:i w:val="0"/>
                <w:sz w:val="20"/>
              </w:rPr>
              <w:t>a named recovery or test event, in the manager’s own words</w:t>
            </w:r>
          </w:p>
        </w:tc>
      </w:tr>
      <w:tr>
        <w:tc>
          <w:tcPr>
            <w:tcW w:type="dxa" w:w="4680"/>
          </w:tcPr>
          <w:p>
            <w:pPr>
              <w:spacing w:after="40" w:before="40" w:line="240" w:lineRule="auto"/>
            </w:pPr>
            <w:r/>
            <w:r>
              <w:rPr>
                <w:rFonts w:ascii="Times New Roman" w:hAnsi="Times New Roman" w:eastAsia="Times New Roman"/>
                <w:b w:val="0"/>
                <w:i w:val="0"/>
                <w:sz w:val="20"/>
              </w:rPr>
              <w:t>essence of the experience / essence of the phenomenon</w:t>
            </w:r>
          </w:p>
        </w:tc>
        <w:tc>
          <w:tcPr>
            <w:tcW w:type="dxa" w:w="4680"/>
          </w:tcPr>
          <w:p>
            <w:pPr>
              <w:spacing w:after="40" w:before="40" w:line="240" w:lineRule="auto"/>
            </w:pPr>
            <w:r/>
            <w:r>
              <w:rPr>
                <w:rFonts w:ascii="Times New Roman" w:hAnsi="Times New Roman" w:eastAsia="Times New Roman"/>
                <w:b w:val="0"/>
                <w:i w:val="0"/>
                <w:sz w:val="20"/>
              </w:rPr>
              <w:t>patterned description of decisions and artifacts</w:t>
            </w:r>
          </w:p>
        </w:tc>
      </w:tr>
      <w:tr>
        <w:tc>
          <w:tcPr>
            <w:tcW w:type="dxa" w:w="4680"/>
          </w:tcPr>
          <w:p>
            <w:pPr>
              <w:spacing w:after="40" w:before="40" w:line="240" w:lineRule="auto"/>
            </w:pPr>
            <w:r/>
            <w:r>
              <w:rPr>
                <w:rFonts w:ascii="Times New Roman" w:hAnsi="Times New Roman" w:eastAsia="Times New Roman"/>
                <w:b w:val="0"/>
                <w:i w:val="0"/>
                <w:sz w:val="20"/>
              </w:rPr>
              <w:t>socially constructed realities</w:t>
            </w:r>
          </w:p>
        </w:tc>
        <w:tc>
          <w:tcPr>
            <w:tcW w:type="dxa" w:w="4680"/>
          </w:tcPr>
          <w:p>
            <w:pPr>
              <w:spacing w:after="40" w:before="40" w:line="240" w:lineRule="auto"/>
            </w:pPr>
            <w:r/>
            <w:r>
              <w:rPr>
                <w:rFonts w:ascii="Times New Roman" w:hAnsi="Times New Roman" w:eastAsia="Times New Roman"/>
                <w:b w:val="0"/>
                <w:i w:val="0"/>
                <w:sz w:val="20"/>
              </w:rPr>
              <w:t>organizational contexts in which recovery decisions were made</w:t>
            </w:r>
          </w:p>
        </w:tc>
      </w:tr>
      <w:tr>
        <w:tc>
          <w:tcPr>
            <w:tcW w:type="dxa" w:w="4680"/>
          </w:tcPr>
          <w:p>
            <w:pPr>
              <w:spacing w:after="40" w:before="40" w:line="240" w:lineRule="auto"/>
            </w:pPr>
            <w:r/>
            <w:r>
              <w:rPr>
                <w:rFonts w:ascii="Times New Roman" w:hAnsi="Times New Roman" w:eastAsia="Times New Roman"/>
                <w:b w:val="0"/>
                <w:i w:val="0"/>
                <w:sz w:val="20"/>
              </w:rPr>
              <w:t>voices</w:t>
            </w:r>
          </w:p>
        </w:tc>
        <w:tc>
          <w:tcPr>
            <w:tcW w:type="dxa" w:w="4680"/>
          </w:tcPr>
          <w:p>
            <w:pPr>
              <w:spacing w:after="40" w:before="40" w:line="240" w:lineRule="auto"/>
            </w:pPr>
            <w:r/>
            <w:r>
              <w:rPr>
                <w:rFonts w:ascii="Times New Roman" w:hAnsi="Times New Roman" w:eastAsia="Times New Roman"/>
                <w:b w:val="0"/>
                <w:i w:val="0"/>
                <w:sz w:val="20"/>
              </w:rPr>
              <w:t>de-identified accounts</w:t>
            </w:r>
          </w:p>
        </w:tc>
      </w:tr>
      <w:tr>
        <w:tc>
          <w:tcPr>
            <w:tcW w:type="dxa" w:w="4680"/>
          </w:tcPr>
          <w:p>
            <w:pPr>
              <w:spacing w:after="40" w:before="40" w:line="240" w:lineRule="auto"/>
            </w:pPr>
            <w:r/>
            <w:r>
              <w:rPr>
                <w:rFonts w:ascii="Times New Roman" w:hAnsi="Times New Roman" w:eastAsia="Times New Roman"/>
                <w:b w:val="0"/>
                <w:i w:val="0"/>
                <w:sz w:val="20"/>
              </w:rPr>
              <w:t>absolute methodological alignment</w:t>
            </w:r>
          </w:p>
        </w:tc>
        <w:tc>
          <w:tcPr>
            <w:tcW w:type="dxa" w:w="4680"/>
          </w:tcPr>
          <w:p>
            <w:pPr>
              <w:spacing w:after="40" w:before="40" w:line="240" w:lineRule="auto"/>
            </w:pPr>
            <w:r/>
            <w:r>
              <w:rPr>
                <w:rFonts w:ascii="Times New Roman" w:hAnsi="Times New Roman" w:eastAsia="Times New Roman"/>
                <w:b w:val="0"/>
                <w:i w:val="0"/>
                <w:sz w:val="20"/>
              </w:rPr>
              <w:t>sensitizing constructs that guide topical questions; themes remain emergent</w:t>
            </w:r>
          </w:p>
        </w:tc>
      </w:tr>
      <w:tr>
        <w:tc>
          <w:tcPr>
            <w:tcW w:type="dxa" w:w="4680"/>
          </w:tcPr>
          <w:p>
            <w:pPr>
              <w:spacing w:after="40" w:before="40" w:line="240" w:lineRule="auto"/>
            </w:pPr>
            <w:r/>
            <w:r>
              <w:rPr>
                <w:rFonts w:ascii="Times New Roman" w:hAnsi="Times New Roman" w:eastAsia="Times New Roman"/>
                <w:b w:val="0"/>
                <w:i w:val="0"/>
                <w:sz w:val="20"/>
              </w:rPr>
              <w:t>mapped directly to the analytical codes</w:t>
            </w:r>
          </w:p>
        </w:tc>
        <w:tc>
          <w:tcPr>
            <w:tcW w:type="dxa" w:w="4680"/>
          </w:tcPr>
          <w:p>
            <w:pPr>
              <w:spacing w:after="40" w:before="40" w:line="240" w:lineRule="auto"/>
            </w:pPr>
            <w:r/>
            <w:r>
              <w:rPr>
                <w:rFonts w:ascii="Times New Roman" w:hAnsi="Times New Roman" w:eastAsia="Times New Roman"/>
                <w:b w:val="0"/>
                <w:i w:val="0"/>
                <w:sz w:val="20"/>
              </w:rPr>
              <w:t>topical guiding questions linked to the Constructs node (Section 2.4)</w:t>
            </w:r>
          </w:p>
        </w:tc>
      </w:tr>
      <w:tr>
        <w:tc>
          <w:tcPr>
            <w:tcW w:type="dxa" w:w="4680"/>
          </w:tcPr>
          <w:p>
            <w:pPr>
              <w:spacing w:after="40" w:before="40" w:line="240" w:lineRule="auto"/>
            </w:pPr>
            <w:r/>
            <w:r>
              <w:rPr>
                <w:rFonts w:ascii="Times New Roman" w:hAnsi="Times New Roman" w:eastAsia="Times New Roman"/>
                <w:b w:val="0"/>
                <w:i w:val="0"/>
                <w:sz w:val="20"/>
              </w:rPr>
              <w:t>such other auditing parameters BCM and NIST</w:t>
            </w:r>
          </w:p>
        </w:tc>
        <w:tc>
          <w:tcPr>
            <w:tcW w:type="dxa" w:w="4680"/>
          </w:tcPr>
          <w:p>
            <w:pPr>
              <w:spacing w:after="40" w:before="40" w:line="240" w:lineRule="auto"/>
            </w:pPr>
            <w:r/>
            <w:r>
              <w:rPr>
                <w:rFonts w:ascii="Times New Roman" w:hAnsi="Times New Roman" w:eastAsia="Times New Roman"/>
                <w:b w:val="0"/>
                <w:i w:val="0"/>
                <w:sz w:val="20"/>
              </w:rPr>
              <w:t>internal DR plans, escalation matrices, recovery-test records, and, when managers name them, external references such as NIST or BCM frameworks</w:t>
            </w:r>
          </w:p>
        </w:tc>
      </w:tr>
      <w:tr>
        <w:tc>
          <w:tcPr>
            <w:tcW w:type="dxa" w:w="4680"/>
          </w:tcPr>
          <w:p>
            <w:pPr>
              <w:spacing w:after="40" w:before="40" w:line="240" w:lineRule="auto"/>
            </w:pPr>
            <w:r/>
            <w:r>
              <w:rPr>
                <w:rFonts w:ascii="Times New Roman" w:hAnsi="Times New Roman" w:eastAsia="Times New Roman"/>
                <w:i/>
                <w:sz w:val="20"/>
              </w:rPr>
              <w:t>;3)</w:t>
            </w:r>
          </w:p>
        </w:tc>
        <w:tc>
          <w:tcPr>
            <w:tcW w:type="dxa" w:w="4680"/>
          </w:tcPr>
          <w:p>
            <w:pPr>
              <w:spacing w:after="40" w:before="40" w:line="240" w:lineRule="auto"/>
            </w:pPr>
            <w:r/>
            <w:r>
              <w:rPr>
                <w:rFonts w:ascii="Times New Roman" w:hAnsi="Times New Roman" w:eastAsia="Times New Roman"/>
                <w:i/>
                <w:sz w:val="20"/>
              </w:rPr>
              <w:t>(delete)</w:t>
            </w:r>
          </w:p>
        </w:tc>
      </w:tr>
      <w:tr>
        <w:tc>
          <w:tcPr>
            <w:tcW w:type="dxa" w:w="4680"/>
          </w:tcPr>
          <w:p>
            <w:pPr>
              <w:spacing w:after="40" w:before="40" w:line="240" w:lineRule="auto"/>
            </w:pPr>
            <w:r/>
            <w:r>
              <w:rPr>
                <w:rFonts w:ascii="Times New Roman" w:hAnsi="Times New Roman" w:eastAsia="Times New Roman"/>
                <w:i/>
                <w:sz w:val="20"/>
              </w:rPr>
              <w:t>((Liu et al.,2020</w:t>
            </w:r>
          </w:p>
        </w:tc>
        <w:tc>
          <w:tcPr>
            <w:tcW w:type="dxa" w:w="4680"/>
          </w:tcPr>
          <w:p>
            <w:pPr>
              <w:spacing w:after="40" w:before="40" w:line="240" w:lineRule="auto"/>
            </w:pPr>
            <w:r/>
            <w:r>
              <w:rPr>
                <w:rFonts w:ascii="Times New Roman" w:hAnsi="Times New Roman" w:eastAsia="Times New Roman"/>
                <w:b w:val="0"/>
                <w:i w:val="0"/>
                <w:sz w:val="20"/>
              </w:rPr>
              <w:t>(Liu et al., 2020</w:t>
            </w:r>
          </w:p>
        </w:tc>
      </w:tr>
      <w:tr>
        <w:tc>
          <w:tcPr>
            <w:tcW w:type="dxa" w:w="4680"/>
          </w:tcPr>
          <w:p>
            <w:pPr>
              <w:spacing w:after="40" w:before="40" w:line="240" w:lineRule="auto"/>
            </w:pPr>
            <w:r/>
            <w:r>
              <w:rPr>
                <w:rFonts w:ascii="Times New Roman" w:hAnsi="Times New Roman" w:eastAsia="Times New Roman"/>
                <w:b w:val="0"/>
                <w:i w:val="0"/>
                <w:sz w:val="20"/>
              </w:rPr>
              <w:t>exploring participants’ lived experiences in their own terms</w:t>
            </w:r>
          </w:p>
        </w:tc>
        <w:tc>
          <w:tcPr>
            <w:tcW w:type="dxa" w:w="4680"/>
          </w:tcPr>
          <w:p>
            <w:pPr>
              <w:spacing w:after="40" w:before="40" w:line="240" w:lineRule="auto"/>
            </w:pPr>
            <w:r/>
            <w:r>
              <w:rPr>
                <w:rFonts w:ascii="Times New Roman" w:hAnsi="Times New Roman" w:eastAsia="Times New Roman"/>
                <w:b w:val="0"/>
                <w:i w:val="0"/>
                <w:sz w:val="20"/>
              </w:rPr>
              <w:t>exploring how participants handled a named recovery or test event, in their own words</w:t>
            </w:r>
          </w:p>
        </w:tc>
      </w:tr>
      <w:tr>
        <w:tc>
          <w:tcPr>
            <w:tcW w:type="dxa" w:w="4680"/>
          </w:tcPr>
          <w:p>
            <w:pPr>
              <w:spacing w:after="40" w:before="40" w:line="240" w:lineRule="auto"/>
            </w:pPr>
            <w:r/>
            <w:r>
              <w:rPr>
                <w:rFonts w:ascii="Times New Roman" w:hAnsi="Times New Roman" w:eastAsia="Times New Roman"/>
                <w:b w:val="0"/>
                <w:i w:val="0"/>
                <w:sz w:val="20"/>
              </w:rPr>
              <w:t>the researcher as weaver / tapestry</w:t>
            </w:r>
          </w:p>
        </w:tc>
        <w:tc>
          <w:tcPr>
            <w:tcW w:type="dxa" w:w="4680"/>
          </w:tcPr>
          <w:p>
            <w:pPr>
              <w:spacing w:after="40" w:before="40" w:line="240" w:lineRule="auto"/>
            </w:pPr>
            <w:r/>
            <w:r>
              <w:rPr>
                <w:rFonts w:ascii="Times New Roman" w:hAnsi="Times New Roman" w:eastAsia="Times New Roman"/>
                <w:i/>
                <w:sz w:val="20"/>
              </w:rPr>
              <w:t>(delete metaphor; state the analytic step)</w:t>
            </w:r>
          </w:p>
        </w:tc>
      </w:tr>
    </w:tbl>
    <w:p/>
    <w:p>
      <w:pPr>
        <w:spacing w:after="160" w:before="240" w:line="480" w:lineRule="auto"/>
      </w:pPr>
      <w:r>
        <w:rPr>
          <w:rFonts w:ascii="Times New Roman" w:hAnsi="Times New Roman" w:eastAsia="Times New Roman"/>
          <w:b/>
          <w:i w:val="0"/>
          <w:color w:val="9A3412"/>
          <w:sz w:val="24"/>
        </w:rPr>
        <w:t xml:space="preserve">6.2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Sentence-level rewrites for the current draft</w:t>
      </w:r>
    </w:p>
    <w:p>
      <w:pPr>
        <w:spacing w:after="120" w:before="0" w:line="480" w:lineRule="auto"/>
      </w:pPr>
      <w:r>
        <w:rPr>
          <w:rFonts w:ascii="Times New Roman" w:hAnsi="Times New Roman" w:eastAsia="Times New Roman"/>
          <w:b/>
          <w:i w:val="0"/>
          <w:sz w:val="24"/>
        </w:rPr>
        <w:t>Draft:</w:t>
      </w:r>
      <w:r>
        <w:rPr>
          <w:rFonts w:ascii="Times New Roman" w:hAnsi="Times New Roman" w:eastAsia="Times New Roman"/>
          <w:b w:val="0"/>
          <w:i w:val="0"/>
          <w:sz w:val="24"/>
        </w:rPr>
        <w:t xml:space="preserve"> “The primary data collection instrument … explore how U.S. … managers perceive and operationalize disaster recovery governance challenges … Utilizing critical incident accounts … prompting open-ended dialogue that captures the nuanced, context-specific decision-making processes inherent in these scenarios.”</w:t>
      </w:r>
    </w:p>
    <w:p>
      <w:pPr>
        <w:spacing w:after="120" w:before="0" w:line="480" w:lineRule="auto"/>
      </w:pPr>
      <w:r>
        <w:rPr>
          <w:rFonts w:ascii="Times New Roman" w:hAnsi="Times New Roman" w:eastAsia="Times New Roman"/>
          <w:b/>
          <w:i w:val="0"/>
          <w:sz w:val="24"/>
        </w:rPr>
        <w:t>Replace with:</w:t>
      </w:r>
    </w:p>
    <w:p>
      <w:pPr>
        <w:spacing w:after="120" w:before="0" w:line="480" w:lineRule="auto"/>
      </w:pPr>
      <w:r>
        <w:rPr>
          <w:rFonts w:ascii="Times New Roman" w:hAnsi="Times New Roman" w:eastAsia="Times New Roman"/>
          <w:b w:val="0"/>
          <w:i w:val="0"/>
          <w:sz w:val="24"/>
        </w:rPr>
        <w:t>The primary instrument is a semi-structured interview protocol that asks each manager to recount one named disruption, failover, recovery test, or operational recovery on an external platform (Flanagan, 1954; Chell, 2004). Follow-up questions, used only when the incident story does not already supply them, ask whose request carried power, whose claim was treated as legitimate, what made restoration urgent, who held the decision right, what triggered escalation, and what counted as enough proof that the service was recovered (Mitchell et al., 1997).</w:t>
      </w:r>
    </w:p>
    <w:p>
      <w:pPr>
        <w:spacing w:after="120" w:before="0" w:line="480" w:lineRule="auto"/>
      </w:pPr>
      <w:r>
        <w:rPr>
          <w:rFonts w:ascii="Times New Roman" w:hAnsi="Times New Roman" w:eastAsia="Times New Roman"/>
          <w:b/>
          <w:i w:val="0"/>
          <w:sz w:val="24"/>
        </w:rPr>
        <w:t>Draft:</w:t>
      </w:r>
      <w:r>
        <w:rPr>
          <w:rFonts w:ascii="Times New Roman" w:hAnsi="Times New Roman" w:eastAsia="Times New Roman"/>
          <w:b w:val="0"/>
          <w:i w:val="0"/>
          <w:sz w:val="24"/>
        </w:rPr>
        <w:t xml:space="preserve"> “By mapping the queries directly to the analytical codes of the study comprising Power, Legitimacy, Urgency, Decision Rights, Escalation, Evidentiary Standards, and Recoverability Assurance … the study maintains absolute methodological alignment.”</w:t>
      </w:r>
    </w:p>
    <w:p>
      <w:pPr>
        <w:spacing w:after="120" w:before="0" w:line="480" w:lineRule="auto"/>
      </w:pPr>
      <w:r>
        <w:rPr>
          <w:rFonts w:ascii="Times New Roman" w:hAnsi="Times New Roman" w:eastAsia="Times New Roman"/>
          <w:b/>
          <w:i w:val="0"/>
          <w:sz w:val="24"/>
        </w:rPr>
        <w:t>Replace with:</w:t>
      </w:r>
    </w:p>
    <w:p>
      <w:pPr>
        <w:spacing w:after="120" w:before="0" w:line="480" w:lineRule="auto"/>
      </w:pPr>
      <w:r>
        <w:rPr>
          <w:rFonts w:ascii="Times New Roman" w:hAnsi="Times New Roman" w:eastAsia="Times New Roman"/>
          <w:b w:val="0"/>
          <w:i w:val="0"/>
          <w:sz w:val="24"/>
        </w:rPr>
        <w:t>Those seven labels sit on the Constructs node as a sensitizing start-list. They structure topical questions. They are not predetermined theme titles. Themes are locked only after meaning units are confirmed with excerpts and boundary cases (Aronson, 1994; Walker, 2026).</w:t>
      </w:r>
    </w:p>
    <w:p>
      <w:pPr>
        <w:spacing w:after="120" w:before="0" w:line="480" w:lineRule="auto"/>
      </w:pPr>
      <w:r>
        <w:rPr>
          <w:rFonts w:ascii="Times New Roman" w:hAnsi="Times New Roman" w:eastAsia="Times New Roman"/>
          <w:b/>
          <w:i w:val="0"/>
          <w:sz w:val="24"/>
        </w:rPr>
        <w:t>Draft:</w:t>
      </w:r>
      <w:r>
        <w:rPr>
          <w:rFonts w:ascii="Times New Roman" w:hAnsi="Times New Roman" w:eastAsia="Times New Roman"/>
          <w:b w:val="0"/>
          <w:i w:val="0"/>
          <w:sz w:val="24"/>
        </w:rPr>
        <w:t xml:space="preserve"> “The second phase … is modeled as a generic qualitative inquiry (GQI) utilizing a flexible protocol to explore participants’ lived experiences in their own terms.”</w:t>
      </w:r>
    </w:p>
    <w:p>
      <w:pPr>
        <w:spacing w:after="120" w:before="0" w:line="480" w:lineRule="auto"/>
      </w:pPr>
      <w:r>
        <w:rPr>
          <w:rFonts w:ascii="Times New Roman" w:hAnsi="Times New Roman" w:eastAsia="Times New Roman"/>
          <w:b/>
          <w:i w:val="0"/>
          <w:sz w:val="24"/>
        </w:rPr>
        <w:t>Replace with:</w:t>
      </w:r>
    </w:p>
    <w:p>
      <w:pPr>
        <w:spacing w:after="120" w:before="0" w:line="480" w:lineRule="auto"/>
      </w:pPr>
      <w:r>
        <w:rPr>
          <w:rFonts w:ascii="Times New Roman" w:hAnsi="Times New Roman" w:eastAsia="Times New Roman"/>
          <w:b w:val="0"/>
          <w:i w:val="0"/>
          <w:sz w:val="24"/>
        </w:rPr>
        <w:t>The interview is a generic qualitative inquiry session (Caelli et al., 2003; Kahlke, 2014; Percy et al., 2015). It collects the manager’s account of an external recovery event, the decisions taken, and the artifacts used or bypassed, in the participant’s own words.</w:t>
      </w:r>
    </w:p>
    <w:p>
      <w:pPr>
        <w:spacing w:after="160" w:before="240" w:line="480" w:lineRule="auto"/>
      </w:pPr>
      <w:r>
        <w:rPr>
          <w:rFonts w:ascii="Times New Roman" w:hAnsi="Times New Roman" w:eastAsia="Times New Roman"/>
          <w:b/>
          <w:i w:val="0"/>
          <w:color w:val="1F3A5F"/>
          <w:sz w:val="28"/>
        </w:rPr>
        <w:t>7. Ethics and Dependability Revisions</w:t>
      </w:r>
    </w:p>
    <w:p>
      <w:pPr>
        <w:spacing w:after="160" w:before="240" w:line="480" w:lineRule="auto"/>
      </w:pPr>
      <w:r>
        <w:rPr>
          <w:rFonts w:ascii="Times New Roman" w:hAnsi="Times New Roman" w:eastAsia="Times New Roman"/>
          <w:b/>
          <w:i w:val="0"/>
          <w:color w:val="9A3412"/>
          <w:sz w:val="24"/>
        </w:rPr>
        <w:t xml:space="preserve">7.1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Threat-to-Gap-data matrix (paste under Validity/Reliability/Credibility/Dependability)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Ethical / quality threat</w:t>
            </w:r>
          </w:p>
        </w:tc>
        <w:tc>
          <w:tcPr>
            <w:tcW w:type="dxa" w:w="3120"/>
          </w:tcPr>
          <w:p>
            <w:pPr>
              <w:spacing w:after="40" w:before="40" w:line="240" w:lineRule="auto"/>
            </w:pPr>
            <w:r/>
            <w:r>
              <w:rPr>
                <w:rFonts w:ascii="Times New Roman" w:hAnsi="Times New Roman" w:eastAsia="Times New Roman"/>
                <w:b/>
                <w:i w:val="0"/>
                <w:sz w:val="20"/>
              </w:rPr>
              <w:t>How it deletes Gap data</w:t>
            </w:r>
          </w:p>
        </w:tc>
        <w:tc>
          <w:tcPr>
            <w:tcW w:type="dxa" w:w="3120"/>
          </w:tcPr>
          <w:p>
            <w:pPr>
              <w:spacing w:after="40" w:before="40" w:line="240" w:lineRule="auto"/>
            </w:pPr>
            <w:r/>
            <w:r>
              <w:rPr>
                <w:rFonts w:ascii="Times New Roman" w:hAnsi="Times New Roman" w:eastAsia="Times New Roman"/>
                <w:b/>
                <w:i w:val="0"/>
                <w:sz w:val="20"/>
              </w:rPr>
              <w:t>Concrete mitigation (</w:t>
            </w:r>
            <w:r>
              <w:rPr>
                <w:rFonts w:ascii="Times New Roman" w:hAnsi="Times New Roman" w:eastAsia="Times New Roman"/>
                <w:b/>
                <w:i w:val="0"/>
                <w:sz w:val="20"/>
              </w:rPr>
              <w:t>NEW</w:t>
            </w:r>
            <w:r>
              <w:rPr>
                <w:rFonts w:ascii="Times New Roman" w:hAnsi="Times New Roman" w:eastAsia="Times New Roman"/>
                <w:b/>
                <w:i w:val="0"/>
                <w:sz w:val="20"/>
              </w:rPr>
              <w:t>)</w:t>
            </w:r>
          </w:p>
        </w:tc>
      </w:tr>
      <w:tr>
        <w:tc>
          <w:tcPr>
            <w:tcW w:type="dxa" w:w="3120"/>
          </w:tcPr>
          <w:p>
            <w:pPr>
              <w:spacing w:after="40" w:before="40" w:line="240" w:lineRule="auto"/>
            </w:pPr>
            <w:r/>
            <w:r>
              <w:rPr>
                <w:rFonts w:ascii="Times New Roman" w:hAnsi="Times New Roman" w:eastAsia="Times New Roman"/>
                <w:b w:val="0"/>
                <w:i w:val="0"/>
                <w:sz w:val="20"/>
              </w:rPr>
              <w:t>Sharing DR plans, tickets, or vendor names</w:t>
            </w:r>
          </w:p>
        </w:tc>
        <w:tc>
          <w:tcPr>
            <w:tcW w:type="dxa" w:w="3120"/>
          </w:tcPr>
          <w:p>
            <w:pPr>
              <w:spacing w:after="40" w:before="40" w:line="240" w:lineRule="auto"/>
            </w:pPr>
            <w:r/>
            <w:r>
              <w:rPr>
                <w:rFonts w:ascii="Times New Roman" w:hAnsi="Times New Roman" w:eastAsia="Times New Roman"/>
                <w:b w:val="0"/>
                <w:i w:val="0"/>
                <w:sz w:val="20"/>
              </w:rPr>
              <w:t>Manager withholds proof and escalation talk (PQ2)</w:t>
            </w:r>
          </w:p>
        </w:tc>
        <w:tc>
          <w:tcPr>
            <w:tcW w:type="dxa" w:w="3120"/>
          </w:tcPr>
          <w:p>
            <w:pPr>
              <w:spacing w:after="40" w:before="40" w:line="240" w:lineRule="auto"/>
            </w:pPr>
            <w:r/>
            <w:r>
              <w:rPr>
                <w:rFonts w:ascii="Times New Roman" w:hAnsi="Times New Roman" w:eastAsia="Times New Roman"/>
                <w:b w:val="0"/>
                <w:i w:val="0"/>
                <w:sz w:val="20"/>
              </w:rPr>
              <w:t>Artifact Path B or C is a full interview; refusal never ends the session</w:t>
            </w:r>
          </w:p>
        </w:tc>
      </w:tr>
      <w:tr>
        <w:tc>
          <w:tcPr>
            <w:tcW w:type="dxa" w:w="3120"/>
          </w:tcPr>
          <w:p>
            <w:pPr>
              <w:spacing w:after="40" w:before="40" w:line="240" w:lineRule="auto"/>
            </w:pPr>
            <w:r/>
            <w:r>
              <w:rPr>
                <w:rFonts w:ascii="Times New Roman" w:hAnsi="Times New Roman" w:eastAsia="Times New Roman"/>
                <w:b w:val="0"/>
                <w:i w:val="0"/>
                <w:sz w:val="20"/>
              </w:rPr>
              <w:t>Dual identifiability (person + firm + vendor)</w:t>
            </w:r>
          </w:p>
        </w:tc>
        <w:tc>
          <w:tcPr>
            <w:tcW w:type="dxa" w:w="3120"/>
          </w:tcPr>
          <w:p>
            <w:pPr>
              <w:spacing w:after="40" w:before="40" w:line="240" w:lineRule="auto"/>
            </w:pPr>
            <w:r/>
            <w:r>
              <w:rPr>
                <w:rFonts w:ascii="Times New Roman" w:hAnsi="Times New Roman" w:eastAsia="Times New Roman"/>
                <w:b w:val="0"/>
                <w:i w:val="0"/>
                <w:sz w:val="20"/>
              </w:rPr>
              <w:t>Decision-rights talk is sanitized</w:t>
            </w:r>
          </w:p>
        </w:tc>
        <w:tc>
          <w:tcPr>
            <w:tcW w:type="dxa" w:w="3120"/>
          </w:tcPr>
          <w:p>
            <w:pPr>
              <w:spacing w:after="40" w:before="40" w:line="240" w:lineRule="auto"/>
            </w:pPr>
            <w:r/>
            <w:r>
              <w:rPr>
                <w:rFonts w:ascii="Times New Roman" w:hAnsi="Times New Roman" w:eastAsia="Times New Roman"/>
                <w:i/>
                <w:sz w:val="20"/>
              </w:rPr>
              <w:t>P##</w:t>
            </w:r>
            <w:r>
              <w:rPr>
                <w:rFonts w:ascii="Times New Roman" w:hAnsi="Times New Roman" w:eastAsia="Times New Roman"/>
                <w:b w:val="0"/>
                <w:i w:val="0"/>
                <w:sz w:val="20"/>
              </w:rPr>
              <w:t xml:space="preserve"> codes; strip firm/vendor/product/city; encrypted directory</w:t>
            </w:r>
          </w:p>
        </w:tc>
      </w:tr>
      <w:tr>
        <w:tc>
          <w:tcPr>
            <w:tcW w:type="dxa" w:w="3120"/>
          </w:tcPr>
          <w:p>
            <w:pPr>
              <w:spacing w:after="40" w:before="40" w:line="240" w:lineRule="auto"/>
            </w:pPr>
            <w:r/>
            <w:r>
              <w:rPr>
                <w:rFonts w:ascii="Times New Roman" w:hAnsi="Times New Roman" w:eastAsia="Times New Roman"/>
                <w:b w:val="0"/>
                <w:i w:val="0"/>
                <w:sz w:val="20"/>
              </w:rPr>
              <w:t>Supervisor-visible recruitment</w:t>
            </w:r>
          </w:p>
        </w:tc>
        <w:tc>
          <w:tcPr>
            <w:tcW w:type="dxa" w:w="3120"/>
          </w:tcPr>
          <w:p>
            <w:pPr>
              <w:spacing w:after="40" w:before="40" w:line="240" w:lineRule="auto"/>
            </w:pPr>
            <w:r/>
            <w:r>
              <w:rPr>
                <w:rFonts w:ascii="Times New Roman" w:hAnsi="Times New Roman" w:eastAsia="Times New Roman"/>
                <w:b w:val="0"/>
                <w:i w:val="0"/>
                <w:sz w:val="20"/>
              </w:rPr>
              <w:t>Official plan is performed as “the truth”</w:t>
            </w:r>
          </w:p>
        </w:tc>
        <w:tc>
          <w:tcPr>
            <w:tcW w:type="dxa" w:w="3120"/>
          </w:tcPr>
          <w:p>
            <w:pPr>
              <w:spacing w:after="40" w:before="40" w:line="240" w:lineRule="auto"/>
            </w:pPr>
            <w:r/>
            <w:r>
              <w:rPr>
                <w:rFonts w:ascii="Times New Roman" w:hAnsi="Times New Roman" w:eastAsia="Times New Roman"/>
                <w:b w:val="0"/>
                <w:i w:val="0"/>
                <w:sz w:val="20"/>
              </w:rPr>
              <w:t>Individual outreach; no participation list visible to a boss</w:t>
            </w:r>
          </w:p>
        </w:tc>
      </w:tr>
      <w:tr>
        <w:tc>
          <w:tcPr>
            <w:tcW w:type="dxa" w:w="3120"/>
          </w:tcPr>
          <w:p>
            <w:pPr>
              <w:spacing w:after="40" w:before="40" w:line="240" w:lineRule="auto"/>
            </w:pPr>
            <w:r/>
            <w:r>
              <w:rPr>
                <w:rFonts w:ascii="Times New Roman" w:hAnsi="Times New Roman" w:eastAsia="Times New Roman"/>
                <w:b w:val="0"/>
                <w:i w:val="0"/>
                <w:sz w:val="20"/>
              </w:rPr>
              <w:t>Member checking as political edit</w:t>
            </w:r>
          </w:p>
        </w:tc>
        <w:tc>
          <w:tcPr>
            <w:tcW w:type="dxa" w:w="3120"/>
          </w:tcPr>
          <w:p>
            <w:pPr>
              <w:spacing w:after="40" w:before="40" w:line="240" w:lineRule="auto"/>
            </w:pPr>
            <w:r/>
            <w:r>
              <w:rPr>
                <w:rFonts w:ascii="Times New Roman" w:hAnsi="Times New Roman" w:eastAsia="Times New Roman"/>
                <w:b w:val="0"/>
                <w:i w:val="0"/>
                <w:sz w:val="20"/>
              </w:rPr>
              <w:t>Contested proof is deleted</w:t>
            </w:r>
          </w:p>
        </w:tc>
        <w:tc>
          <w:tcPr>
            <w:tcW w:type="dxa" w:w="3120"/>
          </w:tcPr>
          <w:p>
            <w:pPr>
              <w:spacing w:after="40" w:before="40" w:line="240" w:lineRule="auto"/>
            </w:pPr>
            <w:r/>
            <w:r>
              <w:rPr>
                <w:rFonts w:ascii="Times New Roman" w:hAnsi="Times New Roman" w:eastAsia="Times New Roman"/>
                <w:b w:val="0"/>
                <w:i w:val="0"/>
                <w:sz w:val="20"/>
              </w:rPr>
              <w:t>Seven-day factual-correction window only; script in 2.2</w:t>
            </w:r>
          </w:p>
        </w:tc>
      </w:tr>
      <w:tr>
        <w:tc>
          <w:tcPr>
            <w:tcW w:type="dxa" w:w="3120"/>
          </w:tcPr>
          <w:p>
            <w:pPr>
              <w:spacing w:after="40" w:before="40" w:line="240" w:lineRule="auto"/>
            </w:pPr>
            <w:r/>
            <w:r>
              <w:rPr>
                <w:rFonts w:ascii="Times New Roman" w:hAnsi="Times New Roman" w:eastAsia="Times New Roman"/>
                <w:b w:val="0"/>
                <w:i w:val="0"/>
                <w:sz w:val="20"/>
              </w:rPr>
              <w:t>Researcher loyalty to seven codes</w:t>
            </w:r>
          </w:p>
        </w:tc>
        <w:tc>
          <w:tcPr>
            <w:tcW w:type="dxa" w:w="3120"/>
          </w:tcPr>
          <w:p>
            <w:pPr>
              <w:spacing w:after="40" w:before="40" w:line="240" w:lineRule="auto"/>
            </w:pPr>
            <w:r/>
            <w:r>
              <w:rPr>
                <w:rFonts w:ascii="Times New Roman" w:hAnsi="Times New Roman" w:eastAsia="Times New Roman"/>
                <w:b w:val="0"/>
                <w:i w:val="0"/>
                <w:sz w:val="20"/>
              </w:rPr>
              <w:t>Findings replay Mitchell et al.</w:t>
            </w:r>
          </w:p>
        </w:tc>
        <w:tc>
          <w:tcPr>
            <w:tcW w:type="dxa" w:w="3120"/>
          </w:tcPr>
          <w:p>
            <w:pPr>
              <w:spacing w:after="40" w:before="40" w:line="240" w:lineRule="auto"/>
            </w:pPr>
            <w:r/>
            <w:r>
              <w:rPr>
                <w:rFonts w:ascii="Times New Roman" w:hAnsi="Times New Roman" w:eastAsia="Times New Roman"/>
                <w:b w:val="0"/>
                <w:i w:val="0"/>
                <w:sz w:val="20"/>
              </w:rPr>
              <w:t>Sensitizing list + MU table + post-interview reflexive memo</w:t>
            </w:r>
          </w:p>
        </w:tc>
      </w:tr>
      <w:tr>
        <w:tc>
          <w:tcPr>
            <w:tcW w:type="dxa" w:w="3120"/>
          </w:tcPr>
          <w:p>
            <w:pPr>
              <w:spacing w:after="40" w:before="40" w:line="240" w:lineRule="auto"/>
            </w:pPr>
            <w:r/>
            <w:r>
              <w:rPr>
                <w:rFonts w:ascii="Times New Roman" w:hAnsi="Times New Roman" w:eastAsia="Times New Roman"/>
                <w:b w:val="0"/>
                <w:i w:val="0"/>
                <w:sz w:val="20"/>
              </w:rPr>
              <w:t>Recording failure</w:t>
            </w:r>
          </w:p>
        </w:tc>
        <w:tc>
          <w:tcPr>
            <w:tcW w:type="dxa" w:w="3120"/>
          </w:tcPr>
          <w:p>
            <w:pPr>
              <w:spacing w:after="40" w:before="40" w:line="240" w:lineRule="auto"/>
            </w:pPr>
            <w:r/>
            <w:r>
              <w:rPr>
                <w:rFonts w:ascii="Times New Roman" w:hAnsi="Times New Roman" w:eastAsia="Times New Roman"/>
                <w:b w:val="0"/>
                <w:i w:val="0"/>
                <w:sz w:val="20"/>
              </w:rPr>
              <w:t>Lost incident narrative</w:t>
            </w:r>
          </w:p>
        </w:tc>
        <w:tc>
          <w:tcPr>
            <w:tcW w:type="dxa" w:w="3120"/>
          </w:tcPr>
          <w:p>
            <w:pPr>
              <w:spacing w:after="40" w:before="40" w:line="240" w:lineRule="auto"/>
            </w:pPr>
            <w:r/>
            <w:r>
              <w:rPr>
                <w:rFonts w:ascii="Times New Roman" w:hAnsi="Times New Roman" w:eastAsia="Times New Roman"/>
                <w:b w:val="0"/>
                <w:i w:val="0"/>
                <w:sz w:val="20"/>
              </w:rPr>
              <w:t>No memory-only session; reschedule</w:t>
            </w:r>
          </w:p>
        </w:tc>
      </w:tr>
      <w:tr>
        <w:tc>
          <w:tcPr>
            <w:tcW w:type="dxa" w:w="3120"/>
          </w:tcPr>
          <w:p>
            <w:pPr>
              <w:spacing w:after="40" w:before="40" w:line="240" w:lineRule="auto"/>
            </w:pPr>
            <w:r/>
            <w:r>
              <w:rPr>
                <w:rFonts w:ascii="Times New Roman" w:hAnsi="Times New Roman" w:eastAsia="Times New Roman"/>
                <w:b w:val="0"/>
                <w:i w:val="0"/>
                <w:sz w:val="20"/>
              </w:rPr>
              <w:t>Manager self-justification treated as proof</w:t>
            </w:r>
          </w:p>
        </w:tc>
        <w:tc>
          <w:tcPr>
            <w:tcW w:type="dxa" w:w="3120"/>
          </w:tcPr>
          <w:p>
            <w:pPr>
              <w:spacing w:after="40" w:before="40" w:line="240" w:lineRule="auto"/>
            </w:pPr>
            <w:r/>
            <w:r>
              <w:rPr>
                <w:rFonts w:ascii="Times New Roman" w:hAnsi="Times New Roman" w:eastAsia="Times New Roman"/>
                <w:b w:val="0"/>
                <w:i w:val="0"/>
                <w:sz w:val="20"/>
              </w:rPr>
              <w:t>Assurance becomes rhetoric</w:t>
            </w:r>
          </w:p>
        </w:tc>
        <w:tc>
          <w:tcPr>
            <w:tcW w:type="dxa" w:w="3120"/>
          </w:tcPr>
          <w:p>
            <w:pPr>
              <w:spacing w:after="40" w:before="40" w:line="240" w:lineRule="auto"/>
            </w:pPr>
            <w:r/>
            <w:r>
              <w:rPr>
                <w:rFonts w:ascii="Times New Roman" w:hAnsi="Times New Roman" w:eastAsia="Times New Roman"/>
                <w:b w:val="0"/>
                <w:i w:val="0"/>
                <w:sz w:val="20"/>
              </w:rPr>
              <w:t>Code “what I told stakeholders” separately from “what artifact existed”</w:t>
            </w:r>
          </w:p>
        </w:tc>
      </w:tr>
      <w:tr>
        <w:tc>
          <w:tcPr>
            <w:tcW w:type="dxa" w:w="3120"/>
          </w:tcPr>
          <w:p>
            <w:pPr>
              <w:spacing w:after="40" w:before="40" w:line="240" w:lineRule="auto"/>
            </w:pPr>
            <w:r/>
            <w:r>
              <w:rPr>
                <w:rFonts w:ascii="Times New Roman" w:hAnsi="Times New Roman" w:eastAsia="Times New Roman"/>
                <w:b w:val="0"/>
                <w:i w:val="0"/>
                <w:sz w:val="20"/>
              </w:rPr>
              <w:t>Unique technical identifiers in artifacts</w:t>
            </w:r>
          </w:p>
        </w:tc>
        <w:tc>
          <w:tcPr>
            <w:tcW w:type="dxa" w:w="3120"/>
          </w:tcPr>
          <w:p>
            <w:pPr>
              <w:spacing w:after="40" w:before="40" w:line="240" w:lineRule="auto"/>
            </w:pPr>
            <w:r/>
            <w:r>
              <w:rPr>
                <w:rFonts w:ascii="Times New Roman" w:hAnsi="Times New Roman" w:eastAsia="Times New Roman"/>
                <w:b w:val="0"/>
                <w:i w:val="0"/>
                <w:sz w:val="20"/>
              </w:rPr>
              <w:t>Re-identification</w:t>
            </w:r>
          </w:p>
        </w:tc>
        <w:tc>
          <w:tcPr>
            <w:tcW w:type="dxa" w:w="3120"/>
          </w:tcPr>
          <w:p>
            <w:pPr>
              <w:spacing w:after="40" w:before="40" w:line="240" w:lineRule="auto"/>
            </w:pPr>
            <w:r/>
            <w:r>
              <w:rPr>
                <w:rFonts w:ascii="Times New Roman" w:hAnsi="Times New Roman" w:eastAsia="Times New Roman"/>
                <w:b w:val="0"/>
                <w:i w:val="0"/>
                <w:sz w:val="20"/>
              </w:rPr>
              <w:t>Section 3.4 SOP</w:t>
            </w:r>
          </w:p>
        </w:tc>
      </w:tr>
    </w:tbl>
    <w:p/>
    <w:p>
      <w:pPr>
        <w:spacing w:after="160" w:before="240" w:line="480" w:lineRule="auto"/>
      </w:pPr>
      <w:r>
        <w:rPr>
          <w:rFonts w:ascii="Times New Roman" w:hAnsi="Times New Roman" w:eastAsia="Times New Roman"/>
          <w:b/>
          <w:i w:val="0"/>
          <w:color w:val="9A3412"/>
          <w:sz w:val="24"/>
        </w:rPr>
        <w:t xml:space="preserve">7.2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Member-check SOP</w:t>
      </w:r>
    </w:p>
    <w:p>
      <w:pPr>
        <w:pStyle w:val="ListNumber"/>
        <w:spacing w:line="480" w:lineRule="auto"/>
      </w:pPr>
      <w:r>
        <w:rPr>
          <w:rFonts w:ascii="Times New Roman" w:hAnsi="Times New Roman" w:eastAsia="Times New Roman"/>
          <w:b w:val="0"/>
          <w:i w:val="0"/>
          <w:sz w:val="24"/>
        </w:rPr>
        <w:t>Within 10 days, email the de-identified transcript to the address on the consent form.</w:t>
      </w:r>
    </w:p>
    <w:p>
      <w:pPr>
        <w:pStyle w:val="ListNumber"/>
        <w:spacing w:line="480" w:lineRule="auto"/>
      </w:pPr>
      <w:r>
        <w:rPr>
          <w:rFonts w:ascii="Times New Roman" w:hAnsi="Times New Roman" w:eastAsia="Times New Roman"/>
          <w:b w:val="0"/>
          <w:i w:val="0"/>
          <w:sz w:val="24"/>
        </w:rPr>
        <w:t xml:space="preserve">Ask only: </w:t>
      </w:r>
      <w:r>
        <w:rPr>
          <w:rFonts w:ascii="Times New Roman" w:hAnsi="Times New Roman" w:eastAsia="Times New Roman"/>
          <w:i/>
          <w:sz w:val="24"/>
        </w:rPr>
        <w:t>Did I mishear any fact about the sequence of events, roles, or artifacts?</w:t>
      </w:r>
    </w:p>
    <w:p>
      <w:pPr>
        <w:pStyle w:val="ListNumber"/>
        <w:spacing w:line="480" w:lineRule="auto"/>
      </w:pPr>
      <w:r>
        <w:rPr>
          <w:rFonts w:ascii="Times New Roman" w:hAnsi="Times New Roman" w:eastAsia="Times New Roman"/>
          <w:b w:val="0"/>
          <w:i w:val="0"/>
          <w:sz w:val="24"/>
        </w:rPr>
        <w:t>Window: 7 calendar days. No reply = transcript stands as heard.</w:t>
      </w:r>
    </w:p>
    <w:p>
      <w:pPr>
        <w:pStyle w:val="ListNumber"/>
        <w:spacing w:line="480" w:lineRule="auto"/>
      </w:pPr>
      <w:r>
        <w:rPr>
          <w:rFonts w:ascii="Times New Roman" w:hAnsi="Times New Roman" w:eastAsia="Times New Roman"/>
          <w:b w:val="0"/>
          <w:i w:val="0"/>
          <w:sz w:val="24"/>
        </w:rPr>
        <w:t>Accept corrections of names, sequence, and artifact type.</w:t>
      </w:r>
    </w:p>
    <w:p>
      <w:pPr>
        <w:pStyle w:val="ListNumber"/>
        <w:spacing w:line="480" w:lineRule="auto"/>
      </w:pPr>
      <w:r>
        <w:rPr>
          <w:rFonts w:ascii="Times New Roman" w:hAnsi="Times New Roman" w:eastAsia="Times New Roman"/>
          <w:b w:val="0"/>
          <w:i w:val="0"/>
          <w:sz w:val="24"/>
        </w:rPr>
        <w:t>Do not accept deletion of a de-identified contested decision. If the participant objects, add a footnote: “Participant asked that this decision not be quoted; the analytic note that a contest occurred is retained without the wording.”</w:t>
      </w:r>
    </w:p>
    <w:p>
      <w:pPr>
        <w:pStyle w:val="ListNumber"/>
        <w:spacing w:line="480" w:lineRule="auto"/>
      </w:pPr>
      <w:r>
        <w:rPr>
          <w:rFonts w:ascii="Times New Roman" w:hAnsi="Times New Roman" w:eastAsia="Times New Roman"/>
          <w:b w:val="0"/>
          <w:i w:val="0"/>
          <w:sz w:val="24"/>
        </w:rPr>
        <w:t xml:space="preserve">Store the marked transcript as </w:t>
      </w:r>
      <w:r>
        <w:rPr>
          <w:rFonts w:ascii="Times New Roman" w:hAnsi="Times New Roman" w:eastAsia="Times New Roman"/>
          <w:i/>
          <w:sz w:val="24"/>
        </w:rPr>
        <w:t>P##_MC</w:t>
      </w:r>
      <w:r>
        <w:rPr>
          <w:rFonts w:ascii="Times New Roman" w:hAnsi="Times New Roman" w:eastAsia="Times New Roman"/>
          <w:b w:val="0"/>
          <w:i w:val="0"/>
          <w:sz w:val="24"/>
        </w:rPr>
        <w:t xml:space="preserve"> in the same encrypted directory.</w:t>
      </w:r>
    </w:p>
    <w:p>
      <w:pPr>
        <w:spacing w:after="160" w:before="240" w:line="480" w:lineRule="auto"/>
      </w:pPr>
      <w:r>
        <w:rPr>
          <w:rFonts w:ascii="Times New Roman" w:hAnsi="Times New Roman" w:eastAsia="Times New Roman"/>
          <w:b/>
          <w:i w:val="0"/>
          <w:color w:val="9A3412"/>
          <w:sz w:val="24"/>
        </w:rPr>
        <w:t xml:space="preserve">7.3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Storage SOP</w:t>
      </w:r>
    </w:p>
    <w:p>
      <w:pPr>
        <w:pStyle w:val="ListBullet"/>
        <w:spacing w:line="480" w:lineRule="auto"/>
      </w:pPr>
      <w:r>
        <w:rPr>
          <w:rFonts w:ascii="Times New Roman" w:hAnsi="Times New Roman" w:eastAsia="Times New Roman"/>
          <w:b w:val="0"/>
          <w:i w:val="0"/>
          <w:sz w:val="24"/>
        </w:rPr>
        <w:t>Location: encrypted, password-protected directory; researcher-only access.</w:t>
      </w:r>
    </w:p>
    <w:p>
      <w:pPr>
        <w:pStyle w:val="ListBullet"/>
        <w:spacing w:line="480" w:lineRule="auto"/>
      </w:pPr>
      <w:r>
        <w:rPr>
          <w:rFonts w:ascii="Times New Roman" w:hAnsi="Times New Roman" w:eastAsia="Times New Roman"/>
          <w:b w:val="0"/>
          <w:i w:val="0"/>
          <w:sz w:val="24"/>
        </w:rPr>
        <w:t>File set per participant: consent PDF, recording, verbatim transcript, de-identified transcript, Artifact Map, Path A files (if any), member-check file, reflexive memo.</w:t>
      </w:r>
    </w:p>
    <w:p>
      <w:pPr>
        <w:pStyle w:val="ListBullet"/>
        <w:spacing w:line="480" w:lineRule="auto"/>
      </w:pPr>
      <w:r>
        <w:rPr>
          <w:rFonts w:ascii="Times New Roman" w:hAnsi="Times New Roman" w:eastAsia="Times New Roman"/>
          <w:b w:val="0"/>
          <w:i w:val="0"/>
          <w:sz w:val="24"/>
        </w:rPr>
        <w:t>Retention: follow Capella IRB / university policy; destroy identifiers when the policy allows.</w:t>
      </w:r>
    </w:p>
    <w:p>
      <w:pPr>
        <w:pStyle w:val="ListBullet"/>
        <w:spacing w:line="480" w:lineRule="auto"/>
      </w:pPr>
      <w:r>
        <w:rPr>
          <w:rFonts w:ascii="Times New Roman" w:hAnsi="Times New Roman" w:eastAsia="Times New Roman"/>
          <w:b w:val="0"/>
          <w:i w:val="0"/>
          <w:sz w:val="24"/>
        </w:rPr>
        <w:t>Backup: one encrypted copy only; no cloud folder with employer-visible filenames.</w:t>
      </w:r>
    </w:p>
    <w:p>
      <w:pPr>
        <w:spacing w:after="160" w:before="240" w:line="480" w:lineRule="auto"/>
      </w:pPr>
      <w:r>
        <w:rPr>
          <w:rFonts w:ascii="Times New Roman" w:hAnsi="Times New Roman" w:eastAsia="Times New Roman"/>
          <w:b/>
          <w:i w:val="0"/>
          <w:color w:val="9A3412"/>
          <w:sz w:val="24"/>
        </w:rPr>
        <w:t xml:space="preserve">7.4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Reflexive memo (write within 24 hours of each interview)</w:t>
      </w:r>
    </w:p>
    <w:p>
      <w:pPr>
        <w:spacing w:after="120" w:before="0" w:line="480" w:lineRule="auto"/>
      </w:pPr>
      <w:r>
        <w:rPr>
          <w:rFonts w:ascii="Times New Roman" w:hAnsi="Times New Roman" w:eastAsia="Times New Roman"/>
          <w:b w:val="0"/>
          <w:i w:val="0"/>
          <w:sz w:val="24"/>
        </w:rPr>
        <w:t>Prompt, five lines maximum:</w:t>
      </w:r>
    </w:p>
    <w:p>
      <w:pPr>
        <w:pStyle w:val="ListNumber"/>
        <w:spacing w:line="480" w:lineRule="auto"/>
      </w:pPr>
      <w:r>
        <w:rPr>
          <w:rFonts w:ascii="Times New Roman" w:hAnsi="Times New Roman" w:eastAsia="Times New Roman"/>
          <w:b w:val="0"/>
          <w:i w:val="0"/>
          <w:sz w:val="24"/>
        </w:rPr>
        <w:t>Where did I almost supply a salience word the participant had not used?</w:t>
      </w:r>
    </w:p>
    <w:p>
      <w:pPr>
        <w:pStyle w:val="ListNumber"/>
        <w:spacing w:line="480" w:lineRule="auto"/>
      </w:pPr>
      <w:r>
        <w:rPr>
          <w:rFonts w:ascii="Times New Roman" w:hAnsi="Times New Roman" w:eastAsia="Times New Roman"/>
          <w:b w:val="0"/>
          <w:i w:val="0"/>
          <w:sz w:val="24"/>
        </w:rPr>
        <w:t>Which claim did I privately prefer (owner, auditor, platform, manager)?</w:t>
      </w:r>
    </w:p>
    <w:p>
      <w:pPr>
        <w:pStyle w:val="ListNumber"/>
        <w:spacing w:line="480" w:lineRule="auto"/>
      </w:pPr>
      <w:r>
        <w:rPr>
          <w:rFonts w:ascii="Times New Roman" w:hAnsi="Times New Roman" w:eastAsia="Times New Roman"/>
          <w:b w:val="0"/>
          <w:i w:val="0"/>
          <w:sz w:val="24"/>
        </w:rPr>
        <w:t>Which artifact did I treat as “real proof” too quickly?</w:t>
      </w:r>
    </w:p>
    <w:p>
      <w:pPr>
        <w:pStyle w:val="ListNumber"/>
        <w:spacing w:line="480" w:lineRule="auto"/>
      </w:pPr>
      <w:r>
        <w:rPr>
          <w:rFonts w:ascii="Times New Roman" w:hAnsi="Times New Roman" w:eastAsia="Times New Roman"/>
          <w:b w:val="0"/>
          <w:i w:val="0"/>
          <w:sz w:val="24"/>
        </w:rPr>
        <w:t>What boundary case did this session add or still lack?</w:t>
      </w:r>
    </w:p>
    <w:p>
      <w:pPr>
        <w:pStyle w:val="ListNumber"/>
        <w:spacing w:line="480" w:lineRule="auto"/>
      </w:pPr>
      <w:r>
        <w:rPr>
          <w:rFonts w:ascii="Times New Roman" w:hAnsi="Times New Roman" w:eastAsia="Times New Roman"/>
          <w:b w:val="0"/>
          <w:i w:val="0"/>
          <w:sz w:val="24"/>
        </w:rPr>
        <w:t>What question did I skip that the coverage checklist still needs?</w:t>
      </w:r>
    </w:p>
    <w:p>
      <w:pPr>
        <w:spacing w:after="160" w:before="240" w:line="480" w:lineRule="auto"/>
      </w:pPr>
      <w:r>
        <w:rPr>
          <w:rFonts w:ascii="Times New Roman" w:hAnsi="Times New Roman" w:eastAsia="Times New Roman"/>
          <w:b/>
          <w:i w:val="0"/>
          <w:color w:val="9A3412"/>
          <w:sz w:val="28"/>
        </w:rPr>
        <w:t>8. Sample and Recruitment Inserts (</w:t>
      </w:r>
      <w:r>
        <w:rPr>
          <w:rFonts w:ascii="Times New Roman" w:hAnsi="Times New Roman" w:eastAsia="Times New Roman"/>
          <w:b/>
          <w:i w:val="0"/>
          <w:color w:val="9A3412"/>
          <w:sz w:val="28"/>
        </w:rPr>
        <w:t>NEW</w:t>
      </w:r>
      <w:r>
        <w:rPr>
          <w:rFonts w:ascii="Times New Roman" w:hAnsi="Times New Roman" w:eastAsia="Times New Roman"/>
          <w:b/>
          <w:i w:val="0"/>
          <w:color w:val="9A3412"/>
          <w:sz w:val="28"/>
        </w:rPr>
        <w:t>)</w:t>
      </w:r>
    </w:p>
    <w:p>
      <w:pPr>
        <w:spacing w:after="120" w:before="0" w:line="480" w:lineRule="auto"/>
      </w:pPr>
      <w:r>
        <w:rPr>
          <w:rFonts w:ascii="Times New Roman" w:hAnsi="Times New Roman" w:eastAsia="Times New Roman"/>
          <w:b/>
          <w:i w:val="0"/>
          <w:sz w:val="24"/>
        </w:rPr>
        <w:t>Information power (paste under Sample).</w:t>
      </w:r>
    </w:p>
    <w:p>
      <w:pPr>
        <w:spacing w:after="120" w:before="0" w:line="480" w:lineRule="auto"/>
      </w:pPr>
      <w:r>
        <w:rPr>
          <w:rFonts w:ascii="Times New Roman" w:hAnsi="Times New Roman" w:eastAsia="Times New Roman"/>
          <w:b w:val="0"/>
          <w:i w:val="0"/>
          <w:sz w:val="24"/>
        </w:rPr>
        <w:t>A sample of 10 to 15 managers is justified by information power, not by a promise of saturation at a fixed n (Malterud et al., 2016). The aim is narrow (enactment of stakeholder-claim management in SME ITDRPaaS incidents), the sample is specific (U.S. SME IT/network managers with a recent external-platform recovery event), and the dialogue is theoretically informed by stakeholder-salience without being a closed questionnaire. Stopping follows the analysis-bridge rule in Section 4.5 (Naeem et al., 2024).</w:t>
      </w:r>
    </w:p>
    <w:p>
      <w:pPr>
        <w:spacing w:after="120" w:before="0" w:line="480" w:lineRule="auto"/>
      </w:pPr>
      <w:r>
        <w:rPr>
          <w:rFonts w:ascii="Times New Roman" w:hAnsi="Times New Roman" w:eastAsia="Times New Roman"/>
          <w:b/>
          <w:i w:val="0"/>
          <w:sz w:val="24"/>
        </w:rPr>
        <w:t>Recruitment (paste under Recruitment).</w:t>
      </w:r>
    </w:p>
    <w:p>
      <w:pPr>
        <w:spacing w:after="120" w:before="0" w:line="480" w:lineRule="auto"/>
      </w:pPr>
      <w:r>
        <w:rPr>
          <w:rFonts w:ascii="Times New Roman" w:hAnsi="Times New Roman" w:eastAsia="Times New Roman"/>
          <w:b w:val="0"/>
          <w:i w:val="0"/>
          <w:sz w:val="24"/>
        </w:rPr>
        <w:t>Candidates are approached individually through professional networks, practitioner associations, and professional social platforms. The researcher does not recruit through a supervisor. Screening uses the inclusion criteria already in the draft. After eligibility is confirmed, the consent form is emailed. After signed consent is returned, a 60–75 minute virtual interview is scheduled in English.</w:t>
      </w:r>
    </w:p>
    <w:p>
      <w:pPr>
        <w:spacing w:after="160" w:before="240" w:line="480" w:lineRule="auto"/>
      </w:pPr>
      <w:r>
        <w:rPr>
          <w:rFonts w:ascii="Times New Roman" w:hAnsi="Times New Roman" w:eastAsia="Times New Roman"/>
          <w:b/>
          <w:i w:val="0"/>
          <w:color w:val="1F3A5F"/>
          <w:sz w:val="28"/>
        </w:rPr>
        <w:t>9. Paste-Ready Project Plan Paragraphs</w:t>
      </w:r>
    </w:p>
    <w:p>
      <w:pPr>
        <w:spacing w:after="120" w:before="0" w:line="480" w:lineRule="auto"/>
      </w:pPr>
      <w:r>
        <w:rPr>
          <w:rFonts w:ascii="Times New Roman" w:hAnsi="Times New Roman" w:eastAsia="Times New Roman"/>
          <w:b w:val="0"/>
          <w:i w:val="0"/>
          <w:sz w:val="24"/>
        </w:rPr>
        <w:t xml:space="preserve">These replace the current Measures, Procedures, Analysis, and Trustworthiness blocks. They incorporate every </w:t>
      </w:r>
      <w:r>
        <w:rPr>
          <w:rFonts w:ascii="Times New Roman" w:hAnsi="Times New Roman" w:eastAsia="Times New Roman"/>
          <w:b/>
          <w:i w:val="0"/>
          <w:sz w:val="24"/>
        </w:rPr>
        <w:t>NEW</w:t>
      </w:r>
      <w:r>
        <w:rPr>
          <w:rFonts w:ascii="Times New Roman" w:hAnsi="Times New Roman" w:eastAsia="Times New Roman"/>
          <w:b w:val="0"/>
          <w:i w:val="0"/>
          <w:sz w:val="24"/>
        </w:rPr>
        <w:t xml:space="preserve"> effort above. Suggested length matches the courseroom prompt (3–4 paragraphs for measures and procedures; 1–2 for trustworthiness).</w:t>
      </w:r>
    </w:p>
    <w:p>
      <w:pPr>
        <w:spacing w:after="160" w:before="240" w:line="480" w:lineRule="auto"/>
      </w:pPr>
      <w:r>
        <w:rPr>
          <w:rFonts w:ascii="Times New Roman" w:hAnsi="Times New Roman" w:eastAsia="Times New Roman"/>
          <w:b/>
          <w:i w:val="0"/>
          <w:color w:val="9A3412"/>
          <w:sz w:val="24"/>
        </w:rPr>
        <w:t xml:space="preserve">9.1 Measures or Artifacts to Be Reviewed —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replacement</w:t>
      </w:r>
    </w:p>
    <w:p>
      <w:pPr>
        <w:spacing w:after="120" w:before="0" w:line="480" w:lineRule="auto"/>
      </w:pPr>
      <w:r>
        <w:rPr>
          <w:rFonts w:ascii="Times New Roman" w:hAnsi="Times New Roman" w:eastAsia="Times New Roman"/>
          <w:b w:val="0"/>
          <w:i w:val="0"/>
          <w:sz w:val="24"/>
        </w:rPr>
        <w:t>The primary instrument is a semi-structured interview protocol that asks each participating U.S. SME IT or network manager to recount one named disruption, failover, recovery test, or operational recovery in the preceding 36 months in which an external recovery platform or managed recovery service was used (Flanagan, 1954; Chell, 2004). The opening question is a single critical-incident prompt. It does not introduce theory terms. If the account stays abstract, the researcher asks the participant to remain with that one event. This design fits generic qualitative inquiry because it collects an account of an external event, the decisions taken, and the objects used, in the participant’s own words (Caelli et al., 2003; Kahlke, 2014; Percy et al., 2015).</w:t>
      </w:r>
    </w:p>
    <w:p>
      <w:pPr>
        <w:spacing w:after="120" w:before="0" w:line="480" w:lineRule="auto"/>
      </w:pPr>
      <w:r>
        <w:rPr>
          <w:rFonts w:ascii="Times New Roman" w:hAnsi="Times New Roman" w:eastAsia="Times New Roman"/>
          <w:b w:val="0"/>
          <w:i w:val="0"/>
          <w:sz w:val="24"/>
        </w:rPr>
        <w:t>When the incident story does not already supply the needed practice detail, the researcher uses topical guiding questions organized by stakeholder-salience and its enactment (Mitchell et al., 1997). Sets A–C ask whose request carried power, whose claim was treated as legitimate, and what made restoration time-critical. Sets D–E ask who was supposed to decide, who actually decided, and what triggered escalation. Set F asks what counted as enough proof that a service was recovered, whether that threshold was renegotiated mid-incident, and what log, test, approval, or ticket the manager would point to if the restoration had to be defended. These seven labels are sensitizing constructs. They are not predetermined theme titles.</w:t>
      </w:r>
    </w:p>
    <w:p>
      <w:pPr>
        <w:spacing w:after="120" w:before="0" w:line="480" w:lineRule="auto"/>
      </w:pPr>
      <w:r>
        <w:rPr>
          <w:rFonts w:ascii="Times New Roman" w:hAnsi="Times New Roman" w:eastAsia="Times New Roman"/>
          <w:b w:val="0"/>
          <w:i w:val="0"/>
          <w:sz w:val="24"/>
        </w:rPr>
        <w:t>The secondary instrument is a review of organizational artifacts the manager names while telling that incident. Eligible objects include an internal disaster-recovery plan, an escalation matrix, a recovery-test record, a ticket, an integrity check, or an authorization action. External frameworks such as NIST or BCM are recorded only when the manager names them, and only as context. They are not scored as a compliance checklist (Creswell &amp; Poth, 2018). Recoverability assurance is operationalized as decision-relevant, reviewable evidence that prioritized services could be restored within tolerance — for example a documented restoration outcome, an integrity check, or a recorded authorization (Lowry et al., 2025).</w:t>
      </w:r>
    </w:p>
    <w:p>
      <w:pPr>
        <w:spacing w:after="120" w:before="0" w:line="480" w:lineRule="auto"/>
      </w:pPr>
      <w:r>
        <w:rPr>
          <w:rFonts w:ascii="Times New Roman" w:hAnsi="Times New Roman" w:eastAsia="Times New Roman"/>
          <w:b w:val="0"/>
          <w:i w:val="0"/>
          <w:sz w:val="24"/>
        </w:rPr>
        <w:t>If a file can be shared in redacted form, it is stored under an alphanumeric code after identifiers are stripped. If it cannot be shared, the researcher writes a field-note reconstruction of what the artifact did in the event. If no artifact is named, that absence is retained as a boundary case for recoverability assurance. Every artifact row later enters the same meaning-unit table as spoken excerpts. This keeps Measures/Artifacts accountable to the Gap: a comparison of formal continuity intent with the ad hoc decisions managers executed under pressure.</w:t>
      </w:r>
    </w:p>
    <w:p>
      <w:pPr>
        <w:spacing w:after="160" w:before="240" w:line="480" w:lineRule="auto"/>
      </w:pPr>
      <w:r>
        <w:rPr>
          <w:rFonts w:ascii="Times New Roman" w:hAnsi="Times New Roman" w:eastAsia="Times New Roman"/>
          <w:b/>
          <w:i w:val="0"/>
          <w:color w:val="9A3412"/>
          <w:sz w:val="24"/>
        </w:rPr>
        <w:t xml:space="preserve">9.2 Detailed Procedures —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replacement</w:t>
      </w:r>
    </w:p>
    <w:p>
      <w:pPr>
        <w:spacing w:after="120" w:before="0" w:line="480" w:lineRule="auto"/>
      </w:pPr>
      <w:r>
        <w:rPr>
          <w:rFonts w:ascii="Times New Roman" w:hAnsi="Times New Roman" w:eastAsia="Times New Roman"/>
          <w:b w:val="0"/>
          <w:i w:val="0"/>
          <w:sz w:val="24"/>
        </w:rPr>
        <w:t>Recruitment is individual and purposive. The researcher approaches candidates through professional networks, practitioner associations, and professional social platforms, not through a supervisor. Eligibility requires an active IT, network, systems, infrastructure, or operations management role in a U.S. enterprise of 10 to 200 personnel; direct responsibility for, or participation in, IT disaster-recovery coordination that uses an external platform or managed recovery service; and at least one disruption, failover, recovery test, or operational recovery in the preceding 36 months. People employed only by a vendor, or without that platform experience, are excluded. A sample of 10 to 15 managers is justified by information power (Malterud et al., 2016). After eligibility is confirmed, the researcher emails an informed-consent form. When signed electronic consent is returned, a 60- to 75-minute virtual interview in English is scheduled and recorded.</w:t>
      </w:r>
    </w:p>
    <w:p>
      <w:pPr>
        <w:spacing w:after="120" w:before="0" w:line="480" w:lineRule="auto"/>
      </w:pPr>
      <w:r>
        <w:rPr>
          <w:rFonts w:ascii="Times New Roman" w:hAnsi="Times New Roman" w:eastAsia="Times New Roman"/>
          <w:b w:val="0"/>
          <w:i w:val="0"/>
          <w:sz w:val="24"/>
        </w:rPr>
        <w:t>The session follows a written protocol. The researcher reads a short ethics script, then deploys the critical-incident opening (Flanagan, 1954; Chell, 2004). Flexible probes stay with that event. Topical questions on power, legitimacy, urgency, decision rights, escalation, and proof are asked only if the story did not already answer them. The researcher completes a construct-coverage checklist before closing so that a skipped set is either covered in the opening narrative or documented as a boundary case (for example, no escalation occurred). After the incident account, the researcher runs the artifact request. Sharing a document is optional and does not end the interview.</w:t>
      </w:r>
    </w:p>
    <w:p>
      <w:pPr>
        <w:spacing w:after="120" w:before="0" w:line="480" w:lineRule="auto"/>
      </w:pPr>
      <w:r>
        <w:rPr>
          <w:rFonts w:ascii="Times New Roman" w:hAnsi="Times New Roman" w:eastAsia="Times New Roman"/>
          <w:b w:val="0"/>
          <w:i w:val="0"/>
          <w:sz w:val="24"/>
        </w:rPr>
        <w:t>After the session the recording is transcribed verbatim. The transcript, field notes, and artifact map are stripped of person, firm, vendor, and product names and stored under an alphanumeric code in an encrypted, password-protected directory. The de-identified transcript is sent to the participant for a seven-day factual check. Participants may correct sequence, roles, and artifact type. They may not delete a de-identified contested recovery decision from the analytic file. The researcher writes a short reflexive memo within 24 hours so that stakeholder-salience terms used as probes are not mistaken for findings (Braun &amp; Clarke, 2019; Lincoln &amp; Guba, 1985).</w:t>
      </w:r>
    </w:p>
    <w:p>
      <w:pPr>
        <w:spacing w:after="160" w:before="240" w:line="480" w:lineRule="auto"/>
      </w:pPr>
      <w:r>
        <w:rPr>
          <w:rFonts w:ascii="Times New Roman" w:hAnsi="Times New Roman" w:eastAsia="Times New Roman"/>
          <w:b/>
          <w:i w:val="0"/>
          <w:color w:val="9A3412"/>
          <w:sz w:val="24"/>
        </w:rPr>
        <w:t xml:space="preserve">9.3 Proposed Data Analysis —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section (the plan draft did not include this node)</w:t>
      </w:r>
    </w:p>
    <w:p>
      <w:pPr>
        <w:spacing w:after="120" w:before="0" w:line="480" w:lineRule="auto"/>
      </w:pPr>
      <w:r>
        <w:rPr>
          <w:rFonts w:ascii="Times New Roman" w:hAnsi="Times New Roman" w:eastAsia="Times New Roman"/>
          <w:b w:val="0"/>
          <w:i w:val="0"/>
          <w:sz w:val="24"/>
        </w:rPr>
        <w:t>Analysis reuses the four-step generic thematic reduction already practiced in Data Analysis Practice 2 (Aronson, 1994; Taylor &amp; Bogdan, 1998; Braun &amp; Clarke, 2021; Walker, 2026). After repeated reading of each de-identified transcript and artifact map, the researcher (1) locks meaning units that state a practice claim before any theme name is written, (2) confirms each unit with a named excerpt and a negative or boundary case, (3) groups related units only when they describe the same salience-to-assurance bargain rather than the same recovery topic, and (4) synthesizes two separate answers, one for stakeholder-claim and salience enactment and one for decision rights, escalation, and recoverability assurance (Percy et al., 2015; Lester et al., 2020). Stakeholder-salience and governance labels remain a sensitizing start-list. They become a mapping pass after themes exist; they are not Step 3 titles. Saturation is treated as an analytic decision guide (Naeem et al., 2024), not as a claim that 10 to 15 interviews close the Gap.</w:t>
      </w:r>
    </w:p>
    <w:p>
      <w:pPr>
        <w:spacing w:after="160" w:before="240" w:line="480" w:lineRule="auto"/>
      </w:pPr>
      <w:r>
        <w:rPr>
          <w:rFonts w:ascii="Times New Roman" w:hAnsi="Times New Roman" w:eastAsia="Times New Roman"/>
          <w:b/>
          <w:i w:val="0"/>
          <w:color w:val="9A3412"/>
          <w:sz w:val="24"/>
        </w:rPr>
        <w:t xml:space="preserve">9.4 Validity / Reliability / Credibility / Dependability — </w:t>
      </w:r>
      <w:r>
        <w:rPr>
          <w:rFonts w:ascii="Times New Roman" w:hAnsi="Times New Roman" w:eastAsia="Times New Roman"/>
          <w:b/>
          <w:i w:val="0"/>
          <w:color w:val="9A3412"/>
          <w:sz w:val="24"/>
        </w:rPr>
        <w:t>NEW</w:t>
      </w:r>
      <w:r>
        <w:rPr>
          <w:rFonts w:ascii="Times New Roman" w:hAnsi="Times New Roman" w:eastAsia="Times New Roman"/>
          <w:b/>
          <w:i w:val="0"/>
          <w:color w:val="9A3412"/>
          <w:sz w:val="24"/>
        </w:rPr>
        <w:t xml:space="preserve"> replacement</w:t>
      </w:r>
    </w:p>
    <w:p>
      <w:pPr>
        <w:spacing w:after="120" w:before="0" w:line="480" w:lineRule="auto"/>
      </w:pPr>
      <w:r>
        <w:rPr>
          <w:rFonts w:ascii="Times New Roman" w:hAnsi="Times New Roman" w:eastAsia="Times New Roman"/>
          <w:b w:val="0"/>
          <w:i w:val="0"/>
          <w:sz w:val="24"/>
        </w:rPr>
        <w:t>This project uses the qualitative trustworthiness criteria of credibility, dependability, confirmability, and transferability (Lincoln &amp; Guba, 1985; Korstjens &amp; Moser, 2018). Credibility is supported by staying with one critical-incident narrative long enough to show whether salience moved, by a construct-coverage checklist, and by a limited member check that corrects factual mishearing without erasing contested proof. Dependability is supported by the written protocol, the artifact map, and the meaning-unit table that another reader can follow from excerpt to theme to PQ1 and PQ2. Confirmability is supported by a post-interview reflexive memo and by the rule that power, legitimacy, and urgency guide questions rather than pre-write themes. Transferability is supported by rich description of role, firm-size band, platform type, and incident type without naming organizations.</w:t>
      </w:r>
    </w:p>
    <w:p>
      <w:pPr>
        <w:spacing w:after="120" w:before="0" w:line="480" w:lineRule="auto"/>
      </w:pPr>
      <w:r>
        <w:rPr>
          <w:rFonts w:ascii="Times New Roman" w:hAnsi="Times New Roman" w:eastAsia="Times New Roman"/>
          <w:b w:val="0"/>
          <w:i w:val="0"/>
          <w:sz w:val="24"/>
        </w:rPr>
        <w:t>The main threats to those claims are organizational disclosure risk, dual identifiability, supervisor-visible recruitment, political sanitizing during member check, and researcher allegiance to the sensitizing list. Mitigations are optional artifact sharing with a verbal-reconstruction fallback, identifier stripping, individual recruitment, a seven-day factual-only member check, encrypted storage, and the requirement of at least one boundary case per construct across the corpus. These tactics are included because they protect the exact data the Gap requires: how managers enacted whose claim counted, who decided, and what counted as enough proof.</w:t>
      </w:r>
    </w:p>
    <w:p>
      <w:pPr>
        <w:spacing w:after="160" w:before="240" w:line="480" w:lineRule="auto"/>
      </w:pPr>
      <w:r>
        <w:rPr>
          <w:rFonts w:ascii="Times New Roman" w:hAnsi="Times New Roman" w:eastAsia="Times New Roman"/>
          <w:b/>
          <w:i w:val="0"/>
          <w:color w:val="1F3A5F"/>
          <w:sz w:val="28"/>
        </w:rPr>
        <w:t>10. Close-the-Gap Checklist</w:t>
      </w:r>
    </w:p>
    <w:p>
      <w:pPr>
        <w:spacing w:after="120" w:before="0" w:line="480" w:lineRule="auto"/>
      </w:pPr>
      <w:r>
        <w:rPr>
          <w:rFonts w:ascii="Times New Roman" w:hAnsi="Times New Roman" w:eastAsia="Times New Roman"/>
          <w:b w:val="0"/>
          <w:i w:val="0"/>
          <w:sz w:val="24"/>
        </w:rPr>
        <w:t xml:space="preserve">Collection-plus-analysis can be said to address the Gap only when all of the following </w:t>
      </w:r>
      <w:r>
        <w:rPr>
          <w:rFonts w:ascii="Times New Roman" w:hAnsi="Times New Roman" w:eastAsia="Times New Roman"/>
          <w:b/>
          <w:i w:val="0"/>
          <w:sz w:val="24"/>
        </w:rPr>
        <w:t>NEW</w:t>
      </w:r>
      <w:r>
        <w:rPr>
          <w:rFonts w:ascii="Times New Roman" w:hAnsi="Times New Roman" w:eastAsia="Times New Roman"/>
          <w:b w:val="0"/>
          <w:i w:val="0"/>
          <w:sz w:val="24"/>
        </w:rPr>
        <w:t xml:space="preserve"> efforts are in the Project Plan, not merely intended:</w:t>
      </w:r>
    </w:p>
    <w:p>
      <w:pPr>
        <w:pStyle w:val="ListNumber"/>
        <w:spacing w:line="480" w:lineRule="auto"/>
      </w:pPr>
      <w:r>
        <w:rPr>
          <w:rFonts w:ascii="Times New Roman" w:hAnsi="Times New Roman" w:eastAsia="Times New Roman"/>
          <w:b w:val="0"/>
          <w:i w:val="0"/>
          <w:sz w:val="24"/>
        </w:rPr>
        <w:t>PQ1 and PQ2 (or official wording) sit on the Questions marker.</w:t>
      </w:r>
    </w:p>
    <w:p>
      <w:pPr>
        <w:pStyle w:val="ListNumber"/>
        <w:spacing w:line="480" w:lineRule="auto"/>
      </w:pPr>
      <w:r>
        <w:rPr>
          <w:rFonts w:ascii="Times New Roman" w:hAnsi="Times New Roman" w:eastAsia="Times New Roman"/>
          <w:b w:val="0"/>
          <w:i w:val="0"/>
          <w:sz w:val="24"/>
        </w:rPr>
        <w:t>The seven labels sit on Constructs as sensitizing terms, not as analytic conclusions.</w:t>
      </w:r>
    </w:p>
    <w:p>
      <w:pPr>
        <w:pStyle w:val="ListNumber"/>
        <w:spacing w:line="480" w:lineRule="auto"/>
      </w:pPr>
      <w:r>
        <w:rPr>
          <w:rFonts w:ascii="Times New Roman" w:hAnsi="Times New Roman" w:eastAsia="Times New Roman"/>
          <w:b w:val="0"/>
          <w:i w:val="0"/>
          <w:sz w:val="24"/>
        </w:rPr>
        <w:t>The Section 2 protocol is attached as the interview instrument.</w:t>
      </w:r>
    </w:p>
    <w:p>
      <w:pPr>
        <w:pStyle w:val="ListNumber"/>
        <w:spacing w:line="480" w:lineRule="auto"/>
      </w:pPr>
      <w:r>
        <w:rPr>
          <w:rFonts w:ascii="Times New Roman" w:hAnsi="Times New Roman" w:eastAsia="Times New Roman"/>
          <w:b w:val="0"/>
          <w:i w:val="0"/>
          <w:sz w:val="24"/>
        </w:rPr>
        <w:t>The Section 3 artifact pipeline is attached, including Path B/C.</w:t>
      </w:r>
    </w:p>
    <w:p>
      <w:pPr>
        <w:pStyle w:val="ListNumber"/>
        <w:spacing w:line="480" w:lineRule="auto"/>
      </w:pPr>
      <w:r>
        <w:rPr>
          <w:rFonts w:ascii="Times New Roman" w:hAnsi="Times New Roman" w:eastAsia="Times New Roman"/>
          <w:b w:val="0"/>
          <w:i w:val="0"/>
          <w:sz w:val="24"/>
        </w:rPr>
        <w:t>The Section 4 analysis bridge and MU table are the Data Analysis node.</w:t>
      </w:r>
    </w:p>
    <w:p>
      <w:pPr>
        <w:pStyle w:val="ListNumber"/>
        <w:spacing w:line="480" w:lineRule="auto"/>
      </w:pPr>
      <w:r>
        <w:rPr>
          <w:rFonts w:ascii="Times New Roman" w:hAnsi="Times New Roman" w:eastAsia="Times New Roman"/>
          <w:b w:val="0"/>
          <w:i w:val="0"/>
          <w:sz w:val="24"/>
        </w:rPr>
        <w:t>Citation swaps in Section 5 are applied in the prose.</w:t>
      </w:r>
    </w:p>
    <w:p>
      <w:pPr>
        <w:pStyle w:val="ListNumber"/>
        <w:spacing w:line="480" w:lineRule="auto"/>
      </w:pPr>
      <w:r>
        <w:rPr>
          <w:rFonts w:ascii="Times New Roman" w:hAnsi="Times New Roman" w:eastAsia="Times New Roman"/>
          <w:b w:val="0"/>
          <w:i w:val="0"/>
          <w:sz w:val="24"/>
        </w:rPr>
        <w:t>Language swaps in Section 6 are applied in the prose.</w:t>
      </w:r>
    </w:p>
    <w:p>
      <w:pPr>
        <w:pStyle w:val="ListNumber"/>
        <w:spacing w:line="480" w:lineRule="auto"/>
      </w:pPr>
      <w:r>
        <w:rPr>
          <w:rFonts w:ascii="Times New Roman" w:hAnsi="Times New Roman" w:eastAsia="Times New Roman"/>
          <w:b w:val="0"/>
          <w:i w:val="0"/>
          <w:sz w:val="24"/>
        </w:rPr>
        <w:t>Ethics/member-check/storage SOPs in Section 7 are in Procedures and Dependability.</w:t>
      </w:r>
    </w:p>
    <w:p>
      <w:pPr>
        <w:pStyle w:val="ListNumber"/>
        <w:spacing w:line="480" w:lineRule="auto"/>
      </w:pPr>
      <w:r>
        <w:rPr>
          <w:rFonts w:ascii="Times New Roman" w:hAnsi="Times New Roman" w:eastAsia="Times New Roman"/>
          <w:b w:val="0"/>
          <w:i w:val="0"/>
          <w:sz w:val="24"/>
        </w:rPr>
        <w:t>Information power and recruitment channel/length in Section 8 are in Sample/Recruitment.</w:t>
      </w:r>
    </w:p>
    <w:p>
      <w:pPr>
        <w:pStyle w:val="ListNumber"/>
        <w:spacing w:line="480" w:lineRule="auto"/>
      </w:pPr>
      <w:r>
        <w:rPr>
          <w:rFonts w:ascii="Times New Roman" w:hAnsi="Times New Roman" w:eastAsia="Times New Roman"/>
          <w:b w:val="0"/>
          <w:i w:val="0"/>
          <w:sz w:val="24"/>
        </w:rPr>
        <w:t>Section 9 paragraphs replace the current Measures, Procedures, and Trustworthiness text.</w:t>
      </w:r>
    </w:p>
    <w:p>
      <w:pPr>
        <w:spacing w:after="120" w:before="0" w:line="480" w:lineRule="auto"/>
      </w:pPr>
      <w:r>
        <w:rPr>
          <w:rFonts w:ascii="Times New Roman" w:hAnsi="Times New Roman" w:eastAsia="Times New Roman"/>
          <w:b w:val="0"/>
          <w:i w:val="0"/>
          <w:sz w:val="24"/>
        </w:rPr>
        <w:t>Until those ten items are in the document, the Alignment Map’s Data Collection marker remains Partial, and the Gap is aimed at rather than instrumented.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Download copy for Project Plan use  ·  Page </w:t>
    </w:r>
    <w:r/>
    <w:r>
      <w:rPr>
        <w:rFonts w:ascii="Times New Roman" w:hAnsi="Times New Roman" w:eastAsia="Times New Roman"/>
        <w:sz w:val="20"/>
      </w:rPr>
      <w:fldChar w:fldCharType="begin"/>
    </w:r>
    <w:r>
      <w:rPr>
        <w:rFonts w:ascii="Times New Roman" w:hAnsi="Times New Roman" w:eastAsia="Times New Roman"/>
        <w:sz w:val="20"/>
      </w:rPr>
      <w:instrText xml:space="preserve"> PAGE </w:instrText>
    </w:r>
    <w:r>
      <w:rPr>
        <w:rFonts w:ascii="Times New Roman" w:hAnsi="Times New Roman" w:eastAsia="Times New Roman"/>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20"/>
      </w:rPr>
      <w:t>Walker — RSCH-V8927 / BMGT8044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