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480" w:lineRule="auto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Max D. Walker</w:t>
      </w:r>
    </w:p>
    <w:p>
      <w:pPr>
        <w:spacing w:after="0" w:before="0" w:line="48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Capella University</w:t>
      </w:r>
    </w:p>
    <w:p>
      <w:pPr>
        <w:spacing w:after="0" w:before="0" w:line="48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RSCH-V8927 Doctoral Project Development — Framework Development</w:t>
      </w:r>
    </w:p>
    <w:p>
      <w:pPr>
        <w:spacing w:after="240" w:before="0" w:line="480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Tracking-pack offering: how it is run, and what counts as success, aligned to prior GQI outputs</w:t>
      </w:r>
    </w:p>
    <w:p>
      <w:pPr>
        <w:spacing w:after="360" w:before="0" w:line="480" w:lineRule="auto"/>
        <w:jc w:val="center"/>
      </w:pPr>
      <w:r>
        <w:rPr>
          <w:rFonts w:ascii="Times New Roman" w:hAnsi="Times New Roman" w:eastAsia="Times New Roman"/>
          <w:b/>
          <w:i w:val="0"/>
          <w:color w:val="1F3A5F"/>
          <w:sz w:val="32"/>
        </w:rPr>
        <w:t>Offering SOP and Abstract to Success</w:t>
      </w:r>
    </w:p>
    <w:p>
      <w:pPr>
        <w:spacing w:after="240" w:before="0" w:line="480" w:lineRule="auto"/>
      </w:pPr>
      <w:r>
        <w:rPr>
          <w:rFonts w:ascii="Times New Roman" w:hAnsi="Times New Roman" w:eastAsia="Times New Roman"/>
          <w:b w:val="0"/>
          <w:i/>
          <w:sz w:val="24"/>
        </w:rPr>
        <w:t>Items marked NEW or HIGHLIGHT are new written efforts that were not present as steps in the prior data-collection draft. Paste Section 9 of the revision packet into the Project Plan. Use the interview protocol and artifact pipeline as appendices.</w:t>
      </w:r>
    </w:p>
    <w:p>
      <w:pPr>
        <w:spacing w:after="120" w:before="0"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Offering: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Dissertation Document Tracking Pack (one xlsx + one Word file)</w:t>
      </w:r>
    </w:p>
    <w:p>
      <w:pPr>
        <w:spacing w:after="120" w:before="0"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Course: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RSCH-V8927 (building on BMGT-8044)</w:t>
      </w:r>
    </w:p>
    <w:p>
      <w:pPr>
        <w:spacing w:after="120" w:before="0"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Instrument freeze: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Times New Roman"/>
          <w:i/>
          <w:sz w:val="24"/>
        </w:rPr>
        <w:t>ITDR-GQI-INT-v0.1.1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(spoken wording unchanged)</w:t>
      </w:r>
    </w:p>
    <w:p>
      <w:pPr>
        <w:spacing w:after="120" w:before="0"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Companions: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[change-tracking-update.md](change-tracking-update.md) · [chapter-i-need-for-the-study.md](chapter-i-need-for-the-study.md) · [chapter-iii-methodology.md](chapter-iii-methodology.md) · [collection-analysis-revision-packet.md](collection-analysis-revision-packet.md) · downloads tracking pack</w:t>
      </w:r>
    </w:p>
    <w:p>
      <w:pPr>
        <w:spacing w:after="120" w:before="0"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Paste note.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Section 1 is the courseroom </w:t>
      </w:r>
      <w:r>
        <w:rPr>
          <w:rFonts w:ascii="Times New Roman" w:hAnsi="Times New Roman" w:eastAsia="Times New Roman"/>
          <w:b/>
          <w:i w:val="0"/>
          <w:sz w:val="24"/>
        </w:rPr>
        <w:t>abstract to success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. Section 2 is the </w:t>
      </w:r>
      <w:r>
        <w:rPr>
          <w:rFonts w:ascii="Times New Roman" w:hAnsi="Times New Roman" w:eastAsia="Times New Roman"/>
          <w:b/>
          <w:i w:val="0"/>
          <w:sz w:val="24"/>
        </w:rPr>
        <w:t>SOP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. Bold marks </w:t>
      </w:r>
      <w:r>
        <w:rPr>
          <w:rFonts w:ascii="Times New Roman" w:hAnsi="Times New Roman" w:eastAsia="Times New Roman"/>
          <w:b/>
          <w:i w:val="0"/>
          <w:sz w:val="24"/>
        </w:rPr>
        <w:t>NEW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for this offering or a </w:t>
      </w:r>
      <w:r>
        <w:rPr>
          <w:rFonts w:ascii="Times New Roman" w:hAnsi="Times New Roman" w:eastAsia="Times New Roman"/>
          <w:b/>
          <w:i w:val="0"/>
          <w:sz w:val="24"/>
        </w:rPr>
        <w:t>do-not-drift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lock from prior outputs. This offering is document control. It is not a new method, codebook, or spoken protocol.</w:t>
      </w:r>
    </w:p>
    <w:p>
      <w:pPr>
        <w:spacing w:after="160" w:before="240" w:line="480" w:lineRule="auto"/>
      </w:pPr>
      <w:r>
        <w:rPr>
          <w:rFonts w:ascii="Times New Roman" w:hAnsi="Times New Roman" w:eastAsia="Times New Roman"/>
          <w:b/>
          <w:i w:val="0"/>
          <w:color w:val="1F3A5F"/>
          <w:sz w:val="28"/>
        </w:rPr>
        <w:t>1. Abstract to success</w:t>
      </w:r>
    </w:p>
    <w:p>
      <w:pPr>
        <w:spacing w:after="120" w:before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This offering is a single research-operating system for a generic qualitative inquiry of how U.S. SME IT and network managers handle competing recovery claims when disaster recovery is delivered on an external platform (ITDRPaaS). Success is not a new theory and not software that “analyzes.” Success is an auditable chain that stays aligned with files already accepted in this workspace: Information Technology Management specialization and Need opening (Capella University, 2024; Freeman, Phillips, &amp; Sisodia, 2020); foundation stakeholder theory (Donaldson &amp; Preston, 1995; Freeman et al., 2004); power, legitimacy, and urgency as sensitizing probes only (Mitchell et al., 1997); generic qualitative inquiry and critical-incident interviews (Caelli et al., 2003; Flanagan, 1954; Percy et al., 2015); hybrid codebook thematic analysis (Fereday &amp; Muir-Cochrane, 2006); Delve as CAQDAS store only; sample </w:t>
      </w:r>
      <w:r>
        <w:rPr>
          <w:rFonts w:ascii="Times New Roman" w:hAnsi="Times New Roman" w:eastAsia="Times New Roman"/>
          <w:b/>
          <w:i w:val="0"/>
          <w:sz w:val="24"/>
        </w:rPr>
        <w:t>n = 12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; spoken protocol </w:t>
      </w:r>
      <w:r>
        <w:rPr>
          <w:rFonts w:ascii="Times New Roman" w:hAnsi="Times New Roman" w:eastAsia="Times New Roman"/>
          <w:i/>
          <w:sz w:val="24"/>
        </w:rPr>
        <w:t>ITDR-GQI-INT-v0.1.1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spacing w:after="120" w:before="0"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The offering succeeds when four outcomes are true at the same time.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Need stays placed.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Value-creation stakeholder theory remains on Need / What We Know. It does not become a Delve code, a spoken stem, a fourth salience attribute, or a Chapter IV title.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The gap stays operational.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Chapter IV answers implied </w:t>
      </w:r>
      <w:r>
        <w:rPr>
          <w:rFonts w:ascii="Times New Roman" w:hAnsi="Times New Roman" w:eastAsia="Times New Roman"/>
          <w:b/>
          <w:i w:val="0"/>
          <w:sz w:val="24"/>
        </w:rPr>
        <w:t>PQ1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(whose claim moved attention in a named incident) and </w:t>
      </w:r>
      <w:r>
        <w:rPr>
          <w:rFonts w:ascii="Times New Roman" w:hAnsi="Times New Roman" w:eastAsia="Times New Roman"/>
          <w:b/>
          <w:i w:val="0"/>
          <w:sz w:val="24"/>
        </w:rPr>
        <w:t>PQ2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(how that shift was enacted as decision rights, escalation, and proof) as two claims, not one “governance” theme.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The trail is inspectable.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Every new source, code edit, and interview has an ID on the master workbook and a row on the change log or </w:t>
      </w:r>
      <w:r>
        <w:rPr>
          <w:rFonts w:ascii="Times New Roman" w:hAnsi="Times New Roman" w:eastAsia="Times New Roman"/>
          <w:i/>
          <w:sz w:val="24"/>
        </w:rPr>
        <w:t>update-log.csv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. Interval CSV backups exist after each coded interview, or a weekly </w:t>
      </w:r>
      <w:r>
        <w:rPr>
          <w:rFonts w:ascii="Times New Roman" w:hAnsi="Times New Roman" w:eastAsia="Times New Roman"/>
          <w:i/>
          <w:sz w:val="24"/>
        </w:rPr>
        <w:t>no_change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row makes the gap visible.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Gates are honored.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No recruitment before IRB. No spoken rewrite without an instrument-version bump. No promotion of parked items (Christensen power triptych; Hinkley CAS; Gioia / Eisenhardt / Langley templates; Origins </w:t>
      </w:r>
      <w:r>
        <w:rPr>
          <w:rFonts w:ascii="Times New Roman" w:hAnsi="Times New Roman" w:eastAsia="Times New Roman"/>
          <w:i/>
          <w:sz w:val="24"/>
        </w:rPr>
        <w:t>IQ-01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stems; sample range 10–15).</w:t>
      </w:r>
    </w:p>
    <w:p>
      <w:pPr>
        <w:spacing w:after="120" w:before="0"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Done for this offering (Week 10 / tracking pack) is narrower than done for the dissertation.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The pack is successful when a later reader can open one xlsx and one Word file and see locked facts, the Need overview, the work schedule, allowed-use for each reference, and the next lifecycle status without inventing a second codebook.</w:t>
      </w:r>
    </w:p>
    <w:p>
      <w:pPr>
        <w:spacing w:after="160" w:before="240" w:line="480" w:lineRule="auto"/>
      </w:pPr>
      <w:r>
        <w:rPr>
          <w:rFonts w:ascii="Times New Roman" w:hAnsi="Times New Roman" w:eastAsia="Times New Roman"/>
          <w:b/>
          <w:i w:val="0"/>
          <w:color w:val="1F3A5F"/>
          <w:sz w:val="28"/>
        </w:rPr>
        <w:t>2. Success criteria (aligned to prior outputs)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Gate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Prior output this gate reuses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Success looks like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Fail (do not count as success)</w:t>
            </w:r>
          </w:p>
        </w:tc>
      </w:tr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Need / specialization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[chapter-i-need-for-the-study.md](chapter-i-need-for-the-study.md)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Four Need paragraphs + ITM table pasted; VCST on Need only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VCST in Q0 or as a theme title</w:t>
            </w:r>
          </w:p>
        </w:tc>
      </w:tr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Constructs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[symbols-definitions-refs.md](symbols-definitions-refs.md); </w:t>
            </w:r>
            <w:r>
              <w:rPr>
                <w:rFonts w:ascii="Times New Roman" w:hAnsi="Times New Roman" w:eastAsia="Times New Roman"/>
                <w:i/>
                <w:sz w:val="20"/>
              </w:rPr>
              <w:t>02_CONSTRUCT_INDEX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P, L, U, Lev, DR, ESC, EV, RA keep original vs operational defs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Christensen/Foucault as codebook parents</w:t>
            </w:r>
          </w:p>
        </w:tc>
      </w:tr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Measures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[gqi-semistructured-interview-guide.md](gqi-semistructured-interview-guide.md)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IDs </w:t>
            </w:r>
            <w:r>
              <w:rPr>
                <w:rFonts w:ascii="Times New Roman" w:hAnsi="Times New Roman" w:eastAsia="Times New Roman"/>
                <w:i/>
                <w:sz w:val="20"/>
              </w:rPr>
              <w:t>Q0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eastAsia="Times New Roman"/>
                <w:i/>
                <w:sz w:val="20"/>
              </w:rPr>
              <w:t>L1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  <w:r>
              <w:rPr>
                <w:rFonts w:ascii="Times New Roman" w:hAnsi="Times New Roman" w:eastAsia="Times New Roman"/>
                <w:i/>
                <w:sz w:val="20"/>
              </w:rPr>
              <w:t>L3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eastAsia="Times New Roman"/>
                <w:i/>
                <w:sz w:val="20"/>
              </w:rPr>
              <w:t>A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  <w:r>
              <w:rPr>
                <w:rFonts w:ascii="Times New Roman" w:hAnsi="Times New Roman" w:eastAsia="Times New Roman"/>
                <w:i/>
                <w:sz w:val="20"/>
              </w:rPr>
              <w:t>F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eastAsia="Times New Roman"/>
                <w:i/>
                <w:sz w:val="20"/>
              </w:rPr>
              <w:t>Q-close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unchanged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Origins </w:t>
            </w:r>
            <w:r>
              <w:rPr>
                <w:rFonts w:ascii="Times New Roman" w:hAnsi="Times New Roman" w:eastAsia="Times New Roman"/>
                <w:i/>
                <w:sz w:val="20"/>
              </w:rPr>
              <w:t>IQ-01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used live</w:t>
            </w:r>
          </w:p>
        </w:tc>
      </w:tr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Sample / collection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change-tracking lock; revision packet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n = 12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; interviews only; 10–200; 36-month named incident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 reopened as 10–15; NIST scoring</w:t>
            </w:r>
          </w:p>
        </w:tc>
      </w:tr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Analysis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[chapter-iii-methodology.md](chapter-iii-methodology.md); </w:t>
            </w:r>
            <w:r>
              <w:rPr>
                <w:rFonts w:ascii="Times New Roman" w:hAnsi="Times New Roman" w:eastAsia="Times New Roman"/>
                <w:i/>
                <w:sz w:val="20"/>
              </w:rPr>
              <w:t>06_ANALYSIS_SOP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Hybrid codebook TA; MU lock before EMERGENT; Delve stores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“Analyzed using Delve”; Gioia as method</w:t>
            </w:r>
          </w:p>
        </w:tc>
      </w:tr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Dependability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[docs/notion/README.md](notion/README.md)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Dated </w:t>
            </w:r>
            <w:r>
              <w:rPr>
                <w:rFonts w:ascii="Times New Roman" w:hAnsi="Times New Roman" w:eastAsia="Times New Roman"/>
                <w:i/>
                <w:sz w:val="20"/>
              </w:rPr>
              <w:t>interval-backups/YYYY-MM-DD/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eastAsia="Times New Roman"/>
                <w:i/>
                <w:sz w:val="20"/>
              </w:rPr>
              <w:t>update-log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Thin Delve export overwrites start-list descriptions</w:t>
            </w:r>
          </w:p>
        </w:tc>
      </w:tr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Deposit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i/>
                <w:sz w:val="20"/>
              </w:rPr>
              <w:t>01_LIFECYCLE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LC-11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Frozen xlsx + Word + CSV nest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Live edits after freeze with no log row</w:t>
            </w:r>
          </w:p>
        </w:tc>
      </w:tr>
    </w:tbl>
    <w:p/>
    <w:p>
      <w:pPr>
        <w:spacing w:after="160" w:before="240" w:line="480" w:lineRule="auto"/>
      </w:pPr>
      <w:r>
        <w:rPr>
          <w:rFonts w:ascii="Times New Roman" w:hAnsi="Times New Roman" w:eastAsia="Times New Roman"/>
          <w:b/>
          <w:i w:val="0"/>
          <w:color w:val="1F3A5F"/>
          <w:sz w:val="28"/>
        </w:rPr>
        <w:t>3. Standard operating procedure</w:t>
      </w:r>
    </w:p>
    <w:p>
      <w:pPr>
        <w:spacing w:after="160" w:before="240" w:line="480" w:lineRule="auto"/>
      </w:pPr>
      <w:r>
        <w:rPr>
          <w:rFonts w:ascii="Times New Roman" w:hAnsi="Times New Roman" w:eastAsia="Times New Roman"/>
          <w:b/>
          <w:i w:val="0"/>
          <w:color w:val="1F3A5F"/>
          <w:sz w:val="24"/>
        </w:rPr>
        <w:t>3.1 System of record</w:t>
      </w:r>
    </w:p>
    <w:p>
      <w:pPr>
        <w:spacing w:after="120" w:before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Use </w:t>
      </w:r>
      <w:r>
        <w:rPr>
          <w:rFonts w:ascii="Times New Roman" w:hAnsi="Times New Roman" w:eastAsia="Times New Roman"/>
          <w:b/>
          <w:i w:val="0"/>
          <w:sz w:val="24"/>
        </w:rPr>
        <w:t>one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operating workbook and </w:t>
      </w:r>
      <w:r>
        <w:rPr>
          <w:rFonts w:ascii="Times New Roman" w:hAnsi="Times New Roman" w:eastAsia="Times New Roman"/>
          <w:b/>
          <w:i w:val="0"/>
          <w:sz w:val="24"/>
        </w:rPr>
        <w:t>one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narrative pack. Do not stand up a second live codebook.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Record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File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Rule</w:t>
            </w:r>
          </w:p>
        </w:tc>
      </w:tr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Operating view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i/>
                <w:sz w:val="20"/>
              </w:rPr>
              <w:t>downloads/Dissertation_Document_Tracking_Master.xlsx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Update status here; do not retitle IDs</w:t>
            </w:r>
          </w:p>
        </w:tc>
      </w:tr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Narrative / paste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i/>
                <w:sz w:val="20"/>
              </w:rPr>
              <w:t>downloads/Dissertation_Document_Tracking_Pack.docx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Bold = NEW / REPLACE / PARK / why</w:t>
            </w:r>
          </w:p>
        </w:tc>
      </w:tr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This SOP + abstract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i/>
                <w:sz w:val="20"/>
              </w:rPr>
              <w:t>downloads/WALKER_Offering_SOP_and_Success_Abstract.docx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Week 10 offering insert</w:t>
            </w:r>
          </w:p>
        </w:tc>
      </w:tr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Canonical IDs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i/>
                <w:sz w:val="20"/>
              </w:rPr>
              <w:t>docs/notion/templates/*.csv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Edit CSVs first, then rebuild the xlsx</w:t>
            </w:r>
          </w:p>
        </w:tc>
      </w:tr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Interval nest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i/>
                <w:sz w:val="20"/>
              </w:rPr>
              <w:t>docs/notion/interval-backups/YYYY-MM-DD/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After each coded interview or weekly </w:t>
            </w:r>
            <w:r>
              <w:rPr>
                <w:rFonts w:ascii="Times New Roman" w:hAnsi="Times New Roman" w:eastAsia="Times New Roman"/>
                <w:i/>
                <w:sz w:val="20"/>
              </w:rPr>
              <w:t>no_change</w:t>
            </w:r>
          </w:p>
        </w:tc>
      </w:tr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Instructor original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i/>
                <w:sz w:val="20"/>
              </w:rPr>
              <w:t>source/originals/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Do not edit</w:t>
            </w:r>
          </w:p>
        </w:tc>
      </w:tr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Spoken freeze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i/>
                <w:sz w:val="20"/>
              </w:rPr>
              <w:t>05_INTERVIEW_ITEMS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/ interview-items.csv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Version bump 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before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any wording change; never reuse a retired </w:t>
            </w:r>
            <w:r>
              <w:rPr>
                <w:rFonts w:ascii="Times New Roman" w:hAnsi="Times New Roman" w:eastAsia="Times New Roman"/>
                <w:i/>
                <w:sz w:val="20"/>
              </w:rPr>
              <w:t>question_id</w:t>
            </w:r>
          </w:p>
        </w:tc>
      </w:tr>
    </w:tbl>
    <w:p/>
    <w:p>
      <w:pPr>
        <w:spacing w:after="120" w:before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Rebuild after CSV edits: </w:t>
      </w:r>
      <w:r>
        <w:rPr>
          <w:rFonts w:ascii="Times New Roman" w:hAnsi="Times New Roman" w:eastAsia="Times New Roman"/>
          <w:i/>
          <w:sz w:val="24"/>
        </w:rPr>
        <w:t>python3 scripts/build_dissertation_tracking_pack.py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spacing w:after="160" w:before="240" w:line="480" w:lineRule="auto"/>
      </w:pPr>
      <w:r>
        <w:rPr>
          <w:rFonts w:ascii="Times New Roman" w:hAnsi="Times New Roman" w:eastAsia="Times New Roman"/>
          <w:b/>
          <w:i w:val="0"/>
          <w:color w:val="1F3A5F"/>
          <w:sz w:val="24"/>
        </w:rPr>
        <w:t xml:space="preserve">3.2 Daily SOP (aligned to the workflow report and </w:t>
      </w:r>
      <w:r>
        <w:rPr>
          <w:rFonts w:ascii="Times New Roman" w:hAnsi="Times New Roman" w:eastAsia="Times New Roman"/>
          <w:i/>
          <w:color w:val="1F3A5F"/>
          <w:sz w:val="24"/>
        </w:rPr>
        <w:t>10_WORK_SCHEDULE</w:t>
      </w:r>
      <w:r>
        <w:rPr>
          <w:rFonts w:ascii="Times New Roman" w:hAnsi="Times New Roman" w:eastAsia="Times New Roman"/>
          <w:b/>
          <w:i w:val="0"/>
          <w:color w:val="1F3A5F"/>
          <w:sz w:val="24"/>
        </w:rPr>
        <w:t>)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Body check and day plan (5 min).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Write three tasks only. One must be a dissertation artifact (Need paste, Ch II matrix row, or protocol check), not inbox.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Writing block (20–60 min).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New prose for the current </w:t>
      </w:r>
      <w:r>
        <w:rPr>
          <w:rFonts w:ascii="Times New Roman" w:hAnsi="Times New Roman" w:eastAsia="Times New Roman"/>
          <w:i/>
          <w:sz w:val="24"/>
        </w:rPr>
        <w:t>01_LIFECYCLE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stage. No mid-session edit. Target 200–300 words or one locked paragraph.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Microbreak.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Stand 20 seconds every 20–30 minutes; 5–10 minutes each hour.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Structured reading (30–60 min).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One source. Fill </w:t>
      </w:r>
      <w:r>
        <w:rPr>
          <w:rFonts w:ascii="Times New Roman" w:hAnsi="Times New Roman" w:eastAsia="Times New Roman"/>
          <w:i/>
          <w:sz w:val="24"/>
        </w:rPr>
        <w:t>03_REFERENCES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allowed-use and do-not-use </w:t>
      </w:r>
      <w:r>
        <w:rPr>
          <w:rFonts w:ascii="Times New Roman" w:hAnsi="Times New Roman" w:eastAsia="Times New Roman"/>
          <w:b/>
          <w:i w:val="0"/>
          <w:sz w:val="24"/>
        </w:rPr>
        <w:t>before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quoting. If the source is Christensen, Hinkley CAS, or the EMR editorial, it stays on </w:t>
      </w:r>
      <w:r>
        <w:rPr>
          <w:rFonts w:ascii="Times New Roman" w:hAnsi="Times New Roman" w:eastAsia="Times New Roman"/>
          <w:i/>
          <w:sz w:val="24"/>
        </w:rPr>
        <w:t>08_PARKING_LOT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unless the change log says otherwise.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End-of-day (10 min).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If a register actually changed, add a boldable row intent to </w:t>
      </w:r>
      <w:r>
        <w:rPr>
          <w:rFonts w:ascii="Times New Roman" w:hAnsi="Times New Roman" w:eastAsia="Times New Roman"/>
          <w:i/>
          <w:sz w:val="24"/>
        </w:rPr>
        <w:t>00_CHANGE_LOG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(What / Why / Source). Write tomorrow’s three tasks.</w:t>
      </w:r>
    </w:p>
    <w:p>
      <w:pPr>
        <w:spacing w:after="160" w:before="240" w:line="480" w:lineRule="auto"/>
      </w:pPr>
      <w:r>
        <w:rPr>
          <w:rFonts w:ascii="Times New Roman" w:hAnsi="Times New Roman" w:eastAsia="Times New Roman"/>
          <w:b/>
          <w:i w:val="0"/>
          <w:color w:val="1F3A5F"/>
          <w:sz w:val="24"/>
        </w:rPr>
        <w:t>3.3 Weekly SOP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Open </w:t>
      </w:r>
      <w:r>
        <w:rPr>
          <w:rFonts w:ascii="Times New Roman" w:hAnsi="Times New Roman" w:eastAsia="Times New Roman"/>
          <w:i/>
          <w:sz w:val="24"/>
        </w:rPr>
        <w:t>00_CHANGE_LOG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first, then </w:t>
      </w:r>
      <w:r>
        <w:rPr>
          <w:rFonts w:ascii="Times New Roman" w:hAnsi="Times New Roman" w:eastAsia="Times New Roman"/>
          <w:i/>
          <w:sz w:val="24"/>
        </w:rPr>
        <w:t>01_LIFECYCLE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Confirm </w:t>
      </w:r>
      <w:r>
        <w:rPr>
          <w:rFonts w:ascii="Times New Roman" w:hAnsi="Times New Roman" w:eastAsia="Times New Roman"/>
          <w:i/>
          <w:sz w:val="24"/>
        </w:rPr>
        <w:t>CH3_CONTROL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: design GQI; n = 12; VCST on Need; spoken </w:t>
      </w:r>
      <w:r>
        <w:rPr>
          <w:rFonts w:ascii="Times New Roman" w:hAnsi="Times New Roman" w:eastAsia="Times New Roman"/>
          <w:i/>
          <w:sz w:val="24"/>
        </w:rPr>
        <w:t>v0.1.1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Confirm </w:t>
      </w:r>
      <w:r>
        <w:rPr>
          <w:rFonts w:ascii="Times New Roman" w:hAnsi="Times New Roman" w:eastAsia="Times New Roman"/>
          <w:i/>
          <w:sz w:val="24"/>
        </w:rPr>
        <w:t>09_NEED_OV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still matches [chapter-i-need-for-the-study.md](chapter-i-need-for-the-study.md). If Word Need drifted, the markdown wins.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Coding weeks: drop Codes + Snippets to </w:t>
      </w:r>
      <w:r>
        <w:rPr>
          <w:rFonts w:ascii="Times New Roman" w:hAnsi="Times New Roman" w:eastAsia="Times New Roman"/>
          <w:i/>
          <w:sz w:val="24"/>
        </w:rPr>
        <w:t>docs/notion/interval-backups/YYYY-MM-DD/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or append </w:t>
      </w:r>
      <w:r>
        <w:rPr>
          <w:rFonts w:ascii="Times New Roman" w:hAnsi="Times New Roman" w:eastAsia="Times New Roman"/>
          <w:i/>
          <w:sz w:val="24"/>
        </w:rPr>
        <w:t>type=no_change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Share one artifact (Need OV, change-log excerpt, or schedule) with advisor or writing partner.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Map status to QUAL Example4-1 headings (Need, Problem, Purpose, Framework, Collection, Analysis, Trustworthiness). Each heading needs a status, not a new study.</w:t>
      </w:r>
    </w:p>
    <w:p>
      <w:pPr>
        <w:spacing w:after="160" w:before="240" w:line="480" w:lineRule="auto"/>
      </w:pPr>
      <w:r>
        <w:rPr>
          <w:rFonts w:ascii="Times New Roman" w:hAnsi="Times New Roman" w:eastAsia="Times New Roman"/>
          <w:b/>
          <w:i w:val="0"/>
          <w:color w:val="1F3A5F"/>
          <w:sz w:val="24"/>
        </w:rPr>
        <w:t>3.4 Stage SOP (proposal through deposit)</w:t>
      </w:r>
    </w:p>
    <w:p>
      <w:pPr>
        <w:spacing w:after="120" w:before="0"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Follow </w:t>
      </w:r>
      <w:r>
        <w:rPr>
          <w:rFonts w:ascii="Times New Roman" w:hAnsi="Times New Roman" w:eastAsia="Times New Roman"/>
          <w:i/>
          <w:sz w:val="24"/>
        </w:rPr>
        <w:t>01_LIFECYCLE</w:t>
      </w:r>
      <w:r>
        <w:rPr>
          <w:rFonts w:ascii="Times New Roman" w:hAnsi="Times New Roman" w:eastAsia="Times New Roman"/>
          <w:b w:val="0"/>
          <w:i w:val="0"/>
          <w:sz w:val="24"/>
        </w:rPr>
        <w:t>. Do not skip gates.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Order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Stage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Researcher does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Stop rule</w:t>
            </w:r>
          </w:p>
        </w:tc>
      </w:tr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LC-01–02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Alignment + Need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Paste Need / ITM / VCST placement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Do not invent a second Need paragraph set</w:t>
            </w:r>
          </w:p>
        </w:tc>
      </w:tr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LC-03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Chapter II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Add REF-IDs; keep seminal defs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Do not replace Mitchell (1997)</w:t>
            </w:r>
          </w:p>
        </w:tc>
      </w:tr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LC-04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Chapter III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Keep hybrid TA sentence; Delve is store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Do not write “analyzed using Delve”</w:t>
            </w:r>
          </w:p>
        </w:tc>
      </w:tr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LC-05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IRB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Consent, recording, de-ID, member-check from revision packet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No recruitment</w:t>
            </w:r>
          </w:p>
        </w:tc>
      </w:tr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LC-06–07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Sample + collection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Screen 10–200; 36-month incident; 60–75 min; skip-rules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Stop if no named incident; n stays 12</w:t>
            </w:r>
          </w:p>
        </w:tc>
      </w:tr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LC-08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Delve + CSV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STRUCTURAL + FRAMEWORK_DEDUCTIVE + BOUNDARY; EMERGENT empty until meaning-unit lock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Do not name Power/Legitimacy/Urgency as themes</w:t>
            </w:r>
          </w:p>
        </w:tc>
      </w:tr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LC-09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Chapter IV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Two answers (PQ1, PQ2); boundary case per construct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No single governance theme</w:t>
            </w:r>
          </w:p>
        </w:tc>
      </w:tr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LC-10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Chapter V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Implications; parked items stay parked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No new theory from Foucault or CAS</w:t>
            </w:r>
          </w:p>
        </w:tc>
      </w:tr>
      <w:tr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LC-11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Defense / deposit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Freeze pack + nest</w:t>
            </w:r>
          </w:p>
        </w:tc>
        <w:tc>
          <w:tcPr>
            <w:tcW w:type="dxa" w:w="234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No silent edits</w:t>
            </w:r>
          </w:p>
        </w:tc>
      </w:tr>
    </w:tbl>
    <w:p/>
    <w:p>
      <w:pPr>
        <w:spacing w:after="160" w:before="240" w:line="480" w:lineRule="auto"/>
      </w:pPr>
      <w:r>
        <w:rPr>
          <w:rFonts w:ascii="Times New Roman" w:hAnsi="Times New Roman" w:eastAsia="Times New Roman"/>
          <w:b/>
          <w:i w:val="0"/>
          <w:color w:val="1F3A5F"/>
          <w:sz w:val="24"/>
        </w:rPr>
        <w:t>3.5 Interview-day SOP (from revision packet; not rewritten)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Signed consent on file. Inclusion confirmed. Assign </w:t>
      </w:r>
      <w:r>
        <w:rPr>
          <w:rFonts w:ascii="Times New Roman" w:hAnsi="Times New Roman" w:eastAsia="Times New Roman"/>
          <w:i/>
          <w:sz w:val="24"/>
        </w:rPr>
        <w:t>P##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before the call.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Recorder on. If it fails, stop and reschedule. Do not continue from memory.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Read the ethics script. Run </w:t>
      </w:r>
      <w:r>
        <w:rPr>
          <w:rFonts w:ascii="Times New Roman" w:hAnsi="Times New Roman" w:eastAsia="Times New Roman"/>
          <w:b/>
          <w:i w:val="0"/>
          <w:sz w:val="24"/>
        </w:rPr>
        <w:t>Q0</w:t>
      </w:r>
      <w:r>
        <w:rPr>
          <w:rFonts w:ascii="Times New Roman" w:hAnsi="Times New Roman" w:eastAsia="Times New Roman"/>
          <w:b w:val="0"/>
          <w:i w:val="0"/>
          <w:sz w:val="24"/>
        </w:rPr>
        <w:t>. Do not say power, legitimacy, urgency, or leverage unless the participant said them first.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Ask L / A–F only if Q0 did not already cover that construct. Record skip as “covered in Q0.”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Same day: CLEAN transcript (</w:t>
      </w:r>
      <w:r>
        <w:rPr>
          <w:rFonts w:ascii="Times New Roman" w:hAnsi="Times New Roman" w:eastAsia="Times New Roman"/>
          <w:i/>
          <w:sz w:val="24"/>
        </w:rPr>
        <w:t>P##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role, </w:t>
      </w:r>
      <w:r>
        <w:rPr>
          <w:rFonts w:ascii="Times New Roman" w:hAnsi="Times New Roman" w:eastAsia="Times New Roman"/>
          <w:i/>
          <w:sz w:val="24"/>
        </w:rPr>
        <w:t>SME-A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/>
          <w:i/>
          <w:sz w:val="24"/>
        </w:rPr>
        <w:t>Platform-1</w:t>
      </w:r>
      <w:r>
        <w:rPr>
          <w:rFonts w:ascii="Times New Roman" w:hAnsi="Times New Roman" w:eastAsia="Times New Roman"/>
          <w:b w:val="0"/>
          <w:i w:val="0"/>
          <w:sz w:val="24"/>
        </w:rPr>
        <w:t>). RAW stays out of the public nest.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Fill </w:t>
      </w:r>
      <w:r>
        <w:rPr>
          <w:rFonts w:ascii="Times New Roman" w:hAnsi="Times New Roman" w:eastAsia="Times New Roman"/>
          <w:i/>
          <w:sz w:val="24"/>
        </w:rPr>
        <w:t>11_LEVERAGE_MEMO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headers. Path A/B/C for optional artifacts; Path C is a valid boundary, not a failed interview.</w:t>
      </w:r>
    </w:p>
    <w:p>
      <w:pPr>
        <w:spacing w:after="160" w:before="240" w:line="480" w:lineRule="auto"/>
      </w:pPr>
      <w:r>
        <w:rPr>
          <w:rFonts w:ascii="Times New Roman" w:hAnsi="Times New Roman" w:eastAsia="Times New Roman"/>
          <w:b/>
          <w:i w:val="0"/>
          <w:color w:val="1F3A5F"/>
          <w:sz w:val="24"/>
        </w:rPr>
        <w:t xml:space="preserve">3.6 Analysis SOP (from </w:t>
      </w:r>
      <w:r>
        <w:rPr>
          <w:rFonts w:ascii="Times New Roman" w:hAnsi="Times New Roman" w:eastAsia="Times New Roman"/>
          <w:i/>
          <w:color w:val="1F3A5F"/>
          <w:sz w:val="24"/>
        </w:rPr>
        <w:t>06_ANALYSIS_SOP</w:t>
      </w:r>
      <w:r>
        <w:rPr>
          <w:rFonts w:ascii="Times New Roman" w:hAnsi="Times New Roman" w:eastAsia="Times New Roman"/>
          <w:b/>
          <w:i w:val="0"/>
          <w:color w:val="1F3A5F"/>
          <w:sz w:val="24"/>
        </w:rPr>
        <w:t xml:space="preserve"> and Chapter III)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Import </w:t>
      </w:r>
      <w:r>
        <w:rPr>
          <w:rFonts w:ascii="Times New Roman" w:hAnsi="Times New Roman" w:eastAsia="Times New Roman"/>
          <w:i/>
          <w:sz w:val="24"/>
        </w:rPr>
        <w:t>codebook.csv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. Do not import retired </w:t>
      </w:r>
      <w:r>
        <w:rPr>
          <w:rFonts w:ascii="Times New Roman" w:hAnsi="Times New Roman" w:eastAsia="Times New Roman"/>
          <w:i/>
          <w:sz w:val="24"/>
        </w:rPr>
        <w:t>SENSITIZING_STARTLIST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Apply STRUCTURAL then FRAMEWORK_DEDUCTIVE / BOUNDARY.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/>
          <w:i w:val="0"/>
          <w:sz w:val="24"/>
        </w:rPr>
        <w:t>Lock a meaning-unit practice sentence before any EMERGENT child or theme name.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Do not copy </w:t>
      </w:r>
      <w:r>
        <w:rPr>
          <w:rFonts w:ascii="Times New Roman" w:hAnsi="Times New Roman" w:eastAsia="Times New Roman"/>
          <w:i/>
          <w:sz w:val="24"/>
        </w:rPr>
        <w:t>power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/>
          <w:i/>
          <w:sz w:val="24"/>
        </w:rPr>
        <w:t>legitimacy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/>
          <w:i/>
          <w:sz w:val="24"/>
        </w:rPr>
        <w:t>urgency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or </w:t>
      </w:r>
      <w:r>
        <w:rPr>
          <w:rFonts w:ascii="Times New Roman" w:hAnsi="Times New Roman" w:eastAsia="Times New Roman"/>
          <w:i/>
          <w:sz w:val="24"/>
        </w:rPr>
        <w:t>leverage_location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into EMERGENT.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Categories = same salience-to-assurance bargain, not the same recovery topic.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Themes are claim sentences with at least one corpus boundary case.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Write PQ1 and PQ2 answers separately.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Export and backup. Memo renames the same day.</w:t>
      </w:r>
    </w:p>
    <w:p>
      <w:pPr>
        <w:spacing w:after="160" w:before="240" w:line="480" w:lineRule="auto"/>
      </w:pPr>
      <w:r>
        <w:rPr>
          <w:rFonts w:ascii="Times New Roman" w:hAnsi="Times New Roman" w:eastAsia="Times New Roman"/>
          <w:b/>
          <w:i w:val="0"/>
          <w:color w:val="9A3412"/>
          <w:sz w:val="24"/>
        </w:rPr>
        <w:t>3.7 How to add one new source (input-once)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Check </w:t>
      </w:r>
      <w:r>
        <w:rPr>
          <w:rFonts w:ascii="Times New Roman" w:hAnsi="Times New Roman" w:eastAsia="Times New Roman"/>
          <w:i/>
          <w:sz w:val="24"/>
        </w:rPr>
        <w:t>03_REFERENCES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for an existing </w:t>
      </w:r>
      <w:r>
        <w:rPr>
          <w:rFonts w:ascii="Times New Roman" w:hAnsi="Times New Roman" w:eastAsia="Times New Roman"/>
          <w:i/>
          <w:sz w:val="24"/>
        </w:rPr>
        <w:t>REF-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ID.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If new, assign </w:t>
      </w:r>
      <w:r>
        <w:rPr>
          <w:rFonts w:ascii="Times New Roman" w:hAnsi="Times New Roman" w:eastAsia="Times New Roman"/>
          <w:i/>
          <w:sz w:val="24"/>
        </w:rPr>
        <w:t>REF-…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. Set </w:t>
      </w:r>
      <w:r>
        <w:rPr>
          <w:rFonts w:ascii="Times New Roman" w:hAnsi="Times New Roman" w:eastAsia="Times New Roman"/>
          <w:i/>
          <w:sz w:val="24"/>
        </w:rPr>
        <w:t>origin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</w:t>
      </w:r>
      <w:r>
        <w:rPr>
          <w:rFonts w:ascii="Times New Roman" w:hAnsi="Times New Roman" w:eastAsia="Times New Roman"/>
          <w:i/>
          <w:sz w:val="24"/>
        </w:rPr>
        <w:t>original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/ </w:t>
      </w:r>
      <w:r>
        <w:rPr>
          <w:rFonts w:ascii="Times New Roman" w:hAnsi="Times New Roman" w:eastAsia="Times New Roman"/>
          <w:i/>
          <w:sz w:val="24"/>
        </w:rPr>
        <w:t>build_on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/ </w:t>
      </w:r>
      <w:r>
        <w:rPr>
          <w:rFonts w:ascii="Times New Roman" w:hAnsi="Times New Roman" w:eastAsia="Times New Roman"/>
          <w:i/>
          <w:sz w:val="24"/>
        </w:rPr>
        <w:t>software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/ </w:t>
      </w:r>
      <w:r>
        <w:rPr>
          <w:rFonts w:ascii="Times New Roman" w:hAnsi="Times New Roman" w:eastAsia="Times New Roman"/>
          <w:i/>
          <w:sz w:val="24"/>
        </w:rPr>
        <w:t>new_instrument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/ </w:t>
      </w:r>
      <w:r>
        <w:rPr>
          <w:rFonts w:ascii="Times New Roman" w:hAnsi="Times New Roman" w:eastAsia="Times New Roman"/>
          <w:i/>
          <w:sz w:val="24"/>
        </w:rPr>
        <w:t>audit_artifact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) and </w:t>
      </w:r>
      <w:r>
        <w:rPr>
          <w:rFonts w:ascii="Times New Roman" w:hAnsi="Times New Roman" w:eastAsia="Times New Roman"/>
          <w:i/>
          <w:sz w:val="24"/>
        </w:rPr>
        <w:t>allowed_use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Set </w:t>
      </w:r>
      <w:r>
        <w:rPr>
          <w:rFonts w:ascii="Times New Roman" w:hAnsi="Times New Roman" w:eastAsia="Times New Roman"/>
          <w:i/>
          <w:sz w:val="24"/>
        </w:rPr>
        <w:t>delta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Times New Roman"/>
          <w:b/>
          <w:i w:val="0"/>
          <w:sz w:val="24"/>
        </w:rPr>
        <w:t>NEW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/>
          <w:b/>
          <w:i w:val="0"/>
          <w:sz w:val="24"/>
        </w:rPr>
        <w:t>KEEP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/>
          <w:b/>
          <w:i w:val="0"/>
          <w:sz w:val="24"/>
        </w:rPr>
        <w:t>REPLACE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or </w:t>
      </w:r>
      <w:r>
        <w:rPr>
          <w:rFonts w:ascii="Times New Roman" w:hAnsi="Times New Roman" w:eastAsia="Times New Roman"/>
          <w:b/>
          <w:i w:val="0"/>
          <w:sz w:val="24"/>
        </w:rPr>
        <w:t>PARK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and write </w:t>
      </w:r>
      <w:r>
        <w:rPr>
          <w:rFonts w:ascii="Times New Roman" w:hAnsi="Times New Roman" w:eastAsia="Times New Roman"/>
          <w:b/>
          <w:i w:val="0"/>
          <w:sz w:val="24"/>
        </w:rPr>
        <w:t>why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Link </w:t>
      </w:r>
      <w:r>
        <w:rPr>
          <w:rFonts w:ascii="Times New Roman" w:hAnsi="Times New Roman" w:eastAsia="Times New Roman"/>
          <w:i/>
          <w:sz w:val="24"/>
        </w:rPr>
        <w:t>code_id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or chapter node. Do not paste a second bibliography into Word without the ID.</w:t>
      </w:r>
    </w:p>
    <w:p>
      <w:pPr>
        <w:pStyle w:val="ListNumber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Log the row. Rebuild the workbook if CSVs changed.</w:t>
      </w:r>
    </w:p>
    <w:p>
      <w:pPr>
        <w:spacing w:after="160" w:before="240" w:line="480" w:lineRule="auto"/>
      </w:pPr>
      <w:r>
        <w:rPr>
          <w:rFonts w:ascii="Times New Roman" w:hAnsi="Times New Roman" w:eastAsia="Times New Roman"/>
          <w:b/>
          <w:i w:val="0"/>
          <w:color w:val="9A3412"/>
          <w:sz w:val="28"/>
        </w:rPr>
        <w:t>4. Alignment to prior outputs (do not treat as a new study)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Prior output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What this offering uses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What it must not change</w:t>
            </w:r>
          </w:p>
        </w:tc>
      </w:tr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Chapter I Need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Specialization, VCST placement, PQ1/PQ2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Spoken stems; official RQ labels may replace PQ tags later</w:t>
            </w:r>
          </w:p>
        </w:tc>
      </w:tr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Chapter III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Hybrid TA; Delve-as-store; n = 12; interviews only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Method switch to Gioia / Eisenhardt / Langley</w:t>
            </w:r>
          </w:p>
        </w:tc>
      </w:tr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GQI guide v0.1.1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Question IDs and skip rules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Wording without version bump</w:t>
            </w:r>
          </w:p>
        </w:tc>
      </w:tr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Symbols / construct index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 L U Lev DR ESC EV RA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Fourth salience attribute</w:t>
            </w:r>
          </w:p>
        </w:tc>
      </w:tr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Revision packet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Ethics, member-check, storage, artifact paths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Phenomenology wording</w:t>
            </w:r>
          </w:p>
        </w:tc>
      </w:tr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Tracking pack xlsx/docx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Sheets 00–12, Need OV, work schedule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Second live codebook</w:t>
            </w:r>
          </w:p>
        </w:tc>
      </w:tr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Updated / U.S. references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Keep/replace/drop rules; seminal keep set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Invented citations</w:t>
            </w:r>
          </w:p>
        </w:tc>
      </w:tr>
      <w:tr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Origins13 ROS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Input-once / ID philosophy and sheet </w:t>
            </w:r>
            <w:r>
              <w:rPr>
                <w:rFonts w:ascii="Times New Roman" w:hAnsi="Times New Roman" w:eastAsia="Times New Roman"/>
                <w:i/>
                <w:sz w:val="20"/>
              </w:rPr>
              <w:t>roles</w:t>
            </w:r>
          </w:p>
        </w:tc>
        <w:tc>
          <w:tcPr>
            <w:tcW w:type="dxa" w:w="3120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Origins sample 10–15; Origins IQ wording</w:t>
            </w:r>
          </w:p>
        </w:tc>
      </w:tr>
    </w:tbl>
    <w:p/>
    <w:p>
      <w:pPr>
        <w:spacing w:after="160" w:before="240" w:line="480" w:lineRule="auto"/>
      </w:pPr>
      <w:r>
        <w:rPr>
          <w:rFonts w:ascii="Times New Roman" w:hAnsi="Times New Roman" w:eastAsia="Times New Roman"/>
          <w:b/>
          <w:i w:val="0"/>
          <w:color w:val="1F3A5F"/>
          <w:sz w:val="28"/>
        </w:rPr>
        <w:t>5. Parking lot (success includes leaving these parked)</w:t>
      </w:r>
    </w:p>
    <w:p>
      <w:pPr>
        <w:pStyle w:val="ListBullet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Christensen (2023/2024) three concepts of power — optional </w:t>
      </w:r>
      <w:r>
        <w:rPr>
          <w:rFonts w:ascii="Times New Roman" w:hAnsi="Times New Roman" w:eastAsia="Times New Roman"/>
          <w:b/>
          <w:i w:val="0"/>
          <w:sz w:val="24"/>
        </w:rPr>
        <w:t>P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memo only after a concrete force/withhold/override example.</w:t>
      </w:r>
    </w:p>
    <w:p>
      <w:pPr>
        <w:pStyle w:val="ListBullet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Daniel and Daniel (2019) Hinkley Point C CAS — comparative sentence in Chapter V at most.</w:t>
      </w:r>
    </w:p>
    <w:p>
      <w:pPr>
        <w:pStyle w:val="ListBullet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EMR 2023 analysis roadmap — literacy for refusing adjacent templates.</w:t>
      </w:r>
    </w:p>
    <w:p>
      <w:pPr>
        <w:pStyle w:val="ListBullet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Origins </w:t>
      </w:r>
      <w:r>
        <w:rPr>
          <w:rFonts w:ascii="Times New Roman" w:hAnsi="Times New Roman" w:eastAsia="Times New Roman"/>
          <w:i/>
          <w:sz w:val="24"/>
        </w:rPr>
        <w:t>IQ-01…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and Origins n = 10–15 — historical template only.</w:t>
      </w:r>
    </w:p>
    <w:p>
      <w:pPr>
        <w:spacing w:after="160" w:before="240" w:line="480" w:lineRule="auto"/>
      </w:pPr>
      <w:r>
        <w:rPr>
          <w:rFonts w:ascii="Times New Roman" w:hAnsi="Times New Roman" w:eastAsia="Times New Roman"/>
          <w:b/>
          <w:i w:val="0"/>
          <w:color w:val="1F3A5F"/>
          <w:sz w:val="28"/>
        </w:rPr>
        <w:t>6. Offering complete checklist</w:t>
      </w:r>
    </w:p>
    <w:p>
      <w:pPr>
        <w:pStyle w:val="ListBullet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[ ] Abstract to success (Section 1) can be pasted without adding a new RQ.</w:t>
      </w:r>
    </w:p>
    <w:p>
      <w:pPr>
        <w:pStyle w:val="ListBullet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[ ] Daily and weekly SOP match </w:t>
      </w:r>
      <w:r>
        <w:rPr>
          <w:rFonts w:ascii="Times New Roman" w:hAnsi="Times New Roman" w:eastAsia="Times New Roman"/>
          <w:i/>
          <w:sz w:val="24"/>
        </w:rPr>
        <w:t>10_WORK_SCHEDULE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ListBullet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[ ] </w:t>
      </w:r>
      <w:r>
        <w:rPr>
          <w:rFonts w:ascii="Times New Roman" w:hAnsi="Times New Roman" w:eastAsia="Times New Roman"/>
          <w:i/>
          <w:sz w:val="24"/>
        </w:rPr>
        <w:t>CH3_CONTROL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still shows n = 12 and spoken v0.1.1.</w:t>
      </w:r>
    </w:p>
    <w:p>
      <w:pPr>
        <w:pStyle w:val="ListBullet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[ ] Need markdown and </w:t>
      </w:r>
      <w:r>
        <w:rPr>
          <w:rFonts w:ascii="Times New Roman" w:hAnsi="Times New Roman" w:eastAsia="Times New Roman"/>
          <w:i/>
          <w:sz w:val="24"/>
        </w:rPr>
        <w:t>09_NEED_OV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agree.</w:t>
      </w:r>
    </w:p>
    <w:p>
      <w:pPr>
        <w:pStyle w:val="ListBullet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[ ] No parked item has been promoted to a Delve parent or theme title.</w:t>
      </w:r>
    </w:p>
    <w:p>
      <w:pPr>
        <w:pStyle w:val="ListBullet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[ ] Latest interval folder or </w:t>
      </w:r>
      <w:r>
        <w:rPr>
          <w:rFonts w:ascii="Times New Roman" w:hAnsi="Times New Roman" w:eastAsia="Times New Roman"/>
          <w:i/>
          <w:sz w:val="24"/>
        </w:rPr>
        <w:t>no_change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row exists if coding has started.</w:t>
      </w:r>
    </w:p>
    <w:p>
      <w:pPr>
        <w:pStyle w:val="ListBullet"/>
        <w:spacing w:line="480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[ ] Courseroom Word of this file is in </w:t>
      </w:r>
      <w:r>
        <w:rPr>
          <w:rFonts w:ascii="Times New Roman" w:hAnsi="Times New Roman" w:eastAsia="Times New Roman"/>
          <w:i/>
          <w:sz w:val="24"/>
        </w:rPr>
        <w:t>downloads/WALKER_Offering_SOP_and_Success_Abstract.docx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0"/>
      </w:rPr>
      <w:t xml:space="preserve">Download copy for Project Plan use  ·  Page </w:t>
    </w:r>
    <w:r/>
    <w:r>
      <w:rPr>
        <w:rFonts w:ascii="Times New Roman" w:hAnsi="Times New Roman" w:eastAsia="Times New Roman"/>
        <w:sz w:val="20"/>
      </w:rPr>
      <w:fldChar w:fldCharType="begin"/>
    </w:r>
    <w:r>
      <w:rPr>
        <w:rFonts w:ascii="Times New Roman" w:hAnsi="Times New Roman" w:eastAsia="Times New Roman"/>
        <w:sz w:val="20"/>
      </w:rPr>
      <w:instrText xml:space="preserve"> PAGE </w:instrText>
    </w:r>
    <w:r>
      <w:rPr>
        <w:rFonts w:ascii="Times New Roman" w:hAnsi="Times New Roman" w:eastAsia="Times New Roman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i/>
        <w:sz w:val="20"/>
      </w:rPr>
      <w:t>Walker — RSCH-V8927 / BMGT8044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