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4045AF" w14:textId="77777777" w:rsidR="00B900D2" w:rsidRPr="006C70C5" w:rsidRDefault="00B900D2" w:rsidP="002601E0">
      <w:pPr>
        <w:rPr>
          <w:color w:val="000000" w:themeColor="text1"/>
        </w:rPr>
      </w:pPr>
    </w:p>
    <w:p w14:paraId="10BE42D7" w14:textId="33C3A9A5" w:rsidR="00E432C2" w:rsidRPr="00CF1C12" w:rsidRDefault="00E432C2" w:rsidP="00E432C2">
      <w:pPr>
        <w:pStyle w:val="Body"/>
        <w:rPr>
          <w:color w:val="000000" w:themeColor="text1"/>
          <w:highlight w:val="cyan"/>
        </w:rPr>
      </w:pPr>
      <w:commentRangeStart w:id="0"/>
      <w:r w:rsidRPr="00CF1C12">
        <w:rPr>
          <w:color w:val="000000" w:themeColor="text1"/>
          <w:highlight w:val="cyan"/>
        </w:rPr>
        <w:t>Name</w:t>
      </w:r>
      <w:commentRangeEnd w:id="0"/>
      <w:r w:rsidR="00F36A6F" w:rsidRPr="00CF1C12">
        <w:rPr>
          <w:rStyle w:val="CommentReference"/>
          <w:color w:val="000000" w:themeColor="text1"/>
          <w:sz w:val="22"/>
          <w:szCs w:val="20"/>
          <w:highlight w:val="cyan"/>
        </w:rPr>
        <w:commentReference w:id="0"/>
      </w:r>
      <w:r w:rsidRPr="00CF1C12">
        <w:rPr>
          <w:color w:val="000000" w:themeColor="text1"/>
          <w:highlight w:val="cyan"/>
        </w:rPr>
        <w:t>:</w:t>
      </w:r>
      <w:r w:rsidR="004C1DED" w:rsidRPr="00CF1C12">
        <w:rPr>
          <w:color w:val="000000" w:themeColor="text1"/>
          <w:highlight w:val="cyan"/>
        </w:rPr>
        <w:t xml:space="preserve"> </w:t>
      </w:r>
      <w:r w:rsidR="00CF1C12" w:rsidRPr="00CF1C12">
        <w:rPr>
          <w:color w:val="000000" w:themeColor="text1"/>
          <w:highlight w:val="cyan"/>
        </w:rPr>
        <w:t>XX</w:t>
      </w:r>
    </w:p>
    <w:p w14:paraId="6E16DF23" w14:textId="55E7CD77" w:rsidR="00E432C2" w:rsidRPr="00CF1C12" w:rsidRDefault="00E432C2" w:rsidP="00E432C2">
      <w:pPr>
        <w:pStyle w:val="Body"/>
        <w:rPr>
          <w:color w:val="000000" w:themeColor="text1"/>
          <w:highlight w:val="cyan"/>
        </w:rPr>
      </w:pPr>
      <w:r w:rsidRPr="00CF1C12">
        <w:rPr>
          <w:color w:val="000000" w:themeColor="text1"/>
          <w:highlight w:val="cyan"/>
        </w:rPr>
        <w:t>Learner ID:</w:t>
      </w:r>
      <w:r w:rsidR="004C1DED" w:rsidRPr="00CF1C12">
        <w:rPr>
          <w:color w:val="000000" w:themeColor="text1"/>
          <w:highlight w:val="cyan"/>
        </w:rPr>
        <w:t xml:space="preserve"> </w:t>
      </w:r>
      <w:r w:rsidR="00CF1C12" w:rsidRPr="00CF1C12">
        <w:rPr>
          <w:color w:val="000000" w:themeColor="text1"/>
          <w:highlight w:val="cyan"/>
        </w:rPr>
        <w:t>XX</w:t>
      </w:r>
    </w:p>
    <w:p w14:paraId="7E7B21EB" w14:textId="0AF1515E" w:rsidR="00E432C2" w:rsidRPr="00AC3820" w:rsidRDefault="00E432C2" w:rsidP="00E432C2">
      <w:pPr>
        <w:pStyle w:val="Body"/>
        <w:rPr>
          <w:color w:val="000000" w:themeColor="text1"/>
        </w:rPr>
      </w:pPr>
      <w:r w:rsidRPr="00CF1C12">
        <w:rPr>
          <w:color w:val="000000" w:themeColor="text1"/>
          <w:highlight w:val="cyan"/>
        </w:rPr>
        <w:t>Learner Email Address:</w:t>
      </w:r>
      <w:r w:rsidR="00CF1C12" w:rsidRPr="00CF1C12">
        <w:rPr>
          <w:color w:val="000000" w:themeColor="text1"/>
          <w:highlight w:val="cyan"/>
        </w:rPr>
        <w:t xml:space="preserve"> XX</w:t>
      </w:r>
    </w:p>
    <w:p w14:paraId="54D13D44" w14:textId="77777777" w:rsidR="00E432C2" w:rsidRPr="00AC3820" w:rsidRDefault="00E432C2" w:rsidP="00E432C2">
      <w:pPr>
        <w:pStyle w:val="Body"/>
        <w:rPr>
          <w:color w:val="000000" w:themeColor="text1"/>
        </w:rPr>
      </w:pPr>
      <w:r w:rsidRPr="00AC3820">
        <w:rPr>
          <w:color w:val="000000" w:themeColor="text1"/>
        </w:rPr>
        <w:t>School:</w:t>
      </w:r>
      <w:r w:rsidR="004C1DED" w:rsidRPr="00AC3820">
        <w:rPr>
          <w:color w:val="000000" w:themeColor="text1"/>
        </w:rPr>
        <w:t xml:space="preserve"> Doctoral in Business Management</w:t>
      </w:r>
    </w:p>
    <w:p w14:paraId="7A282E25" w14:textId="77777777" w:rsidR="00E432C2" w:rsidRPr="00AC3820" w:rsidRDefault="00E432C2" w:rsidP="00E432C2">
      <w:pPr>
        <w:pStyle w:val="Body"/>
        <w:rPr>
          <w:color w:val="000000" w:themeColor="text1"/>
        </w:rPr>
      </w:pPr>
      <w:r w:rsidRPr="00AC3820">
        <w:rPr>
          <w:color w:val="000000" w:themeColor="text1"/>
        </w:rPr>
        <w:t>Program/Specialization:</w:t>
      </w:r>
      <w:r w:rsidR="004C1DED" w:rsidRPr="00AC3820">
        <w:rPr>
          <w:color w:val="000000" w:themeColor="text1"/>
        </w:rPr>
        <w:t xml:space="preserve"> </w:t>
      </w:r>
      <w:r w:rsidR="004C1DED" w:rsidRPr="00AC3820">
        <w:rPr>
          <w:rStyle w:val="plan"/>
          <w:color w:val="000000" w:themeColor="text1"/>
        </w:rPr>
        <w:t>Information Technology Management</w:t>
      </w:r>
    </w:p>
    <w:p w14:paraId="727F367A" w14:textId="77777777" w:rsidR="00E432C2" w:rsidRPr="00AC3820" w:rsidRDefault="00E432C2" w:rsidP="00E432C2">
      <w:pPr>
        <w:pStyle w:val="Body"/>
        <w:rPr>
          <w:color w:val="000000" w:themeColor="text1"/>
        </w:rPr>
      </w:pPr>
      <w:r w:rsidRPr="00AC3820">
        <w:rPr>
          <w:color w:val="000000" w:themeColor="text1"/>
        </w:rPr>
        <w:t>Type of project (e.g., dissertation, capstone, etc.):</w:t>
      </w:r>
      <w:r w:rsidR="004C1DED" w:rsidRPr="00AC3820">
        <w:rPr>
          <w:color w:val="000000" w:themeColor="text1"/>
        </w:rPr>
        <w:t xml:space="preserve"> ITDRPaaS Dissertation</w:t>
      </w:r>
    </w:p>
    <w:p w14:paraId="1559DBE3" w14:textId="77777777" w:rsidR="00E26A16" w:rsidRPr="00AC3820" w:rsidRDefault="00E26A16" w:rsidP="00E432C2">
      <w:pPr>
        <w:pStyle w:val="Body"/>
        <w:rPr>
          <w:color w:val="000000" w:themeColor="text1"/>
        </w:rPr>
      </w:pPr>
      <w:r w:rsidRPr="00AC3820">
        <w:rPr>
          <w:color w:val="000000" w:themeColor="text1"/>
        </w:rPr>
        <w:t>Methodology – Quantitative or Qualitative:</w:t>
      </w:r>
      <w:r w:rsidR="004C1DED" w:rsidRPr="00AC3820">
        <w:rPr>
          <w:color w:val="000000" w:themeColor="text1"/>
        </w:rPr>
        <w:t xml:space="preserve"> Qualitative</w:t>
      </w:r>
    </w:p>
    <w:p w14:paraId="335546CB" w14:textId="77777777" w:rsidR="00E432C2" w:rsidRPr="00AC3820" w:rsidRDefault="00E432C2" w:rsidP="00E432C2">
      <w:pPr>
        <w:pStyle w:val="Body"/>
        <w:rPr>
          <w:color w:val="000000" w:themeColor="text1"/>
        </w:rPr>
      </w:pPr>
      <w:r w:rsidRPr="00AC3820">
        <w:rPr>
          <w:color w:val="000000" w:themeColor="text1"/>
        </w:rPr>
        <w:t>Quarter/Year of V8927completion:</w:t>
      </w:r>
      <w:r w:rsidR="004C1DED" w:rsidRPr="00AC3820">
        <w:rPr>
          <w:color w:val="000000" w:themeColor="text1"/>
        </w:rPr>
        <w:t xml:space="preserve"> Summer 2026</w:t>
      </w:r>
    </w:p>
    <w:p w14:paraId="69899D7B" w14:textId="77777777" w:rsidR="00B900D2" w:rsidRPr="00AC3820" w:rsidRDefault="00B900D2" w:rsidP="002601E0">
      <w:pPr>
        <w:rPr>
          <w:color w:val="000000" w:themeColor="text1"/>
        </w:rPr>
      </w:pPr>
    </w:p>
    <w:p w14:paraId="5F6B5950" w14:textId="77777777" w:rsidR="00B900D2"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topic</w:t>
      </w:r>
    </w:p>
    <w:p w14:paraId="344E45E7"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Topic proposal is grounded in a problem and aligned with program of study.</w:t>
      </w:r>
    </w:p>
    <w:p w14:paraId="39DC81B7" w14:textId="77777777" w:rsidR="008529C6" w:rsidRPr="00AC3820" w:rsidRDefault="008529C6" w:rsidP="008529C6">
      <w:pPr>
        <w:pStyle w:val="Body"/>
        <w:spacing w:line="480" w:lineRule="auto"/>
        <w:rPr>
          <w:rStyle w:val="css-1f2ahkg-view"/>
          <w:rFonts w:cs="Times New Roman"/>
          <w:color w:val="000000" w:themeColor="text1"/>
          <w:szCs w:val="24"/>
        </w:rPr>
      </w:pPr>
    </w:p>
    <w:p w14:paraId="5B69184E" w14:textId="77777777" w:rsidR="008529C6" w:rsidRPr="00AC3820" w:rsidRDefault="008529C6" w:rsidP="008529C6">
      <w:pPr>
        <w:pStyle w:val="Body"/>
        <w:spacing w:line="480" w:lineRule="auto"/>
        <w:rPr>
          <w:rFonts w:cs="Times New Roman"/>
          <w:color w:val="000000" w:themeColor="text1"/>
          <w:sz w:val="24"/>
          <w:szCs w:val="24"/>
        </w:rPr>
      </w:pPr>
      <w:r w:rsidRPr="00AC3820">
        <w:rPr>
          <w:rStyle w:val="css-1f2ahkg-view"/>
          <w:rFonts w:cs="Times New Roman"/>
          <w:color w:val="000000" w:themeColor="text1"/>
          <w:sz w:val="24"/>
          <w:szCs w:val="24"/>
        </w:rPr>
        <w:t xml:space="preserve">The topic for the proposed study is </w:t>
      </w:r>
      <w:r w:rsidRPr="00AC3820">
        <w:rPr>
          <w:rStyle w:val="Strong"/>
          <w:rFonts w:cs="Times New Roman"/>
          <w:b w:val="0"/>
          <w:bCs w:val="0"/>
          <w:color w:val="000000" w:themeColor="text1"/>
          <w:sz w:val="24"/>
          <w:szCs w:val="24"/>
        </w:rPr>
        <w:t>Stakeholder-Salience Governance of ITDRPaaS in SMEs: via Aligning IT Strategy and Decision Rights Governance.</w:t>
      </w:r>
    </w:p>
    <w:p w14:paraId="69D64578" w14:textId="77777777" w:rsidR="00215499" w:rsidRPr="00AC3820" w:rsidRDefault="00215499" w:rsidP="00215499">
      <w:pPr>
        <w:pStyle w:val="Heading5"/>
        <w:rPr>
          <w:color w:val="000000" w:themeColor="text1"/>
        </w:rPr>
      </w:pPr>
      <w:commentRangeStart w:id="1"/>
      <w:commentRangeStart w:id="2"/>
      <w:r w:rsidRPr="00AC3820">
        <w:rPr>
          <w:color w:val="000000" w:themeColor="text1"/>
        </w:rPr>
        <w:t>Alignment to the Program of Study</w:t>
      </w:r>
      <w:commentRangeEnd w:id="1"/>
      <w:r w:rsidR="00595C3E" w:rsidRPr="00AC3820">
        <w:rPr>
          <w:rStyle w:val="CommentReference"/>
          <w:color w:val="000000" w:themeColor="text1"/>
          <w:sz w:val="24"/>
          <w:szCs w:val="26"/>
        </w:rPr>
        <w:commentReference w:id="1"/>
      </w:r>
      <w:commentRangeEnd w:id="2"/>
      <w:r w:rsidR="00D92E80" w:rsidRPr="00AC3820">
        <w:rPr>
          <w:rStyle w:val="CommentReference"/>
          <w:color w:val="000000" w:themeColor="text1"/>
          <w:sz w:val="24"/>
          <w:szCs w:val="26"/>
        </w:rPr>
        <w:commentReference w:id="2"/>
      </w:r>
    </w:p>
    <w:p w14:paraId="5C340454" w14:textId="77777777" w:rsidR="00215499" w:rsidRPr="00AC3820" w:rsidRDefault="00215499" w:rsidP="00215499">
      <w:pPr>
        <w:pStyle w:val="Body"/>
        <w:rPr>
          <w:i/>
          <w:iCs/>
          <w:color w:val="000000" w:themeColor="text1"/>
        </w:rPr>
      </w:pPr>
      <w:r w:rsidRPr="00AC3820">
        <w:rPr>
          <w:i/>
          <w:iCs/>
          <w:color w:val="000000" w:themeColor="text1"/>
        </w:rPr>
        <w:t xml:space="preserve">Presents an introduction to a clear topic proposal grounded in a problem within the program, project, and topic. Suggested length 1 paragraph. </w:t>
      </w:r>
    </w:p>
    <w:p w14:paraId="5296EE65" w14:textId="77777777" w:rsidR="008529C6" w:rsidRPr="00AC3820" w:rsidRDefault="008529C6" w:rsidP="00215499">
      <w:pPr>
        <w:pStyle w:val="Body"/>
        <w:rPr>
          <w:i/>
          <w:iCs/>
          <w:color w:val="000000" w:themeColor="text1"/>
        </w:rPr>
      </w:pPr>
    </w:p>
    <w:p w14:paraId="03447768" w14:textId="77777777"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This study is undertaken in the Doctor of Philosophy in Business Management program with a specialization in Information Technology Management. That specialization advances the theory and practice of leading information-technology strategic planning and management in complex environments. It requires examination of collaborative relationships among IT and other organizational leaders, strategies that integrate technological arrangements with changing business needs, and the ethical and legal issues that shape IT management so that practical solutions can be developed for real-world problems that arise as organizations compete (Capella University, 2024). The proposed project specifically aligns with that specialization because the object of study is not a technical restore script. It is an IT-management governance problem: how U.S. small- and medium-enterprise (SME) IT and network managers handle competing recovery claims, allocate decision rights, escalate contested choices, and defend restoration when disaster recovery is delivered on an external platform (ITDRPaaS).</w:t>
      </w:r>
      <w:r w:rsidRPr="00AC3820">
        <w:rPr>
          <w:rStyle w:val="Strong"/>
          <w:b w:val="0"/>
          <w:bCs w:val="0"/>
          <w:color w:val="000000" w:themeColor="text1"/>
        </w:rPr>
      </w:r>
      <w:r w:rsidRPr="00AC3820">
        <w:rPr>
          <w:rStyle w:val="Strong"/>
          <w:color w:val="000000" w:themeColor="text1"/>
        </w:rPr>
      </w:r>
      <w:r w:rsidRPr="00AC3820">
        <w:rPr>
          <w:color w:val="000000" w:themeColor="text1"/>
        </w:rPr>
      </w:r>
      <w:r w:rsidRPr="00AC3820">
        <w:rPr>
          <w:color w:val="000000" w:themeColor="text1"/>
        </w:rPr>
      </w:r>
    </w:p>
    <w:p w14:paraId="74A574AB" w14:textId="4F04C42A"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Value-creation stakeholder theory supplies the needed foundation construct. Distinctive stakeholder work describes human actors cooperatively engaged in value creation and trade and treats many tensions between stakeholder management and strategic-technical objectives as differences of narrative rather than mutually exclusive tasks (Freeman et al., 2020). In an ITDRPaaS incident those actors include executives, customers, providers, regulators, and the IT managers who must decide whose claim moves restore order. Stakeholder-salience theory then supplies the middle-range attention mechanism: power, legitimacy, and urgency shape whose claims count (Mitchell et al., 1997). A generic qualitative inquiry is appropriate because it examines managers’ accounts of named recovery events, governance decisions, escalation pathways, and recoverability-assurance practices (Caelli et al., 2003; Kahlke, 2014). The project therefore advances the Information Technology Management specialization by explaining how IT leaders translate competing stakeholder claims into enforceable recovery authority and defensible proof when recovery is outsourced.</w:t>
      </w:r>
      <w:r w:rsidRPr="008C1B5E">
        <w:rPr>
          <w:color w:val="000000" w:themeColor="text1"/>
          <w:highlight w:val="cyan"/>
        </w:rPr>
      </w:r>
      <w:r w:rsidRPr="00AC3820">
        <w:rPr>
          <w:color w:val="000000" w:themeColor="text1"/>
        </w:rPr>
      </w:r>
      <w:r w:rsidR="008C1B5E">
        <w:rPr>
          <w:color w:val="000000" w:themeColor="text1"/>
        </w:rPr>
      </w:r>
      <w:r w:rsidRPr="00AC3820">
        <w:rPr>
          <w:color w:val="000000" w:themeColor="text1"/>
        </w:rPr>
      </w:r>
    </w:p>
    <w:p w14:paraId="0A79C48E" w14:textId="77777777" w:rsidR="00C92BAE"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Problem</w:t>
      </w:r>
    </w:p>
    <w:p w14:paraId="7C762C5C"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Clearly stated problem aligns with program, reflects literature ga</w:t>
      </w:r>
      <w:r w:rsidR="00EC580B" w:rsidRPr="00AC3820">
        <w:rPr>
          <w:i/>
          <w:iCs/>
          <w:color w:val="000000" w:themeColor="text1"/>
        </w:rPr>
        <w:t>p or practice issue</w:t>
      </w:r>
      <w:r w:rsidRPr="00AC3820">
        <w:rPr>
          <w:i/>
          <w:iCs/>
          <w:color w:val="000000" w:themeColor="text1"/>
        </w:rPr>
        <w:t xml:space="preserve">, and identifies population of interest. </w:t>
      </w:r>
    </w:p>
    <w:p w14:paraId="5C90CF23" w14:textId="77777777" w:rsidR="00B900D2" w:rsidRPr="00AC3820" w:rsidRDefault="00B900D2" w:rsidP="00215499">
      <w:pPr>
        <w:pStyle w:val="Heading5"/>
        <w:rPr>
          <w:color w:val="000000" w:themeColor="text1"/>
        </w:rPr>
      </w:pPr>
      <w:r w:rsidRPr="00AC3820">
        <w:rPr>
          <w:color w:val="000000" w:themeColor="text1"/>
        </w:rPr>
        <w:t>Problem to be Addressed</w:t>
      </w:r>
    </w:p>
    <w:p w14:paraId="3A676C60" w14:textId="77777777" w:rsidR="00215499" w:rsidRPr="00AC3820" w:rsidRDefault="00B900D2" w:rsidP="00215499">
      <w:pPr>
        <w:pStyle w:val="Body"/>
        <w:rPr>
          <w:i/>
          <w:iCs/>
          <w:color w:val="000000" w:themeColor="text1"/>
        </w:rPr>
      </w:pPr>
      <w:r w:rsidRPr="00AC3820">
        <w:rPr>
          <w:i/>
          <w:iCs/>
          <w:color w:val="000000" w:themeColor="text1"/>
        </w:rPr>
        <w:t xml:space="preserve">Describe a general and specific problem that is clearly defined and aligned with the program, including what the problem is, who is experiencing the problem, where the problem exists, </w:t>
      </w:r>
      <w:r w:rsidR="00CA40D3" w:rsidRPr="00AC3820">
        <w:rPr>
          <w:i/>
          <w:iCs/>
          <w:color w:val="000000" w:themeColor="text1"/>
        </w:rPr>
        <w:t xml:space="preserve">and </w:t>
      </w:r>
      <w:r w:rsidRPr="00AC3820">
        <w:rPr>
          <w:i/>
          <w:iCs/>
          <w:color w:val="000000" w:themeColor="text1"/>
        </w:rPr>
        <w:t xml:space="preserve">the professional/organizational context. </w:t>
      </w:r>
      <w:r w:rsidR="00215499" w:rsidRPr="00AC3820">
        <w:rPr>
          <w:i/>
          <w:iCs/>
          <w:color w:val="000000" w:themeColor="text1"/>
        </w:rPr>
        <w:t xml:space="preserve">Suggested length 1paragraph. </w:t>
      </w:r>
    </w:p>
    <w:p w14:paraId="2CB55F9D" w14:textId="79A6890E"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general problem is that many U.S. small and medium-sized enterprises (SMEs) suffer avoidable organizational harm during cyber disruptions because they fail to consistently translate IT Disaster Recovery as a Service (ITDRPaaS) capabilities into governed, auditable, and defensible recoverability assurance (Federal Bureau of Investigation, 2024; Verizon, 2025). This inconsistency is particularly pronounced when decision authority is fragmented and oversight is applied inconsistently under pressure (Lowry et al., 2025; Park et al., 2023). Consequently, these disruptions lead to prolonged system downtime, uneven or slow recovery processes, compromised data integrity, and a diminished ability to demonstrate that restoration actions meet acceptable operational and risk thresholds during crisis conditions (Lowry et al., 2025; Park et al., 2023). This issue is most acutely felt by IT and network managers within U.S. SMEs, who bear responsibility for recovery while coordinating across internal teams and external service providers in environments where stakeholder priorities are often in flux (Ampel et al., 2024). Furthermore, existing governance arrangements frequently fail to establish clear decision rights, accountability structures, or time-sensitive escalation pathways (Mitchell et al., 1997; Park et al., 2023). Despite increasing scholarship on IT centralization, resilience, and cybersecurity oversight, research remains limited on how U.S. SME IT and network managers operationalize disaster-recovery governance in practice when shifting stakeholder priorities undermine decision rights, escalation pathways, and standards for defensible recoverability assurance (Lowry et al., 2025; Park et al., 2023).</w:t>
      </w:r>
      <w:commentRangeStart w:id="3"/>
      <w:commentRangeStart w:id="4"/>
      <w:r w:rsidRPr="00AC3820">
        <w:rPr>
          <w:b w:val="0"/>
          <w:bCs w:val="0"/>
          <w:color w:val="000000" w:themeColor="text1"/>
          <w:szCs w:val="24"/>
        </w:rPr>
      </w:r>
      <w:commentRangeEnd w:id="3"/>
      <w:r w:rsidR="00595C3E" w:rsidRPr="00AC3820">
        <w:rPr>
          <w:rStyle w:val="CommentReference"/>
          <w:b w:val="0"/>
          <w:bCs w:val="0"/>
          <w:color w:val="000000" w:themeColor="text1"/>
          <w:sz w:val="24"/>
          <w:szCs w:val="24"/>
        </w:rPr>
      </w:r>
      <w:commentRangeEnd w:id="4"/>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C17561">
        <w:rPr>
          <w:b w:val="0"/>
          <w:bCs w:val="0"/>
          <w:color w:val="000000" w:themeColor="text1"/>
          <w:szCs w:val="24"/>
          <w:highlight w:val="cyan"/>
        </w:rPr>
      </w:r>
      <w:r w:rsidRPr="00AC3820">
        <w:rPr>
          <w:b w:val="0"/>
          <w:bCs w:val="0"/>
          <w:color w:val="000000" w:themeColor="text1"/>
          <w:szCs w:val="24"/>
        </w:rPr>
      </w:r>
      <w:r w:rsidRPr="008C1B5E">
        <w:rPr>
          <w:b w:val="0"/>
          <w:bCs w:val="0"/>
          <w:color w:val="000000" w:themeColor="text1"/>
          <w:szCs w:val="24"/>
          <w:highlight w:val="cyan"/>
        </w:rPr>
      </w:r>
      <w:r w:rsidRPr="00AC3820">
        <w:rPr>
          <w:b w:val="0"/>
          <w:bCs w:val="0"/>
          <w:color w:val="000000" w:themeColor="text1"/>
          <w:szCs w:val="24"/>
        </w:rPr>
      </w:r>
    </w:p>
    <w:p w14:paraId="4521E17A" w14:textId="77777777"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specific problem is that many U.S. SMEs do not proactively establish an operational disaster-recovery capability characterized by clearly defined decision rights, escalation pathways, and evidentiary standards prior to a disruption (Lowry et al., 2025; Park et al., 2023). Instead, recovery efforts are often undertaken reactively, increasing exposure to data-integrity failures, inconsistent restoration actions, and poorly defensible recovery outcomes when urgent decisions bypass established governance controls (Lowry et al., 2025). In SMEs using ITDRPaaS, shifts in stakeholder salience—power, legitimacy, and urgency—can disrupt established priorities during incidents (Mitchell et al., 1997). This disruption may destabilize decision-making authority, complicate escalation, and alter the criteria used to assess adequate proof of recoverability (Donaldson &amp; Preston, 1995; Freeman et al., 2020; Mitchell et al., 1997). Consequently, restoration priorities and thresholds for recovery proof may be renegotiated mid-incident, producing governance inconsistencies, disputes over what qualifies as good-enough recovery, and uneven recovery performance across SME environments (Dorobantu et al., 2024; Lowry et al., 2025).</w:t>
      </w:r>
      <w:r w:rsidRPr="008C1B5E">
        <w:rPr>
          <w:b w:val="0"/>
          <w:bCs w:val="0"/>
          <w:color w:val="000000" w:themeColor="text1"/>
          <w:szCs w:val="24"/>
          <w:highlight w:val="cyan"/>
        </w:rPr>
      </w:r>
      <w:r w:rsidRPr="00AC3820">
        <w:rPr>
          <w:b w:val="0"/>
          <w:bCs w:val="0"/>
          <w:color w:val="000000" w:themeColor="text1"/>
          <w:szCs w:val="24"/>
        </w:rPr>
      </w:r>
      <w:commentRangeStart w:id="5"/>
      <w:commentRangeStart w:id="6"/>
      <w:r w:rsidRPr="00AC3820">
        <w:rPr>
          <w:b w:val="0"/>
          <w:bCs w:val="0"/>
          <w:color w:val="000000" w:themeColor="text1"/>
          <w:szCs w:val="24"/>
        </w:rPr>
      </w:r>
      <w:commentRangeEnd w:id="5"/>
      <w:r w:rsidR="00595C3E" w:rsidRPr="00AC3820">
        <w:rPr>
          <w:rStyle w:val="CommentReference"/>
          <w:b w:val="0"/>
          <w:bCs w:val="0"/>
          <w:color w:val="000000" w:themeColor="text1"/>
          <w:sz w:val="24"/>
          <w:szCs w:val="24"/>
        </w:rPr>
      </w:r>
      <w:commentRangeEnd w:id="6"/>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8C1B5E">
        <w:rPr>
          <w:b w:val="0"/>
          <w:bCs w:val="0"/>
          <w:color w:val="000000" w:themeColor="text1"/>
          <w:szCs w:val="24"/>
          <w:highlight w:val="cyan"/>
        </w:rPr>
      </w:r>
    </w:p>
    <w:p w14:paraId="3FD3DE30" w14:textId="77777777" w:rsidR="00060C75" w:rsidRPr="00AC3820" w:rsidRDefault="00982976" w:rsidP="00215499">
      <w:pPr>
        <w:pStyle w:val="Heading5"/>
        <w:rPr>
          <w:color w:val="000000" w:themeColor="text1"/>
        </w:rPr>
      </w:pPr>
      <w:r w:rsidRPr="00AC3820">
        <w:rPr>
          <w:color w:val="000000" w:themeColor="text1"/>
        </w:rPr>
        <w:t>Gap</w:t>
      </w:r>
    </w:p>
    <w:p w14:paraId="3DFF9B40" w14:textId="77777777" w:rsidR="00215499" w:rsidRPr="00AC3820" w:rsidRDefault="00982976" w:rsidP="00215499">
      <w:pPr>
        <w:pStyle w:val="Body"/>
        <w:rPr>
          <w:i/>
          <w:iCs/>
          <w:color w:val="000000" w:themeColor="text1"/>
        </w:rPr>
      </w:pPr>
      <w:r w:rsidRPr="00AC3820">
        <w:rPr>
          <w:i/>
          <w:iCs/>
          <w:color w:val="000000" w:themeColor="text1"/>
        </w:rPr>
        <w:t xml:space="preserve">Present an analysis of a gap in alignment with the problem and placed within the program. Addresses the broader questions of “who cares” and “why now”. </w:t>
      </w:r>
      <w:r w:rsidR="00215499" w:rsidRPr="00AC3820">
        <w:rPr>
          <w:i/>
          <w:iCs/>
          <w:color w:val="000000" w:themeColor="text1"/>
        </w:rPr>
        <w:t xml:space="preserve">Suggested length 1 paragraph. </w:t>
      </w:r>
    </w:p>
    <w:p w14:paraId="11F3A87D" w14:textId="77777777" w:rsidR="008808E5" w:rsidRPr="00AC3820" w:rsidRDefault="008808E5" w:rsidP="008808E5">
      <w:pPr>
        <w:rPr>
          <w:color w:val="000000" w:themeColor="text1"/>
        </w:rPr>
      </w:pPr>
    </w:p>
    <w:p w14:paraId="4B938CC4" w14:textId="4D3BD1E7"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Stakeholder theory provides the overarching frame that organizations create and protect value by managing competing stakeholder claims and sustaining legitimacy (Donaldson &amp; Preston, 1995; Freeman et al., 2004). Freeman et al. (2020) update that frame as value-creation stakeholder theory: managers and other actors cooperatively create and trade value, and apparent tensions between stakeholder management and strategic-technical tasks are often differences of narrative rather than mutually exclusive jobs. The literature does not yet explain how that claim-management work is enacted inside SME ITDRPaaS governance when cyber disruption forces time-critical recovery choices (Freeman et al., 2020; Lowry et al., 2025). Within that frame, stakeholder-salience theory specifies the attention mechanism: power, legitimacy, and urgency determine whose claims count during incidents (Mitchell et al., 1997). Research remains limited on how SME IT managers translate those salience shifts into decision rights, escalation pathways, and evidence standards that make recoverability assurance defensible to stakeholders (Lowry et al., 2025; Mitchell et al., 1997). This gap matters to SME IT managers and the stakeholder groups that depend on their services because unclear authority and contested proof can yield inconsistent recovery and disputed restoration legitimacy (Donaldson &amp; Preston, 1995; Lowry et al., 2025). It matters now because stakeholder evaluations and legitimacy judgments move rapidly in contemporary information environments (Dorobantu et al., 2024). This study therefore addresses a program-aligned Information Technology Management gap by examining how stakeholder-claim management and salience shifts are described and enacted in SME ITDRPaaS governance, clarifying how decision-right alignment can support defensible recoverability assurance rather than ad hoc restoration practice (Freeman et al., 2020; Mitchell et al., 1997).</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AC3820">
        <w:rPr>
          <w:color w:val="000000" w:themeColor="text1"/>
        </w:rPr>
      </w:r>
      <w:r w:rsidR="00270594" w:rsidRPr="00AC3820">
        <w:rPr>
          <w:color w:val="000000" w:themeColor="text1"/>
        </w:rPr>
      </w:r>
      <w:commentRangeStart w:id="7"/>
      <w:commentRangeStart w:id="8"/>
      <w:r w:rsidRPr="00AC3820">
        <w:rPr>
          <w:color w:val="000000" w:themeColor="text1"/>
        </w:rPr>
      </w:r>
      <w:commentRangeEnd w:id="7"/>
      <w:r w:rsidR="00570A44" w:rsidRPr="00AC3820">
        <w:rPr>
          <w:rStyle w:val="CommentReference"/>
          <w:color w:val="000000" w:themeColor="text1"/>
          <w:sz w:val="24"/>
          <w:szCs w:val="24"/>
        </w:rPr>
      </w:r>
      <w:commentRangeEnd w:id="8"/>
      <w:r w:rsidR="00E320E4" w:rsidRPr="00AC3820">
        <w:rPr>
          <w:rStyle w:val="CommentReference"/>
          <w:color w:val="000000" w:themeColor="text1"/>
          <w:sz w:val="24"/>
          <w:szCs w:val="24"/>
        </w:rPr>
      </w:r>
      <w:r w:rsidRPr="00AC3820">
        <w:rPr>
          <w:color w:val="000000" w:themeColor="text1"/>
        </w:rPr>
      </w:r>
      <w:r w:rsidRPr="00AA13BF">
        <w:rPr>
          <w:color w:val="000000" w:themeColor="text1"/>
          <w:highlight w:val="cyan"/>
        </w:rPr>
      </w:r>
      <w:r w:rsidRPr="00AC3820">
        <w:rPr>
          <w:color w:val="000000" w:themeColor="text1"/>
        </w:rPr>
      </w:r>
    </w:p>
    <w:p w14:paraId="768C0E5F" w14:textId="77777777" w:rsidR="00145206" w:rsidRPr="00AC3820" w:rsidRDefault="00145206" w:rsidP="00145206">
      <w:pPr>
        <w:pStyle w:val="Heading2"/>
        <w:rPr>
          <w:color w:val="000000" w:themeColor="text1"/>
        </w:rPr>
      </w:pPr>
      <w:r w:rsidRPr="00AC3820">
        <w:rPr>
          <w:color w:val="000000" w:themeColor="text1"/>
        </w:rPr>
        <w:t>Supporting Evidence</w:t>
      </w:r>
    </w:p>
    <w:p w14:paraId="7610442D" w14:textId="77777777" w:rsidR="00064448" w:rsidRPr="00AC3820" w:rsidRDefault="00145206" w:rsidP="00064448">
      <w:pPr>
        <w:pStyle w:val="Body"/>
        <w:shd w:val="clear" w:color="auto" w:fill="E7E6E6"/>
        <w:rPr>
          <w:color w:val="000000" w:themeColor="text1"/>
        </w:rPr>
      </w:pPr>
      <w:r w:rsidRPr="00AC3820">
        <w:rPr>
          <w:i/>
          <w:iCs/>
          <w:color w:val="000000" w:themeColor="text1"/>
        </w:rPr>
        <w:t xml:space="preserve">Literature review addresses previous relevant </w:t>
      </w:r>
      <w:r w:rsidR="00B64032" w:rsidRPr="00AC3820">
        <w:rPr>
          <w:i/>
          <w:iCs/>
          <w:color w:val="000000" w:themeColor="text1"/>
        </w:rPr>
        <w:t xml:space="preserve">projects </w:t>
      </w:r>
      <w:r w:rsidRPr="00AC3820">
        <w:rPr>
          <w:i/>
          <w:iCs/>
          <w:color w:val="000000" w:themeColor="text1"/>
        </w:rPr>
        <w:t xml:space="preserve">and articulates theoretical </w:t>
      </w:r>
      <w:r w:rsidR="00E56BF8" w:rsidRPr="00AC3820">
        <w:rPr>
          <w:i/>
          <w:iCs/>
          <w:color w:val="000000" w:themeColor="text1"/>
        </w:rPr>
        <w:t>(</w:t>
      </w:r>
      <w:r w:rsidRPr="00AC3820">
        <w:rPr>
          <w:i/>
          <w:iCs/>
          <w:color w:val="000000" w:themeColor="text1"/>
        </w:rPr>
        <w:t>practice</w:t>
      </w:r>
      <w:r w:rsidR="00E56BF8" w:rsidRPr="00AC3820">
        <w:rPr>
          <w:i/>
          <w:iCs/>
          <w:color w:val="000000" w:themeColor="text1"/>
        </w:rPr>
        <w:t>)</w:t>
      </w:r>
      <w:r w:rsidRPr="00AC3820">
        <w:rPr>
          <w:i/>
          <w:iCs/>
          <w:color w:val="000000" w:themeColor="text1"/>
        </w:rPr>
        <w:t xml:space="preserve"> orientation. </w:t>
      </w:r>
      <w:r w:rsidRPr="00AC3820">
        <w:rPr>
          <w:color w:val="000000" w:themeColor="text1"/>
        </w:rPr>
        <w:t xml:space="preserve"> </w:t>
      </w:r>
    </w:p>
    <w:p w14:paraId="69146150" w14:textId="77777777" w:rsidR="008808E5" w:rsidRPr="00AC3820" w:rsidRDefault="00145206" w:rsidP="003B1FA2">
      <w:pPr>
        <w:pStyle w:val="Heading5"/>
        <w:rPr>
          <w:color w:val="000000" w:themeColor="text1"/>
        </w:rPr>
      </w:pPr>
      <w:r w:rsidRPr="00AC3820">
        <w:rPr>
          <w:color w:val="000000" w:themeColor="text1"/>
        </w:rPr>
        <w:t>Primary Orientation</w:t>
      </w:r>
    </w:p>
    <w:p w14:paraId="4DE63AB7" w14:textId="77777777" w:rsidR="003B1FA2" w:rsidRPr="00AC3820" w:rsidRDefault="00145206" w:rsidP="003B1FA2">
      <w:pPr>
        <w:pStyle w:val="Body"/>
        <w:rPr>
          <w:i/>
          <w:iCs/>
          <w:color w:val="000000" w:themeColor="text1"/>
        </w:rPr>
      </w:pPr>
      <w:r w:rsidRPr="00AC3820">
        <w:rPr>
          <w:i/>
          <w:iCs/>
          <w:color w:val="000000" w:themeColor="text1"/>
        </w:rPr>
        <w:t xml:space="preserve">Provide an introduction to the review of scholarly literature, an argument for conducting the review, and a primary theoretical </w:t>
      </w:r>
      <w:r w:rsidR="00E56BF8" w:rsidRPr="00AC3820">
        <w:rPr>
          <w:i/>
          <w:iCs/>
          <w:color w:val="000000" w:themeColor="text1"/>
        </w:rPr>
        <w:t>(</w:t>
      </w:r>
      <w:r w:rsidRPr="00AC3820">
        <w:rPr>
          <w:i/>
          <w:iCs/>
          <w:color w:val="000000" w:themeColor="text1"/>
        </w:rPr>
        <w:t>and practice</w:t>
      </w:r>
      <w:r w:rsidR="00E56BF8" w:rsidRPr="00AC3820">
        <w:rPr>
          <w:i/>
          <w:iCs/>
          <w:color w:val="000000" w:themeColor="text1"/>
        </w:rPr>
        <w:t>)</w:t>
      </w:r>
      <w:r w:rsidRPr="00AC3820">
        <w:rPr>
          <w:i/>
          <w:iCs/>
          <w:color w:val="000000" w:themeColor="text1"/>
        </w:rPr>
        <w:t xml:space="preserve"> orientation.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 </w:t>
      </w:r>
    </w:p>
    <w:p w14:paraId="1467539A" w14:textId="77777777" w:rsidR="00064448" w:rsidRPr="00AC3820" w:rsidRDefault="00064448" w:rsidP="003B1FA2">
      <w:pPr>
        <w:pStyle w:val="Body"/>
        <w:rPr>
          <w:i/>
          <w:iCs/>
          <w:color w:val="000000" w:themeColor="text1"/>
        </w:rPr>
      </w:pPr>
    </w:p>
    <w:p w14:paraId="5AFEFB9B" w14:textId="3CDB0E9B"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This study is primarily oriented to stakeholder-salience theory as developed by Mitchell et al. (1997) and situated within broader stakeholder scholarship (Donaldson &amp; Preston, 1995; Freeman et al., 2004, 2020). Value-creation stakeholder theory states why competing claims matter: recovery is cooperative value creation and trade among interdependent parties, not a single-objective technical restore (Freeman et al., 2020). Stakeholder-salience theory then explains that organizational actors prioritize those claims based on managerial judgments of perceived power, legitimacy, and urgency (Mitchell et al., 1997; Dorobantu et al., 2024). In SME ITDRPaaS environments this lens is relevant because disruption compresses time and intensifies conflict over priorities, authority, and acceptable proof of recovery (Lowry et al., 2025). The literature review is warranted because current scholarship does not specify how SME IT managers operationalize salience judgments into executable recovery governance during named incidents—who is authorized to decide, when escalation occurs, and what evidence is accepted as sufficient proof of recoverability (Freeman et al., 2020; Lowry et al., 2025). Accordingly, the study uses generic qualitative inquiry to analyze IT-manager accounts of stakeholder interactions, decision points, escalation episodes, and evidence-definition practices (Caelli et al., 2003; Kahlke, 2014).</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AC3820">
        <w:rPr>
          <w:color w:val="000000" w:themeColor="text1"/>
        </w:rPr>
      </w:r>
    </w:p>
    <w:p w14:paraId="03076026" w14:textId="77777777" w:rsidR="00C92BAE" w:rsidRPr="00AC3820" w:rsidRDefault="00145206" w:rsidP="003B1FA2">
      <w:pPr>
        <w:pStyle w:val="Heading5"/>
        <w:rPr>
          <w:color w:val="000000" w:themeColor="text1"/>
        </w:rPr>
      </w:pPr>
      <w:r w:rsidRPr="00AC3820">
        <w:rPr>
          <w:color w:val="000000" w:themeColor="text1"/>
        </w:rPr>
        <w:t>Efforts to Address the Problem</w:t>
      </w:r>
    </w:p>
    <w:p w14:paraId="4D00486D" w14:textId="77777777" w:rsidR="003B1FA2" w:rsidRPr="00AC3820" w:rsidRDefault="00145206" w:rsidP="003B1FA2">
      <w:pPr>
        <w:pStyle w:val="Body"/>
        <w:rPr>
          <w:i/>
          <w:iCs/>
          <w:color w:val="000000" w:themeColor="text1"/>
        </w:rPr>
      </w:pPr>
      <w:r w:rsidRPr="00AC3820">
        <w:rPr>
          <w:i/>
          <w:iCs/>
          <w:color w:val="000000" w:themeColor="text1"/>
        </w:rPr>
        <w:t xml:space="preserve">Provide a synthesized review of the scholarly literature to expose, explain, and analyze previous scholarly efforts to address the problem.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1EE76767" w14:textId="77777777" w:rsidR="003B1FA2" w:rsidRPr="00AC3820" w:rsidRDefault="003B1FA2" w:rsidP="003B1FA2">
      <w:pPr>
        <w:pStyle w:val="Body"/>
        <w:rPr>
          <w:i/>
          <w:iCs/>
          <w:color w:val="000000" w:themeColor="text1"/>
        </w:rPr>
      </w:pPr>
      <w:r w:rsidRPr="00AC3820">
        <w:rPr>
          <w:i/>
          <w:iCs/>
          <w:color w:val="000000" w:themeColor="text1"/>
        </w:rPr>
        <w:t xml:space="preserve"> </w:t>
      </w:r>
    </w:p>
    <w:p w14:paraId="2E7690D1" w14:textId="77777777" w:rsidR="00064448" w:rsidRPr="00AC3820" w:rsidRDefault="00064448" w:rsidP="003B1FA2">
      <w:pPr>
        <w:pStyle w:val="Body"/>
        <w:rPr>
          <w:rFonts w:cs="Times New Roman"/>
          <w:color w:val="000000" w:themeColor="text1"/>
          <w:sz w:val="24"/>
          <w:szCs w:val="21"/>
        </w:rPr>
      </w:pPr>
    </w:p>
    <w:p w14:paraId="159E76D3" w14:textId="17B03046" w:rsidR="00064448" w:rsidRPr="00AC3820" w:rsidRDefault="00064448" w:rsidP="00064448">
      <w:pPr>
        <w:pStyle w:val="Body"/>
        <w:spacing w:line="480" w:lineRule="auto"/>
        <w:ind w:firstLine="720"/>
        <w:rPr>
          <w:rFonts w:cs="Times New Roman"/>
          <w:i/>
          <w:iCs/>
          <w:color w:val="000000" w:themeColor="text1"/>
          <w:sz w:val="24"/>
          <w:szCs w:val="24"/>
        </w:rPr>
      </w:pPr>
      <w:r w:rsidRPr="004B3856">
        <w:rPr>
          <w:rFonts w:cs="Times New Roman" w:ascii="Times New Roman" w:hAnsi="Times New Roman" w:eastAsia="Times New Roman"/>
          <w:color w:val="000000" w:themeColor="text1"/>
          <w:sz w:val="24"/>
          <w:szCs w:val="24"/>
          <w:highlight w:val="cyan"/>
        </w:rPr>
        <w:t>Prior studies examined SME IT and network managers’ accounts of recovery governance through stakeholder-salience theory (Mitchell et al., 1997). Stakeholder-salience research shows that organizational actors prioritize claims based on perceived power, legitimacy, and urgency, which shapes which claims receive attention and which recovery actions are authorized in time-sensitive decisions (Mitchell et al., 1997). In SME ITDRPaaS environments, that lens is appropriate because disruption compresses decision time and intensifies conflict over priorities, authority, and acceptable proof of recovery (Lowry et al., 2025; Park et al., 2023). The present study focuses on how SME IT and network managers describe and operationalize those judgments during real incidents: which roles are authorized to decide, when escalation is triggered, and what evidence is accepted as sufficient proof of recoverability. Generic qualitative interviews will collect those named-event accounts rather than vendor, executive-only, or compliance-checklist views (Caelli et al., 2003; Kahlke, 2014).</w:t>
      </w:r>
      <w:r w:rsidRPr="00AC3820">
        <w:rPr>
          <w:rFonts w:cs="Times New Roman"/>
          <w:color w:val="000000" w:themeColor="text1"/>
          <w:sz w:val="24"/>
          <w:szCs w:val="24"/>
        </w:rPr>
      </w:r>
      <w:r w:rsidR="004B3856">
        <w:rPr>
          <w:rFonts w:cs="Times New Roman"/>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color w:val="000000" w:themeColor="text1"/>
          <w:sz w:val="24"/>
          <w:szCs w:val="24"/>
        </w:rPr>
      </w:r>
      <w:r w:rsidRPr="004B3856">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b/>
          <w:bCs/>
          <w:color w:val="000000" w:themeColor="text1"/>
          <w:sz w:val="24"/>
          <w:szCs w:val="24"/>
        </w:rPr>
      </w:r>
      <w:r w:rsidR="00C9264C" w:rsidRPr="00AC3820">
        <w:rPr>
          <w:rStyle w:val="Strong"/>
          <w:rFonts w:cs="Times New Roman"/>
          <w:b w:val="0"/>
          <w:bCs w:val="0"/>
          <w:color w:val="000000" w:themeColor="text1"/>
          <w:sz w:val="24"/>
          <w:szCs w:val="24"/>
        </w:rPr>
      </w:r>
      <w:r w:rsidR="00270594" w:rsidRPr="00AC3820">
        <w:rPr>
          <w:rStyle w:val="Strong"/>
          <w:rFonts w:cs="Times New Roman"/>
          <w:b w:val="0"/>
          <w:bCs w:val="0"/>
          <w:color w:val="000000" w:themeColor="text1"/>
          <w:sz w:val="24"/>
          <w:szCs w:val="24"/>
        </w:rPr>
      </w:r>
      <w:r w:rsidR="00C9264C" w:rsidRPr="00AC3820">
        <w:rPr>
          <w:rStyle w:val="Strong"/>
          <w:rFonts w:cs="Times New Roman"/>
          <w:b w:val="0"/>
          <w:bCs w:val="0"/>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p>
    <w:p w14:paraId="7B412868" w14:textId="77777777" w:rsidR="00145206" w:rsidRPr="00AC3820" w:rsidRDefault="00145206" w:rsidP="003B1FA2">
      <w:pPr>
        <w:pStyle w:val="Heading5"/>
        <w:rPr>
          <w:color w:val="000000" w:themeColor="text1"/>
        </w:rPr>
      </w:pPr>
      <w:r w:rsidRPr="00AC3820">
        <w:rPr>
          <w:color w:val="000000" w:themeColor="text1"/>
        </w:rPr>
        <w:t>Synthesis of the Evidence</w:t>
      </w:r>
    </w:p>
    <w:p w14:paraId="0DB820FC" w14:textId="77777777" w:rsidR="003B1FA2" w:rsidRPr="00AC3820" w:rsidRDefault="00145206" w:rsidP="003B1FA2">
      <w:pPr>
        <w:pStyle w:val="Body"/>
        <w:rPr>
          <w:i/>
          <w:iCs/>
          <w:color w:val="000000" w:themeColor="text1"/>
        </w:rPr>
      </w:pPr>
      <w:r w:rsidRPr="00AC3820">
        <w:rPr>
          <w:i/>
          <w:iCs/>
          <w:color w:val="000000" w:themeColor="text1"/>
        </w:rPr>
        <w:t>Provide a logically organized and synthesize</w:t>
      </w:r>
      <w:r w:rsidR="00E43461" w:rsidRPr="00AC3820">
        <w:rPr>
          <w:i/>
          <w:iCs/>
          <w:color w:val="000000" w:themeColor="text1"/>
        </w:rPr>
        <w:t>d</w:t>
      </w:r>
      <w:r w:rsidRPr="00AC3820">
        <w:rPr>
          <w:i/>
          <w:iCs/>
          <w:color w:val="000000" w:themeColor="text1"/>
        </w:rPr>
        <w:t xml:space="preserve"> review and analysis of the literature in close alignment with the topic, problem, and gap.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6BD6191E" w14:textId="77777777" w:rsidR="002B52AA" w:rsidRPr="00AC3820" w:rsidRDefault="002B52AA" w:rsidP="003B1FA2">
      <w:pPr>
        <w:pStyle w:val="Body"/>
        <w:rPr>
          <w:i/>
          <w:iCs/>
          <w:color w:val="000000" w:themeColor="text1"/>
        </w:rPr>
      </w:pPr>
    </w:p>
    <w:p w14:paraId="0F8E8F3C" w14:textId="77777777" w:rsidR="002B52AA" w:rsidRPr="00AC3820" w:rsidRDefault="002B52AA" w:rsidP="002B52AA">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 xml:space="preserve">The cumulative evidence across stakeholder-salience theory and U.S.-based IT governance and cybersecurity oversight research converges on a consistent insight: recovery stability is less a function of technical tooling and more a function of how authority is structured and enacted under pressure. Stakeholder-salience theory explains how power, legitimacy, and urgency dynamically reorder decision priorities during disruption, shaping whose claims define “what matters now” and which tradeoffs become acceptable (Mitchell et al., 1997). Governance findings likewise indicate that decision allocation and coordination capacity influence crisis performance, such that clearer authority structures are associated with more stable outcomes during disruption response (Park et al., 2023). Oversight research further suggests that fragile supervision and limited expertise can degrade governance quality and amplify inconsistency in operational execution when urgency escalates (Lowry et al., 2025).  </w:t>
      </w:r>
    </w:p>
    <w:p w14:paraId="6B19A385" w14:textId="77777777" w:rsidR="002B52AA" w:rsidRPr="00AC3820" w:rsidRDefault="002B52AA" w:rsidP="002B52AA">
      <w:pPr>
        <w:spacing w:line="480" w:lineRule="auto"/>
        <w:ind w:firstLine="720"/>
        <w:rPr>
          <w:color w:val="000000" w:themeColor="text1"/>
          <w:szCs w:val="28"/>
        </w:rPr>
      </w:pPr>
    </w:p>
    <w:p w14:paraId="51A32465" w14:textId="77777777" w:rsidR="002B52AA" w:rsidRPr="00AC3820" w:rsidRDefault="002B52AA" w:rsidP="002B52AA">
      <w:pPr>
        <w:spacing w:line="480" w:lineRule="auto"/>
        <w:ind w:firstLine="720"/>
        <w:rPr>
          <w:color w:val="000000" w:themeColor="text1"/>
          <w:szCs w:val="28"/>
        </w:rPr>
      </w:pPr>
    </w:p>
    <w:p w14:paraId="7AB812ED" w14:textId="1A6B8DE3" w:rsidR="002B52AA" w:rsidRPr="00AC3820" w:rsidRDefault="002B52AA" w:rsidP="002B52AA">
      <w:pPr>
        <w:spacing w:line="480" w:lineRule="auto"/>
        <w:ind w:firstLine="720"/>
        <w:rPr>
          <w:color w:val="000000" w:themeColor="text1"/>
        </w:rPr>
      </w:pPr>
      <w:r w:rsidRPr="00AC3820">
        <w:rPr>
          <w:rFonts w:ascii="Times New Roman" w:hAnsi="Times New Roman" w:eastAsia="Times New Roman"/>
          <w:b w:val="0"/>
          <w:color w:val="000000" w:themeColor="text1"/>
          <w:sz w:val="24"/>
          <w:szCs w:val="28"/>
        </w:rPr>
        <w:t>When synthesized, these streams still leave a critical interpretive gap central to Stakeholder-Salience Governance of ITDRPaaS in SMEs: they do not fully explain how SME IT/network managers experience salience shifts and translate them into the governance-to-assurance chain—decision rights, escalation pathways, and defensible evidence standards, that are needed to produce and defend recoverability assurance in ITDRPaaS settings (Lowry et al., 2025; Park et al., 2023). In this context, IT strategy is treated as articulated continuity intent (risk tolerance, critical-service priorities, and acceptable downtime), and the gap concerns how IT/network managers translate that intent into decision-rights governance—who decides, when escalation occurs, and what evidence is required, under salience pressure (Lowry et al., 2025; Mitchell et al., 1997). In practice, salience contests shape which integrity risks are tolerated and what counts as “proof” under time pressure, yet the literature under-specifies the network-management-level negotiation where accountability is most acute and authority often remains ambiguous (Lowry et al., 2025). Accordingly, a generic qualitative inquiry is warranted to examine how SME IT/network managers perceive, interpret, and operationalize salience-driven judgments through decision rights, escalation pathways, and evidence practices that contribute to consistent and defensible recoverability assurance in ITDRPaaS environments (Caelli et al., 2003; Kahlke, 2014; Lowry et al., 2025).</w:t>
      </w:r>
      <w:r w:rsidRPr="008C1B5E">
        <w:rPr>
          <w:color w:val="000000" w:themeColor="text1"/>
          <w:szCs w:val="28"/>
          <w:highlight w:val="cyan"/>
        </w:rPr>
      </w:r>
      <w:r w:rsidRPr="00AC3820">
        <w:rPr>
          <w:color w:val="000000" w:themeColor="text1"/>
          <w:szCs w:val="28"/>
        </w:rPr>
      </w:r>
      <w:r w:rsidRPr="008C1B5E">
        <w:rPr>
          <w:color w:val="000000" w:themeColor="text1"/>
          <w:szCs w:val="28"/>
          <w:highlight w:val="cyan"/>
        </w:rPr>
      </w:r>
      <w:r w:rsidRPr="00AC3820">
        <w:rPr>
          <w:color w:val="000000" w:themeColor="text1"/>
          <w:szCs w:val="28"/>
        </w:rPr>
      </w:r>
      <w:r w:rsidRPr="00AC3820">
        <w:rPr>
          <w:color w:val="000000" w:themeColor="text1"/>
        </w:rPr>
      </w:r>
      <w:r w:rsidR="0019525A" w:rsidRPr="00AC3820">
        <w:rPr>
          <w:color w:val="000000" w:themeColor="text1"/>
        </w:rPr>
      </w:r>
    </w:p>
    <w:p w14:paraId="02BAFEF2" w14:textId="77777777" w:rsidR="00145206" w:rsidRPr="00AC3820" w:rsidRDefault="00DC3916" w:rsidP="00E56BF8">
      <w:pPr>
        <w:pStyle w:val="Heading2"/>
        <w:rPr>
          <w:color w:val="000000" w:themeColor="text1"/>
        </w:rPr>
      </w:pPr>
      <w:r w:rsidRPr="00AC3820">
        <w:rPr>
          <w:color w:val="000000" w:themeColor="text1"/>
        </w:rPr>
        <w:t xml:space="preserve">Purpose of the Project and </w:t>
      </w:r>
      <w:r w:rsidR="003B1FA2" w:rsidRPr="00AC3820">
        <w:rPr>
          <w:color w:val="000000" w:themeColor="text1"/>
        </w:rPr>
        <w:t>Project Questions</w:t>
      </w:r>
    </w:p>
    <w:p w14:paraId="5AD32C28" w14:textId="77777777" w:rsidR="003B1FA2" w:rsidRPr="00AC3820" w:rsidRDefault="00DC3916" w:rsidP="00891FB6">
      <w:pPr>
        <w:pStyle w:val="Body"/>
        <w:shd w:val="clear" w:color="auto" w:fill="E7E6E6"/>
        <w:rPr>
          <w:i/>
          <w:iCs/>
          <w:color w:val="000000" w:themeColor="text1"/>
        </w:rPr>
      </w:pPr>
      <w:r w:rsidRPr="00AC3820">
        <w:rPr>
          <w:i/>
          <w:iCs/>
          <w:color w:val="000000" w:themeColor="text1"/>
        </w:rPr>
        <w:t>Purpose and q</w:t>
      </w:r>
      <w:r w:rsidR="003B1FA2" w:rsidRPr="00AC3820">
        <w:rPr>
          <w:i/>
          <w:iCs/>
          <w:color w:val="000000" w:themeColor="text1"/>
        </w:rPr>
        <w:t>uestions align with topic, problem, and supporting evidence, including definition of terms.</w:t>
      </w:r>
    </w:p>
    <w:p w14:paraId="7251D4BF" w14:textId="77777777" w:rsidR="003B1FA2" w:rsidRPr="00AC3820" w:rsidRDefault="003B1FA2" w:rsidP="003B1FA2">
      <w:pPr>
        <w:pStyle w:val="Body"/>
        <w:rPr>
          <w:i/>
          <w:iCs/>
          <w:color w:val="000000" w:themeColor="text1"/>
        </w:rPr>
      </w:pPr>
    </w:p>
    <w:p w14:paraId="485B888A" w14:textId="77777777" w:rsidR="00DC3916" w:rsidRPr="00AC3820" w:rsidRDefault="00DC3916" w:rsidP="00DC3916">
      <w:pPr>
        <w:pStyle w:val="Heading2"/>
        <w:spacing w:before="247" w:after="0"/>
        <w:rPr>
          <w:color w:val="000000" w:themeColor="text1"/>
          <w:sz w:val="22"/>
          <w:szCs w:val="22"/>
        </w:rPr>
      </w:pPr>
      <w:r w:rsidRPr="00AC3820">
        <w:rPr>
          <w:color w:val="000000" w:themeColor="text1"/>
          <w:sz w:val="22"/>
          <w:szCs w:val="22"/>
        </w:rPr>
        <w:t>Purpose of the Project</w:t>
      </w:r>
    </w:p>
    <w:p w14:paraId="7A91F836" w14:textId="77777777" w:rsidR="00DC3916" w:rsidRPr="00AC3820" w:rsidRDefault="00DC3916" w:rsidP="00DC3916">
      <w:pPr>
        <w:rPr>
          <w:i/>
          <w:iCs/>
          <w:color w:val="000000" w:themeColor="text1"/>
        </w:rPr>
      </w:pPr>
      <w:r w:rsidRPr="00AC3820">
        <w:rPr>
          <w:i/>
          <w:iCs/>
          <w:color w:val="000000" w:themeColor="text1"/>
        </w:rPr>
        <w:t>Provide one-to-two sentences aligned with the topic, problem, gap in practice, and project question to state the purpose of the project.</w:t>
      </w:r>
    </w:p>
    <w:p w14:paraId="4CEC26E7" w14:textId="77777777" w:rsidR="002B52AA" w:rsidRPr="00AC3820" w:rsidRDefault="002B52AA" w:rsidP="00DC3916">
      <w:pPr>
        <w:rPr>
          <w:i/>
          <w:iCs/>
          <w:color w:val="000000" w:themeColor="text1"/>
        </w:rPr>
      </w:pPr>
    </w:p>
    <w:p w14:paraId="1A9D4C5A" w14:textId="77777777" w:rsidR="002B52AA" w:rsidRPr="00AC3820" w:rsidRDefault="002B52AA" w:rsidP="00DC3916">
      <w:pPr>
        <w:rPr>
          <w:i/>
          <w:iCs/>
          <w:color w:val="000000" w:themeColor="text1"/>
        </w:rPr>
      </w:pPr>
    </w:p>
    <w:p w14:paraId="1F86E9C5" w14:textId="75C30AD1" w:rsidR="002B52AA" w:rsidRPr="00AC3820" w:rsidRDefault="00FB17F9" w:rsidP="002B52AA">
      <w:pPr>
        <w:spacing w:line="480" w:lineRule="auto"/>
        <w:ind w:firstLine="720"/>
        <w:rPr>
          <w:color w:val="000000" w:themeColor="text1"/>
        </w:rPr>
      </w:pPr>
      <w:r w:rsidRPr="00AC3820">
        <w:rPr>
          <w:rFonts w:ascii="Helvetica" w:hAnsi="Helvetica" w:cs="Helvetica"/>
          <w:color w:val="000000" w:themeColor="text1"/>
        </w:rPr>
        <w:lastRenderedPageBreak/>
        <w:t>The purpose of the project is to explore</w:t>
      </w:r>
      <w:r w:rsidR="002B52AA" w:rsidRPr="00AC3820">
        <w:rPr>
          <w:color w:val="000000" w:themeColor="text1"/>
        </w:rPr>
        <w:t xml:space="preserve"> </w:t>
      </w:r>
      <w:r w:rsidR="00480DEB" w:rsidRPr="00AC3820">
        <w:rPr>
          <w:rFonts w:ascii="Helvetica" w:hAnsi="Helvetica" w:cs="Helvetica"/>
          <w:color w:val="000000" w:themeColor="text1"/>
        </w:rPr>
        <w:t>the perceptions of U.S. SME IT/network managers regarding the establishment and governance of IT Disaster Recovery Plan as a Service (ITDRPaaS) in environments where competing stakeholder priorities influence disaster recovery decisions.</w:t>
      </w:r>
      <w:r w:rsidR="00480DEB" w:rsidRPr="00AC3820">
        <w:rPr>
          <w:color w:val="000000" w:themeColor="text1"/>
        </w:rPr>
        <w:t xml:space="preserve"> </w:t>
      </w:r>
      <w:r w:rsidR="002B52AA" w:rsidRPr="00AC3820">
        <w:rPr>
          <w:color w:val="000000" w:themeColor="text1"/>
        </w:rPr>
        <w:t>This purpose addresses the practice gap of limited understanding of how SME IT/network managers manage competing stakeholder demands in methods that shape recovery priorities, decision rights, escalation pathways, and assurances of recoverability. This inquiry is closely aligned with the broader problem that SMEs frequently encounter inconsistent governance in disaster recovery under pressure, which can undermine coordinated response efforts, diminish network resilience, and compromise defensible recovery outcomes.</w:t>
      </w:r>
    </w:p>
    <w:p w14:paraId="15C2F293" w14:textId="77777777" w:rsidR="003B1FA2" w:rsidRPr="00AC3820" w:rsidRDefault="003B1FA2" w:rsidP="003B1FA2">
      <w:pPr>
        <w:pStyle w:val="Heading5"/>
        <w:rPr>
          <w:color w:val="000000" w:themeColor="text1"/>
        </w:rPr>
      </w:pPr>
      <w:r w:rsidRPr="00AC3820">
        <w:rPr>
          <w:color w:val="000000" w:themeColor="text1"/>
        </w:rPr>
        <w:t>Statement of Primary Question(s)</w:t>
      </w:r>
    </w:p>
    <w:p w14:paraId="72E0BA3B" w14:textId="77777777" w:rsidR="003B1FA2" w:rsidRPr="00AC3820" w:rsidRDefault="003B1FA2" w:rsidP="003B1FA2">
      <w:pPr>
        <w:pStyle w:val="Body"/>
        <w:rPr>
          <w:i/>
          <w:iCs/>
          <w:color w:val="000000" w:themeColor="text1"/>
        </w:rPr>
      </w:pPr>
      <w:r w:rsidRPr="00AC3820">
        <w:rPr>
          <w:i/>
          <w:iCs/>
          <w:color w:val="000000" w:themeColor="text1"/>
        </w:rPr>
        <w:t>Provide 1-3 project questions that align with the topic, problem, and supporting evidence within the program. Suggested length 1 paragraph.</w:t>
      </w:r>
    </w:p>
    <w:p w14:paraId="3255588E" w14:textId="77777777" w:rsidR="002B52AA" w:rsidRPr="00AC3820" w:rsidRDefault="002B52AA" w:rsidP="003B1FA2">
      <w:pPr>
        <w:pStyle w:val="Body"/>
        <w:rPr>
          <w:i/>
          <w:iCs/>
          <w:color w:val="000000" w:themeColor="text1"/>
        </w:rPr>
      </w:pPr>
    </w:p>
    <w:p w14:paraId="0F330174" w14:textId="58AC0033" w:rsidR="002B52AA" w:rsidRPr="00AC3820" w:rsidRDefault="00480DEB" w:rsidP="00480DEB">
      <w:pPr>
        <w:spacing w:line="480" w:lineRule="auto"/>
        <w:rPr>
          <w:color w:val="000000" w:themeColor="text1"/>
          <w:szCs w:val="28"/>
        </w:rPr>
      </w:pPr>
      <w:r w:rsidRPr="00AC3820">
        <w:rPr>
          <w:color w:val="000000" w:themeColor="text1"/>
          <w:szCs w:val="28"/>
        </w:rPr>
        <w:t>T</w:t>
      </w:r>
      <w:r w:rsidR="002B52AA" w:rsidRPr="00AC3820">
        <w:rPr>
          <w:color w:val="000000" w:themeColor="text1"/>
          <w:szCs w:val="28"/>
        </w:rPr>
        <w:t xml:space="preserve">he primary research question for this study is: </w:t>
      </w:r>
      <w:r w:rsidR="002B52AA" w:rsidRPr="00AC3820">
        <w:rPr>
          <w:rStyle w:val="Strong"/>
          <w:b w:val="0"/>
          <w:bCs w:val="0"/>
          <w:color w:val="000000" w:themeColor="text1"/>
          <w:szCs w:val="28"/>
        </w:rPr>
        <w:t>What are the perceptions of U.S. SME IT/network managers regarding the establishment and governance of IT Disaster Recovery Plan as a Service (ITDRPaaS) in environments where competing stakeholder priorities influence disaster recovery decisions?</w:t>
      </w:r>
      <w:r w:rsidR="002B52AA" w:rsidRPr="00AC3820">
        <w:rPr>
          <w:b/>
          <w:bCs/>
          <w:color w:val="000000" w:themeColor="text1"/>
          <w:szCs w:val="28"/>
        </w:rPr>
        <w:t xml:space="preserve"> </w:t>
      </w:r>
      <w:r w:rsidR="002B52AA" w:rsidRPr="00AC3820">
        <w:rPr>
          <w:color w:val="000000" w:themeColor="text1"/>
          <w:szCs w:val="28"/>
        </w:rPr>
        <w:t>This inquiry is guided by stakeholder-salience theory, which frames how perceived power, legitimacy, and urgency shape governance actions and recovery prioritization (</w:t>
      </w:r>
      <w:r w:rsidR="002B52AA" w:rsidRPr="008C1B5E">
        <w:rPr>
          <w:color w:val="000000" w:themeColor="text1"/>
          <w:szCs w:val="28"/>
          <w:highlight w:val="cyan"/>
        </w:rPr>
        <w:t>Mitchell et al., 1997</w:t>
      </w:r>
      <w:r w:rsidR="002B52AA" w:rsidRPr="00AC3820">
        <w:rPr>
          <w:color w:val="000000" w:themeColor="text1"/>
          <w:szCs w:val="28"/>
        </w:rPr>
        <w:t>).</w:t>
      </w:r>
    </w:p>
    <w:p w14:paraId="32CB65A8" w14:textId="77777777" w:rsidR="003B1FA2" w:rsidRPr="00AC3820" w:rsidRDefault="003B1FA2" w:rsidP="003B1FA2">
      <w:pPr>
        <w:pStyle w:val="Heading5"/>
        <w:rPr>
          <w:color w:val="000000" w:themeColor="text1"/>
        </w:rPr>
      </w:pPr>
      <w:r w:rsidRPr="00AC3820">
        <w:rPr>
          <w:color w:val="000000" w:themeColor="text1"/>
        </w:rPr>
        <w:t>Definition of Terms</w:t>
      </w:r>
    </w:p>
    <w:p w14:paraId="40079F72" w14:textId="77777777" w:rsidR="003B1FA2" w:rsidRPr="00AC3820" w:rsidRDefault="003B1FA2" w:rsidP="003B1FA2">
      <w:pPr>
        <w:pStyle w:val="Body"/>
        <w:rPr>
          <w:i/>
          <w:iCs/>
          <w:color w:val="000000" w:themeColor="text1"/>
        </w:rPr>
      </w:pPr>
      <w:r w:rsidRPr="00AC3820">
        <w:rPr>
          <w:i/>
          <w:iCs/>
          <w:color w:val="000000" w:themeColor="text1"/>
        </w:rPr>
        <w:t xml:space="preserve">Present a list of terms and definitions that relate to the program, topic, problem, gap, program, and project framework. </w:t>
      </w:r>
      <w:r w:rsidR="00F262B1" w:rsidRPr="00AC3820">
        <w:rPr>
          <w:i/>
          <w:iCs/>
          <w:color w:val="000000" w:themeColor="text1"/>
        </w:rPr>
        <w:t xml:space="preserve">This is a working section which you will continue to update in future courses.  </w:t>
      </w:r>
      <w:r w:rsidRPr="00AC3820">
        <w:rPr>
          <w:i/>
          <w:iCs/>
          <w:color w:val="000000" w:themeColor="text1"/>
        </w:rPr>
        <w:t xml:space="preserve">Suggested length 1 paragraph. </w:t>
      </w:r>
    </w:p>
    <w:p w14:paraId="7F7CA1D7" w14:textId="77777777" w:rsidR="002B52AA" w:rsidRPr="00AC3820" w:rsidRDefault="002B52AA" w:rsidP="003B1FA2">
      <w:pPr>
        <w:pStyle w:val="Body"/>
        <w:rPr>
          <w:i/>
          <w:iCs/>
          <w:color w:val="000000" w:themeColor="text1"/>
        </w:rPr>
      </w:pPr>
    </w:p>
    <w:p w14:paraId="6B59B59B" w14:textId="5F0EC9D4" w:rsidR="002B52AA" w:rsidRPr="00AC3820" w:rsidRDefault="002B52AA" w:rsidP="002B52AA">
      <w:pPr>
        <w:spacing w:line="480" w:lineRule="auto"/>
        <w:rPr>
          <w:color w:val="000000" w:themeColor="text1"/>
        </w:rPr>
      </w:pPr>
      <w:commentRangeStart w:id="9"/>
      <w:commentRangeStart w:id="10"/>
      <w:r w:rsidRPr="00AE2749">
        <w:rPr>
          <w:rFonts w:ascii="Times New Roman" w:hAnsi="Times New Roman" w:eastAsia="Times New Roman"/>
          <w:i/>
          <w:iCs/>
          <w:color w:val="000000" w:themeColor="text1"/>
          <w:sz w:val="24"/>
          <w:highlight w:val="yellow"/>
        </w:rPr>
        <w:t>ITDRPaaS. A governance-centered recovery capability in which an SME structures authority, escalation, and oversight so recovery decisions can be executed and defended under disruption rather than relying on tools or contracts that do not hold under pressure (Lowry et al., 2025).</w:t>
      </w:r>
      <w:commentRangeEnd w:id="9"/>
      <w:r w:rsidR="002E6F1C" w:rsidRPr="00AE2749">
        <w:rPr>
          <w:rStyle w:val="CommentReference"/>
          <w:i/>
          <w:iCs/>
          <w:color w:val="000000" w:themeColor="text1"/>
          <w:sz w:val="24"/>
          <w:szCs w:val="24"/>
          <w:highlight w:val="yellow"/>
        </w:rPr>
      </w:r>
      <w:commentRangeEnd w:id="10"/>
      <w:r w:rsidR="00D92E80" w:rsidRPr="00AE2749">
        <w:rPr>
          <w:rStyle w:val="CommentReference"/>
          <w:i/>
          <w:iCs/>
          <w:color w:val="000000" w:themeColor="text1"/>
          <w:sz w:val="24"/>
          <w:szCs w:val="24"/>
          <w:highlight w:val="yellow"/>
        </w:rPr>
      </w:r>
      <w:r w:rsidRPr="00AE2749">
        <w:rPr>
          <w:i/>
          <w:iCs/>
          <w:color w:val="000000" w:themeColor="text1"/>
          <w:highlight w:val="yellow"/>
        </w:rPr>
      </w:r>
      <w:r w:rsidRPr="00AE2749">
        <w:rPr>
          <w:color w:val="000000" w:themeColor="text1"/>
          <w:highlight w:val="yellow"/>
        </w:rPr>
      </w:r>
      <w:r w:rsidRPr="00AC3820">
        <w:rPr>
          <w:color w:val="000000" w:themeColor="text1"/>
        </w:rPr>
      </w:r>
      <w:r w:rsidR="002E6F1C" w:rsidRPr="00AC3820">
        <w:rPr>
          <w:color w:val="000000" w:themeColor="text1"/>
        </w:rPr>
      </w:r>
      <w:r w:rsidRPr="00AC3820">
        <w:rPr>
          <w:color w:val="000000" w:themeColor="text1"/>
        </w:rPr>
      </w:r>
      <w:r w:rsidRPr="00AC3820">
        <w:rPr>
          <w:color w:val="000000" w:themeColor="text1"/>
        </w:rPr>
      </w:r>
    </w:p>
    <w:p w14:paraId="4C0845C4" w14:textId="710BA40F" w:rsidR="00AB4E8B" w:rsidRPr="00AC3820" w:rsidRDefault="00AB4E8B" w:rsidP="00AB4E8B">
      <w:pPr>
        <w:spacing w:line="480" w:lineRule="auto"/>
        <w:rPr>
          <w:color w:val="000000" w:themeColor="text1"/>
        </w:rPr>
      </w:pPr>
      <w:r w:rsidRPr="00AE2749">
        <w:rPr>
          <w:rFonts w:ascii="Times New Roman" w:hAnsi="Times New Roman" w:eastAsia="Times New Roman"/>
          <w:i/>
          <w:iCs/>
          <w:color w:val="000000" w:themeColor="text1"/>
          <w:sz w:val="24"/>
          <w:highlight w:val="yellow"/>
        </w:rPr>
        <w:t>Information Technology Disaster Recovery as a Service (ITDRPaaS). Use the ITDRPaaS definition above; the longer expansion is the same construct, not a second term.</w:t>
      </w:r>
      <w:r w:rsidRPr="00AC3820">
        <w:rPr>
          <w:color w:val="000000" w:themeColor="text1"/>
        </w:rPr>
      </w:r>
    </w:p>
    <w:p w14:paraId="6B98E8ED" w14:textId="7E813FDA" w:rsidR="002B52AA" w:rsidRPr="00AC3820" w:rsidRDefault="002B52AA" w:rsidP="002B52AA">
      <w:pPr>
        <w:spacing w:line="480" w:lineRule="auto"/>
        <w:rPr>
          <w:color w:val="000000" w:themeColor="text1"/>
        </w:rPr>
      </w:pPr>
      <w:r w:rsidRPr="00D00934">
        <w:rPr>
          <w:i/>
          <w:iCs/>
          <w:color w:val="000000" w:themeColor="text1"/>
          <w:highlight w:val="yellow"/>
        </w:rPr>
        <w:t>Recoverability assurance</w:t>
      </w:r>
      <w:r w:rsidR="002E6F1C" w:rsidRPr="00D00934">
        <w:rPr>
          <w:i/>
          <w:iCs/>
          <w:color w:val="000000" w:themeColor="text1"/>
        </w:rPr>
        <w:t xml:space="preserve">. </w:t>
      </w:r>
      <w:r w:rsidR="00295F7A" w:rsidRPr="00D00934">
        <w:rPr>
          <w:color w:val="000000" w:themeColor="text1"/>
        </w:rPr>
        <w:t xml:space="preserve">The </w:t>
      </w:r>
      <w:r w:rsidR="00295F7A" w:rsidRPr="00AC3820">
        <w:rPr>
          <w:color w:val="000000" w:themeColor="text1"/>
        </w:rPr>
        <w:t>set of</w:t>
      </w:r>
      <w:r w:rsidRPr="00AC3820">
        <w:rPr>
          <w:color w:val="000000" w:themeColor="text1"/>
        </w:rPr>
        <w:t xml:space="preserve"> decision-relevant, reviewable evidence artifacts (e.g., documented restoration outcomes, integrity checks, and recorded authorization actions) that support defensible claims that prioritized services can be restored within tolerance during and after incidents (Lowry et al., 2025). </w:t>
      </w:r>
    </w:p>
    <w:p w14:paraId="642CC268" w14:textId="7A2DEAC6"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Stakeholder-salience dynamics. The disruption-driven shifting dominance of stakeholder claims—based on power, legitimacy, and urgency—that determines whose priorities and risk tolerances govern time-critical recovery tradeoffs (Mitchell et al., 1997).</w:t>
      </w:r>
      <w:r w:rsidR="002E6F1C" w:rsidRPr="00D00934">
        <w:rPr>
          <w:i/>
          <w:iCs/>
          <w:color w:val="000000" w:themeColor="text1"/>
        </w:rPr>
      </w:r>
      <w:r w:rsidR="002E6F1C" w:rsidRPr="00AC3820">
        <w:rPr>
          <w:color w:val="000000" w:themeColor="text1"/>
        </w:rPr>
      </w:r>
      <w:r w:rsidRPr="00AC3820">
        <w:rPr>
          <w:color w:val="000000" w:themeColor="text1"/>
        </w:rPr>
      </w:r>
      <w:r w:rsidRPr="008C1B5E">
        <w:rPr>
          <w:color w:val="000000" w:themeColor="text1"/>
          <w:highlight w:val="cyan"/>
        </w:rPr>
      </w:r>
      <w:r w:rsidRPr="00AC3820">
        <w:rPr>
          <w:color w:val="000000" w:themeColor="text1"/>
        </w:rPr>
      </w:r>
    </w:p>
    <w:p w14:paraId="242B08CB" w14:textId="1B4DC91A"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Decision-rights governance. The explicit allocation of who is authorized to make specific recovery decisions, including speed-versus-integrity tradeoffs, so that IT strategy intent can be converted into executable action without ad hoc authority disputes (Park et al., 2023). Time-critical escalation pathways. Pre-specified authority transitions and trigger rules that accelerate decision movement when urgency rises (Park et al., 2023).</w:t>
      </w:r>
      <w:r w:rsidR="002E6F1C" w:rsidRPr="00D00934">
        <w:rPr>
          <w:i/>
          <w:iCs/>
          <w:color w:val="000000" w:themeColor="text1"/>
        </w:rPr>
      </w:r>
      <w:r w:rsidR="002E6F1C" w:rsidRPr="00AC3820">
        <w:rPr>
          <w:color w:val="000000" w:themeColor="text1"/>
        </w:rPr>
      </w:r>
      <w:r w:rsidRPr="00AC3820">
        <w:rPr>
          <w:color w:val="000000" w:themeColor="text1"/>
        </w:rPr>
      </w:r>
      <w:r w:rsidRPr="00D00934">
        <w:rPr>
          <w:i/>
          <w:iCs/>
          <w:color w:val="000000" w:themeColor="text1"/>
          <w:highlight w:val="yellow"/>
        </w:rPr>
      </w:r>
      <w:r w:rsidR="002E6F1C" w:rsidRPr="00D00934">
        <w:rPr>
          <w:i/>
          <w:iCs/>
          <w:color w:val="000000" w:themeColor="text1"/>
          <w:highlight w:val="yellow"/>
        </w:rPr>
      </w:r>
      <w:r w:rsidR="002E6F1C" w:rsidRPr="00AC3820">
        <w:rPr>
          <w:color w:val="000000" w:themeColor="text1"/>
        </w:rPr>
      </w:r>
      <w:r w:rsidRPr="00AC3820">
        <w:rPr>
          <w:color w:val="000000" w:themeColor="text1"/>
        </w:rPr>
      </w:r>
    </w:p>
    <w:p w14:paraId="21FD14A3" w14:textId="77777777" w:rsidR="002B52AA" w:rsidRPr="00AC3820" w:rsidRDefault="002B52AA" w:rsidP="002B52AA">
      <w:pPr>
        <w:spacing w:line="480" w:lineRule="auto"/>
        <w:rPr>
          <w:b/>
          <w:bCs/>
          <w:color w:val="000000" w:themeColor="text1"/>
        </w:rPr>
      </w:pPr>
    </w:p>
    <w:p w14:paraId="050D703C" w14:textId="06F8C805" w:rsidR="000C5620" w:rsidRPr="00AC3820" w:rsidRDefault="002B52AA" w:rsidP="002B52AA">
      <w:pPr>
        <w:spacing w:line="480" w:lineRule="auto"/>
        <w:rPr>
          <w:color w:val="000000" w:themeColor="text1"/>
        </w:rPr>
      </w:pPr>
      <w:r w:rsidRPr="00AE2749">
        <w:rPr>
          <w:rFonts w:ascii="Times New Roman" w:hAnsi="Times New Roman" w:eastAsia="Times New Roman"/>
          <w:i/>
          <w:iCs/>
          <w:color w:val="000000" w:themeColor="text1"/>
          <w:sz w:val="24"/>
          <w:highlight w:val="yellow"/>
        </w:rPr>
        <w:t>SME IT/network manager. The accountable operational governance actor who coordinates interdependent recovery actions across internal teams and external providers while maintaining credible oversight of continuity decisions under time pressure (Park et al., 2023).</w:t>
      </w:r>
      <w:r w:rsidRPr="00D00934">
        <w:rPr>
          <w:i/>
          <w:iCs/>
          <w:color w:val="000000" w:themeColor="text1"/>
        </w:rPr>
      </w:r>
      <w:r w:rsidR="002E6F1C" w:rsidRPr="00D00934">
        <w:rPr>
          <w:i/>
          <w:iCs/>
          <w:color w:val="000000" w:themeColor="text1"/>
        </w:rPr>
      </w:r>
      <w:r w:rsidR="002E6F1C" w:rsidRPr="00AC3820">
        <w:rPr>
          <w:color w:val="000000" w:themeColor="text1"/>
        </w:rPr>
      </w:r>
      <w:r w:rsidRPr="00AC3820">
        <w:rPr>
          <w:color w:val="000000" w:themeColor="text1"/>
        </w:rPr>
      </w:r>
    </w:p>
    <w:p w14:paraId="6F97580E" w14:textId="77777777" w:rsidR="000C5620" w:rsidRPr="00AC3820" w:rsidRDefault="000C5620" w:rsidP="000C5620">
      <w:pPr>
        <w:pStyle w:val="Body"/>
        <w:pBdr>
          <w:top w:val="single" w:sz="4" w:space="1" w:color="auto"/>
          <w:left w:val="single" w:sz="4" w:space="4" w:color="auto"/>
          <w:bottom w:val="single" w:sz="4" w:space="1" w:color="auto"/>
          <w:right w:val="single" w:sz="4" w:space="4" w:color="auto"/>
        </w:pBdr>
        <w:rPr>
          <w:b/>
          <w:bCs/>
          <w:i/>
          <w:iCs/>
          <w:color w:val="000000" w:themeColor="text1"/>
        </w:rPr>
      </w:pPr>
      <w:r w:rsidRPr="00AC3820">
        <w:rPr>
          <w:b/>
          <w:bCs/>
          <w:i/>
          <w:iCs/>
          <w:color w:val="000000" w:themeColor="text1"/>
        </w:rPr>
        <w:t xml:space="preserve">If you are seeking Topic Endorsement in </w:t>
      </w:r>
      <w:r w:rsidR="00BB3A81" w:rsidRPr="00AC3820">
        <w:rPr>
          <w:b/>
          <w:bCs/>
          <w:i/>
          <w:iCs/>
          <w:color w:val="000000" w:themeColor="text1"/>
        </w:rPr>
        <w:t>RSCH</w:t>
      </w:r>
      <w:r w:rsidRPr="00AC3820">
        <w:rPr>
          <w:b/>
          <w:bCs/>
          <w:i/>
          <w:iCs/>
          <w:color w:val="000000" w:themeColor="text1"/>
        </w:rPr>
        <w:t xml:space="preserve">-V8926 – Doctoral Project Development - Topic Approval, you only need to complete the sections above for the approval.   </w:t>
      </w:r>
    </w:p>
    <w:p w14:paraId="1C19FC03" w14:textId="77777777" w:rsidR="00145206" w:rsidRPr="00AC3820" w:rsidRDefault="00D9774E" w:rsidP="00D9774E">
      <w:pPr>
        <w:pStyle w:val="Heading2"/>
        <w:rPr>
          <w:color w:val="000000" w:themeColor="text1"/>
        </w:rPr>
      </w:pPr>
      <w:r w:rsidRPr="00AC3820">
        <w:rPr>
          <w:color w:val="000000" w:themeColor="text1"/>
        </w:rPr>
        <w:t>Proposed Project Framework</w:t>
      </w:r>
    </w:p>
    <w:p w14:paraId="2BE5BA5C" w14:textId="77777777" w:rsidR="00D9774E" w:rsidRPr="00AC3820" w:rsidRDefault="00D9774E" w:rsidP="00891FB6">
      <w:pPr>
        <w:pStyle w:val="Body"/>
        <w:shd w:val="clear" w:color="auto" w:fill="E7E6E6"/>
        <w:rPr>
          <w:i/>
          <w:iCs/>
          <w:color w:val="000000" w:themeColor="text1"/>
        </w:rPr>
      </w:pPr>
      <w:r w:rsidRPr="00AC3820">
        <w:rPr>
          <w:i/>
          <w:iCs/>
          <w:color w:val="000000" w:themeColor="text1"/>
        </w:rPr>
        <w:t>Methodological approach is clearly defined and includes constructs, phenomena, variables, and population.</w:t>
      </w:r>
    </w:p>
    <w:p w14:paraId="272B28E6" w14:textId="77777777" w:rsidR="00D9774E" w:rsidRPr="00AC3820" w:rsidRDefault="00D9774E" w:rsidP="00D9774E">
      <w:pPr>
        <w:pStyle w:val="Body"/>
        <w:rPr>
          <w:i/>
          <w:iCs/>
          <w:color w:val="000000" w:themeColor="text1"/>
        </w:rPr>
      </w:pPr>
    </w:p>
    <w:p w14:paraId="3DCCD25A" w14:textId="77777777" w:rsidR="00D9774E" w:rsidRPr="00AC3820" w:rsidRDefault="00D9774E" w:rsidP="00D9774E">
      <w:pPr>
        <w:pStyle w:val="Heading5"/>
        <w:rPr>
          <w:color w:val="000000" w:themeColor="text1"/>
        </w:rPr>
      </w:pPr>
      <w:r w:rsidRPr="00AC3820">
        <w:rPr>
          <w:color w:val="000000" w:themeColor="text1"/>
        </w:rPr>
        <w:t>Methodological Approach</w:t>
      </w:r>
    </w:p>
    <w:p w14:paraId="75AE9584" w14:textId="7111C32B" w:rsidR="00D9774E" w:rsidRPr="00AC3820" w:rsidRDefault="00D9774E" w:rsidP="00D9774E">
      <w:pPr>
        <w:pStyle w:val="Body"/>
        <w:rPr>
          <w:i/>
          <w:iCs/>
          <w:color w:val="000000" w:themeColor="text1"/>
        </w:rPr>
      </w:pPr>
      <w:r w:rsidRPr="00AC3820">
        <w:rPr>
          <w:i/>
          <w:iCs/>
          <w:color w:val="000000" w:themeColor="text1"/>
        </w:rPr>
        <w:t>Provide a description and explanation of the methodological approach. The methodological approach must align to the topic, problem, supporting evidence, and data sources. Suggested length 2-3 paragraphs.</w:t>
      </w:r>
    </w:p>
    <w:p w14:paraId="45AAEC74" w14:textId="77777777" w:rsidR="00EB40C0" w:rsidRPr="00AC3820" w:rsidRDefault="00EB40C0" w:rsidP="00F96425">
      <w:pPr>
        <w:rPr>
          <w:color w:val="000000" w:themeColor="text1"/>
        </w:rPr>
      </w:pPr>
    </w:p>
    <w:p w14:paraId="43EFBEFC" w14:textId="60E8DBBC" w:rsidR="00A16ECD" w:rsidRPr="00AC3820" w:rsidRDefault="00F96425" w:rsidP="00E5476D">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The study’s methodological approach is a generic qualitative inquiry (GQI), selected to investigate how U.S. SME IT and network managers perceive and interpret the governance challenges associated with establishing and managing ITDRPaaS (Caelli et al., 2003; Kahlke, 2014; Percy et al., 2015). This approach aligns with the topic and problem because it prioritizes managers’ sense-making of operational recovery processes over a confirmatory audit of written plans (Percy et al., 2015). GQI interview practice uses a flexible protocol that probes for clarification in participants’ terms. Thematic analysis uses prior literature as orientation rather than a rigid coding mandate (Saldaña, 2021; Fereday &amp; Muir-Cochrane, 2006). Honoring participants’ accounts is both an ethical and a methodological discipline: it protects their descriptions, makes researcher influence visible, and keeps interpretations accountable to the named incident.</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Pr="00EB4677">
        <w:rPr>
          <w:color w:val="000000" w:themeColor="text1"/>
          <w:szCs w:val="28"/>
          <w:highlight w:val="yellow"/>
        </w:rPr>
      </w:r>
      <w:r w:rsidR="00EB4677" w:rsidRPr="00EB4677">
        <w:rPr>
          <w:color w:val="000000" w:themeColor="text1"/>
          <w:szCs w:val="28"/>
          <w:highlight w:val="yellow"/>
        </w:rPr>
      </w:r>
      <w:r w:rsidR="00C626CC" w:rsidRPr="00EB4677">
        <w:rPr>
          <w:color w:val="000000" w:themeColor="text1"/>
          <w:szCs w:val="28"/>
          <w:highlight w:val="yellow"/>
        </w:rPr>
      </w:r>
      <w:r w:rsidR="00C626CC" w:rsidRPr="00AC3820">
        <w:rPr>
          <w:color w:val="000000" w:themeColor="text1"/>
          <w:szCs w:val="28"/>
        </w:rPr>
      </w:r>
      <w:r w:rsidR="00F83B07" w:rsidRPr="00AC3820">
        <w:rPr>
          <w:color w:val="000000" w:themeColor="text1"/>
          <w:szCs w:val="28"/>
        </w:rPr>
      </w:r>
      <w:r w:rsidR="0028214A">
        <w:rPr>
          <w:color w:val="000000" w:themeColor="text1"/>
          <w:szCs w:val="28"/>
        </w:rPr>
      </w:r>
      <w:r w:rsidR="00F83B07" w:rsidRPr="00AC3820">
        <w:rPr>
          <w:color w:val="000000" w:themeColor="text1"/>
          <w:szCs w:val="28"/>
        </w:rPr>
      </w:r>
      <w:r w:rsidR="00F83B07" w:rsidRPr="001B1529">
        <w:rPr>
          <w:color w:val="000000" w:themeColor="text1"/>
          <w:szCs w:val="28"/>
          <w:highlight w:val="yellow"/>
        </w:rPr>
      </w:r>
      <w:r w:rsidR="00F83B07" w:rsidRPr="00AC3820">
        <w:rPr>
          <w:color w:val="000000" w:themeColor="text1"/>
          <w:szCs w:val="28"/>
        </w:rPr>
      </w:r>
      <w:r w:rsidR="0028214A">
        <w:rPr>
          <w:color w:val="000000" w:themeColor="text1"/>
          <w:szCs w:val="28"/>
        </w:rPr>
      </w:r>
      <w:r w:rsidR="00B96AE3">
        <w:rPr>
          <w:color w:val="000000" w:themeColor="text1"/>
          <w:szCs w:val="28"/>
        </w:rPr>
      </w:r>
      <w:r w:rsidR="00B96AE3"/>
      <w:r w:rsidR="00B96AE3"/>
      <w:r w:rsidR="00B96AE3"/>
      <w:r w:rsidR="00B96AE3"/>
      <w:r w:rsidR="00B96AE3"/>
      <w:r w:rsidR="00F83B07" w:rsidRPr="00AC3820">
        <w:rPr>
          <w:color w:val="000000" w:themeColor="text1"/>
          <w:szCs w:val="28"/>
        </w:rPr>
      </w:r>
      <w:r w:rsidR="00C626CC" w:rsidRPr="00AC3820">
        <w:rPr>
          <w:color w:val="000000" w:themeColor="text1"/>
          <w:szCs w:val="28"/>
        </w:rPr>
      </w:r>
      <w:commentRangeStart w:id="11"/>
      <w:r w:rsidR="00C626CC" w:rsidRPr="00AC3820">
        <w:rPr>
          <w:color w:val="000000" w:themeColor="text1"/>
          <w:szCs w:val="28"/>
        </w:rPr>
      </w:r>
      <w:r w:rsidR="00C626CC" w:rsidRPr="00AC3820">
        <w:rPr>
          <w:color w:val="000000" w:themeColor="text1"/>
          <w:szCs w:val="28"/>
        </w:rPr>
      </w:r>
      <w:commentRangeEnd w:id="11"/>
      <w:r w:rsidR="006B06AF" w:rsidRPr="00AC3820">
        <w:rPr>
          <w:rStyle w:val="CommentReference"/>
          <w:color w:val="000000" w:themeColor="text1"/>
          <w:sz w:val="24"/>
          <w:szCs w:val="28"/>
        </w:rPr>
      </w:r>
    </w:p>
    <w:p w14:paraId="493DEF96" w14:textId="4DA59FCC" w:rsidR="00F96425" w:rsidRPr="00AC3820" w:rsidRDefault="00A16ECD"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 xml:space="preserve">This study adopts a constructivist–interpretive worldview, positing that organizational realities are constructed through participants’ interactions and interpretations rather than existing as a single objective reality (Creswell &amp; Poth, 2024; Guba &amp; Lincoln, 1994). Aligning with a subjectivist–transactional epistemology, knowledge of ITDRPaaS governance emerges from the interaction between the researcher and participants (Guba &amp; Lincoln, 1994). This philosophical stance supports generic qualitative inquiry aimed at interpreting how diverse stakeholders understand recovery priorities, decision authority, escalation requirements, and acceptable evidence of recoverability. This approach therefore describes how stakeholders-salience participants translate organizational IT strategy into operational disaster recovery actions rather than testing predefined compliance checklists.  In SME environments, competing stakeholder demands routinely complicate recovery prioritization, restoration authority, and acceptable service-recovery thresholds. Accordingly, the design captures how those demands condition who counts in recovery prioritization, who decides and escalates under pressure, and what counts as an acceptable recovery standard. </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001B1529" w:rsidRPr="001B1529">
        <w:rPr>
          <w:color w:val="000000" w:themeColor="text1"/>
          <w:szCs w:val="28"/>
          <w:highlight w:val="yellow"/>
        </w:rPr>
      </w:r>
      <w:r w:rsidRPr="00AC3820">
        <w:rPr>
          <w:color w:val="000000" w:themeColor="text1"/>
          <w:szCs w:val="28"/>
        </w:rPr>
      </w:r>
      <w:r w:rsidRPr="001B1529">
        <w:rPr>
          <w:color w:val="000000" w:themeColor="text1"/>
          <w:szCs w:val="28"/>
          <w:highlight w:val="yellow"/>
        </w:rPr>
      </w:r>
      <w:r w:rsidRPr="00AC3820">
        <w:rPr>
          <w:color w:val="000000" w:themeColor="text1"/>
          <w:szCs w:val="28"/>
        </w:rPr>
      </w:r>
      <w:r w:rsidR="00F96425" w:rsidRPr="00AC3820">
        <w:rPr>
          <w:color w:val="000000" w:themeColor="text1"/>
          <w:szCs w:val="28"/>
        </w:rPr>
      </w:r>
      <w:r w:rsidRPr="00AC3820">
        <w:rPr>
          <w:color w:val="000000" w:themeColor="text1"/>
          <w:szCs w:val="28"/>
        </w:rPr>
      </w:r>
      <w:r w:rsidR="00F96425" w:rsidRPr="00AC3820">
        <w:rPr>
          <w:color w:val="000000" w:themeColor="text1"/>
          <w:szCs w:val="28"/>
        </w:rPr>
      </w:r>
      <w:r w:rsidR="00C626CC" w:rsidRPr="00AC3820">
        <w:rPr>
          <w:color w:val="000000" w:themeColor="text1"/>
          <w:szCs w:val="28"/>
        </w:rPr>
      </w:r>
      <w:r w:rsidR="00F96425" w:rsidRPr="00AC3820">
        <w:rPr>
          <w:color w:val="000000" w:themeColor="text1"/>
          <w:szCs w:val="28"/>
        </w:rPr>
      </w:r>
    </w:p>
    <w:p w14:paraId="681D3856" w14:textId="13B918CB"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Stakeholder-salience theory will serve as the interpretive foundation for understanding how perceptions of power, legitimacy, and urgency influence the prioritization of recovery actions during time-critical events (Mitchell et al., 1997).  Within this GQI frame, the phenomenon is IT/network managers’ experienced governance and decision dynamics as they interpret stakeholder influence during disruption or recovery planning. Managers must convert IT strategy intent, from a lived perspective into operational recovery authority while navigating conflicting claims about what should be restored first and who may authorize action. The approach thereby yields descriptive insight into decision rights and escalation pathways, without reducing the inquiry to a pure classical phenomenology (Weill &amp; Ross, 2004). It also examines evidentiary standards that support recoverability assurance when managers must defend recovery outcomes to stakeholders (Lowry et al., 2025; Park et al., 2023). Collectively, the PLU options of choices keep the methodological approach aligned with the study’s purpose.</w:t>
      </w:r>
      <w:r w:rsidRPr="008C1B5E">
        <w:rPr>
          <w:color w:val="000000" w:themeColor="text1"/>
          <w:szCs w:val="28"/>
          <w:highlight w:val="cyan"/>
        </w:rPr>
      </w:r>
      <w:r w:rsidRPr="00AC3820">
        <w:rPr>
          <w:color w:val="000000" w:themeColor="text1"/>
          <w:szCs w:val="28"/>
        </w:rPr>
      </w:r>
      <w:r w:rsidRPr="00AC3820">
        <w:rPr>
          <w:color w:val="000000" w:themeColor="text1"/>
          <w:szCs w:val="28"/>
        </w:rPr>
      </w:r>
      <w:r w:rsidRPr="00EB61EE">
        <w:rPr>
          <w:color w:val="000000" w:themeColor="text1"/>
          <w:szCs w:val="28"/>
          <w:highlight w:val="cyan"/>
        </w:rPr>
      </w:r>
      <w:r w:rsidRPr="00AC3820">
        <w:rPr>
          <w:color w:val="000000" w:themeColor="text1"/>
          <w:szCs w:val="28"/>
        </w:rPr>
      </w:r>
    </w:p>
    <w:p w14:paraId="44073C32" w14:textId="77777777" w:rsidR="00D9774E" w:rsidRPr="00AC3820" w:rsidRDefault="00D9774E" w:rsidP="00D9774E">
      <w:pPr>
        <w:pStyle w:val="Heading5"/>
        <w:rPr>
          <w:color w:val="000000" w:themeColor="text1"/>
        </w:rPr>
      </w:pPr>
      <w:r w:rsidRPr="00AC3820">
        <w:rPr>
          <w:color w:val="000000" w:themeColor="text1"/>
        </w:rPr>
        <w:t>Population and Sample (including site if necessary)</w:t>
      </w:r>
    </w:p>
    <w:p w14:paraId="649D14CA" w14:textId="77777777" w:rsidR="00D9774E" w:rsidRPr="00AC3820" w:rsidRDefault="00D9774E" w:rsidP="00D9774E">
      <w:pPr>
        <w:pStyle w:val="Body"/>
        <w:rPr>
          <w:i/>
          <w:iCs/>
          <w:color w:val="000000" w:themeColor="text1"/>
        </w:rPr>
      </w:pPr>
      <w:r w:rsidRPr="00AC3820">
        <w:rPr>
          <w:i/>
          <w:iCs/>
          <w:color w:val="000000" w:themeColor="text1"/>
        </w:rPr>
        <w:t xml:space="preserve">Describe the general target population (e.g., size, characteristics). Suggested length 1-2 paragraphs. </w:t>
      </w:r>
    </w:p>
    <w:p w14:paraId="79338649" w14:textId="77777777" w:rsidR="00F96425" w:rsidRPr="00AC3820" w:rsidRDefault="00F96425" w:rsidP="005C07EF">
      <w:pPr>
        <w:spacing w:line="480" w:lineRule="auto"/>
        <w:ind w:firstLine="720"/>
        <w:rPr>
          <w:color w:val="000000" w:themeColor="text1"/>
          <w:szCs w:val="28"/>
        </w:rPr>
      </w:pPr>
    </w:p>
    <w:p w14:paraId="48B396DB" w14:textId="04E4D454"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The target population comprises IT and network managers (or equivalent titles such as systems, infrastructure, or IT operations managers) employed by U.S. small and medium enterprises of 10 to 200 employees (U.S. Small Business Administration, 2026). Eligible participants have responsibility for, or direct participation in, IT disaster recovery involving an external platform or managed recovery service (ITDRPaaS or functionally equivalent cloud recovery). Population characteristics therefore center on role authority, U.S. SME employment, and recent platform-mediated recovery exposure rather than executive-only or vendor-side perspectives. The study is not limited to a single organizational site; participants will be drawn from multiple U.S. SME contexts in which IT systems are operationally critical. The locked sample is 12 interviews. That number is justified by information power for a narrow aim and a specific population (Malterud et al., 2016) and is the school-required fixed count rather than a range. Guest et al. (2006) is reserved for later stopping discussion only and is not the interview method.</w:t>
      </w:r>
      <w:commentRangeStart w:id="12"/>
      <w:commentRangeStart w:id="13"/>
      <w:commentRangeStart w:id="14"/>
      <w:commentRangeStart w:id="15"/>
      <w:r w:rsidRPr="00AC3820">
        <w:rPr>
          <w:color w:val="000000" w:themeColor="text1"/>
          <w:szCs w:val="28"/>
        </w:rPr>
      </w:r>
      <w:commentRangeEnd w:id="12"/>
      <w:r w:rsidR="00D26D7D" w:rsidRPr="00AC3820">
        <w:rPr>
          <w:rStyle w:val="CommentReference"/>
          <w:color w:val="000000" w:themeColor="text1"/>
          <w:sz w:val="24"/>
          <w:szCs w:val="28"/>
        </w:rPr>
      </w:r>
      <w:commentRangeEnd w:id="13"/>
      <w:r w:rsidR="00BB1B22" w:rsidRPr="00AC3820">
        <w:rPr>
          <w:rStyle w:val="CommentReference"/>
          <w:color w:val="000000" w:themeColor="text1"/>
          <w:sz w:val="24"/>
          <w:szCs w:val="28"/>
        </w:rPr>
      </w:r>
      <w:commentRangeEnd w:id="14"/>
      <w:r w:rsidR="00E320E4" w:rsidRPr="00AC3820">
        <w:rPr>
          <w:rStyle w:val="CommentReference"/>
          <w:color w:val="000000" w:themeColor="text1"/>
          <w:sz w:val="24"/>
          <w:szCs w:val="28"/>
        </w:rPr>
      </w:r>
      <w:commentRangeEnd w:id="15"/>
      <w:r w:rsidR="006B06AF" w:rsidRPr="00AC3820">
        <w:rPr>
          <w:rStyle w:val="CommentReference"/>
          <w:color w:val="000000" w:themeColor="text1"/>
          <w:sz w:val="24"/>
          <w:szCs w:val="28"/>
        </w:rPr>
      </w:r>
      <w:r w:rsidR="00BB1B22" w:rsidRPr="00AC3820">
        <w:rPr>
          <w:color w:val="000000" w:themeColor="text1"/>
          <w:szCs w:val="28"/>
        </w:rPr>
      </w:r>
      <w:r w:rsidR="006C0B44" w:rsidRPr="00AC3820">
        <w:rPr>
          <w:color w:val="000000" w:themeColor="text1"/>
          <w:szCs w:val="28"/>
        </w:rPr>
      </w:r>
      <w:r w:rsidR="00BB1B22" w:rsidRPr="00AC3820">
        <w:rPr>
          <w:color w:val="000000" w:themeColor="text1"/>
          <w:szCs w:val="28"/>
        </w:rPr>
      </w:r>
      <w:r w:rsidR="006C0B44" w:rsidRPr="00AC3820">
        <w:rPr>
          <w:color w:val="000000" w:themeColor="text1"/>
          <w:szCs w:val="28"/>
        </w:rPr>
      </w:r>
      <w:r w:rsidRPr="00AC3820">
        <w:rPr>
          <w:color w:val="000000" w:themeColor="text1"/>
          <w:szCs w:val="28"/>
        </w:rPr>
      </w:r>
      <w:r w:rsidR="006C0B44" w:rsidRPr="00AC3820">
        <w:rPr>
          <w:color w:val="000000" w:themeColor="text1"/>
          <w:szCs w:val="28"/>
        </w:rPr>
      </w:r>
      <w:r w:rsidRPr="00AC3820">
        <w:rPr>
          <w:color w:val="000000" w:themeColor="text1"/>
          <w:szCs w:val="28"/>
        </w:rPr>
      </w:r>
      <w:commentRangeStart w:id="16"/>
      <w:commentRangeStart w:id="17"/>
      <w:commentRangeStart w:id="18"/>
      <w:r w:rsidRPr="00AC3820">
        <w:rPr>
          <w:color w:val="000000" w:themeColor="text1"/>
          <w:szCs w:val="28"/>
        </w:rPr>
      </w:r>
      <w:r w:rsidR="004F4A7B" w:rsidRPr="00AC3820">
        <w:rPr>
          <w:color w:val="000000" w:themeColor="text1"/>
          <w:szCs w:val="28"/>
        </w:rPr>
      </w:r>
      <w:r w:rsidRPr="00AC3820">
        <w:rPr>
          <w:color w:val="000000" w:themeColor="text1"/>
          <w:szCs w:val="28"/>
        </w:rPr>
      </w:r>
      <w:commentRangeEnd w:id="16"/>
      <w:r w:rsidR="00D26D7D" w:rsidRPr="00AC3820">
        <w:rPr>
          <w:rStyle w:val="CommentReference"/>
          <w:color w:val="000000" w:themeColor="text1"/>
          <w:sz w:val="24"/>
          <w:szCs w:val="28"/>
        </w:rPr>
      </w:r>
      <w:commentRangeEnd w:id="17"/>
      <w:r w:rsidR="0043707D" w:rsidRPr="00AC3820">
        <w:rPr>
          <w:rStyle w:val="CommentReference"/>
          <w:color w:val="000000" w:themeColor="text1"/>
          <w:sz w:val="24"/>
          <w:szCs w:val="28"/>
        </w:rPr>
      </w:r>
      <w:commentRangeEnd w:id="18"/>
      <w:r w:rsidR="006B06AF" w:rsidRPr="00AC3820">
        <w:rPr>
          <w:rStyle w:val="CommentReference"/>
          <w:color w:val="000000" w:themeColor="text1"/>
          <w:sz w:val="24"/>
          <w:szCs w:val="28"/>
        </w:rPr>
      </w:r>
      <w:r w:rsidRPr="00AC3820">
        <w:rPr>
          <w:color w:val="000000" w:themeColor="text1"/>
          <w:szCs w:val="28"/>
        </w:rPr>
      </w:r>
      <w:r w:rsidRPr="00F770BC">
        <w:rPr>
          <w:color w:val="000000" w:themeColor="text1"/>
          <w:szCs w:val="28"/>
          <w:highlight w:val="cyan"/>
        </w:rPr>
      </w:r>
      <w:r w:rsidR="00F770BC">
        <w:rPr>
          <w:color w:val="000000" w:themeColor="text1"/>
          <w:szCs w:val="28"/>
          <w:highlight w:val="cyan"/>
        </w:rPr>
      </w:r>
      <w:r w:rsidRPr="00F770BC">
        <w:rPr>
          <w:color w:val="000000" w:themeColor="text1"/>
          <w:szCs w:val="28"/>
          <w:highlight w:val="cyan"/>
        </w:rPr>
      </w:r>
      <w:r w:rsidRPr="00AC3820">
        <w:rPr>
          <w:color w:val="000000" w:themeColor="text1"/>
          <w:szCs w:val="28"/>
        </w:rPr>
      </w:r>
      <w:r w:rsidRPr="00AC3820">
        <w:rPr>
          <w:color w:val="000000" w:themeColor="text1"/>
          <w:szCs w:val="28"/>
        </w:rPr>
      </w:r>
    </w:p>
    <w:p w14:paraId="2CAF1E76" w14:textId="79BAD72E"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Criterion and purposive sampling methods will be employed to identify participants who fulfill specific inclusion criteria and possess relevant firsthand recovery experiences (Percy et al., 2015)  Eligible participants must hold a role within the U.S. Small and Medium Enterprise (SME) information technology or networking sectors, or closely related fields, with responsibilities pertaining to disaster recovery decision-making or coordination. Additionally, participants must have direct experience within the past 36 months involving at least one disruptive event, failover, recovery test, or operational recovery that necessitated the use of an external disaster recovery or recovery platform. All participants must be 18 years of age or older, possess the capacity to engage in interviews conducted in English, and provide informed consent. Conversely, individuals will be excluded from participation if they are solely employed by vendors without a subject matter expert (SME) role, lack experience with external platform recovery, or are unable to articulate a specific recovery event in a manner that would facilitate meaningful participation in the study.</w:t>
      </w:r>
      <w:r w:rsidR="00720AE5" w:rsidRPr="00AC3820">
        <w:rPr>
          <w:color w:val="000000" w:themeColor="text1"/>
        </w:rPr>
      </w:r>
      <w:r w:rsidR="00E65F99" w:rsidRPr="00AC3820">
        <w:rPr>
          <w:color w:val="000000" w:themeColor="text1"/>
        </w:rPr>
      </w:r>
      <w:r w:rsidR="00720AE5" w:rsidRPr="00AC3820">
        <w:rPr>
          <w:color w:val="000000" w:themeColor="text1"/>
        </w:rPr>
      </w:r>
      <w:r w:rsidRPr="00AC3820">
        <w:rPr>
          <w:color w:val="000000" w:themeColor="text1"/>
          <w:szCs w:val="28"/>
        </w:rPr>
      </w:r>
    </w:p>
    <w:p w14:paraId="5530529B" w14:textId="77777777" w:rsidR="00D9774E" w:rsidRPr="00AC3820" w:rsidRDefault="00D9774E" w:rsidP="00D9774E">
      <w:pPr>
        <w:pStyle w:val="Heading5"/>
        <w:rPr>
          <w:color w:val="000000" w:themeColor="text1"/>
        </w:rPr>
      </w:pPr>
      <w:commentRangeStart w:id="19"/>
      <w:r w:rsidRPr="00AC3820">
        <w:rPr>
          <w:color w:val="000000" w:themeColor="text1"/>
        </w:rPr>
        <w:t>Constructs, Phenomena, Variables</w:t>
      </w:r>
      <w:commentRangeEnd w:id="19"/>
      <w:r w:rsidR="00D26D7D" w:rsidRPr="00AC3820">
        <w:rPr>
          <w:rStyle w:val="CommentReference"/>
          <w:color w:val="000000" w:themeColor="text1"/>
          <w:sz w:val="24"/>
          <w:szCs w:val="26"/>
        </w:rPr>
        <w:commentReference w:id="19"/>
      </w:r>
    </w:p>
    <w:p w14:paraId="39DDF7EC" w14:textId="77777777" w:rsidR="00D9774E" w:rsidRPr="00AC3820" w:rsidRDefault="00D9774E" w:rsidP="00D9774E">
      <w:pPr>
        <w:pStyle w:val="Body"/>
        <w:rPr>
          <w:i/>
          <w:iCs/>
          <w:color w:val="000000" w:themeColor="text1"/>
        </w:rPr>
      </w:pPr>
      <w:r w:rsidRPr="00AC3820">
        <w:rPr>
          <w:i/>
          <w:iCs/>
          <w:color w:val="000000" w:themeColor="text1"/>
        </w:rPr>
        <w:t>Present evidence and explanation for the final choice of framework. Constructs, phenomena</w:t>
      </w:r>
      <w:r w:rsidR="00E43461" w:rsidRPr="00AC3820">
        <w:rPr>
          <w:i/>
          <w:iCs/>
          <w:color w:val="000000" w:themeColor="text1"/>
        </w:rPr>
        <w:t>,</w:t>
      </w:r>
      <w:r w:rsidRPr="00AC3820">
        <w:rPr>
          <w:i/>
          <w:iCs/>
          <w:color w:val="000000" w:themeColor="text1"/>
        </w:rPr>
        <w:t xml:space="preserve"> </w:t>
      </w:r>
      <w:r w:rsidR="00AC0630" w:rsidRPr="00AC3820">
        <w:rPr>
          <w:i/>
          <w:iCs/>
          <w:color w:val="000000" w:themeColor="text1"/>
        </w:rPr>
        <w:t>and/or variables must align to the topic, problem, gap, and project questions. Suggested length 2-3 paragraphs.</w:t>
      </w:r>
    </w:p>
    <w:p w14:paraId="137CFCFE" w14:textId="77777777" w:rsidR="00AC0630" w:rsidRPr="00AC3820" w:rsidRDefault="00AC0630" w:rsidP="00D9774E">
      <w:pPr>
        <w:pStyle w:val="Body"/>
        <w:rPr>
          <w:i/>
          <w:iCs/>
          <w:color w:val="000000" w:themeColor="text1"/>
        </w:rPr>
      </w:pPr>
    </w:p>
    <w:p w14:paraId="3D025119" w14:textId="61F6058B" w:rsidR="00F96425" w:rsidRPr="00AC3820" w:rsidRDefault="0043707D" w:rsidP="005C07EF">
      <w:pPr>
        <w:spacing w:line="480" w:lineRule="auto"/>
        <w:ind w:firstLine="720"/>
        <w:rPr>
          <w:color w:val="000000" w:themeColor="text1"/>
          <w:szCs w:val="28"/>
        </w:rPr>
      </w:pPr>
      <w:r w:rsidRPr="00AC3820">
        <w:rPr>
          <w:rFonts w:ascii="Times New Roman" w:hAnsi="Times New Roman" w:eastAsia="Times New Roman"/>
          <w:color w:val="000000" w:themeColor="text1"/>
          <w:sz w:val="24"/>
        </w:rPr>
        <w:t>The theoretical framework is stakeholder theory as the broad foundation, operationalized through stakeholder-salience theory (Mitchell et al., 1997) and updated by value-creation stakeholder theory (Freeman et al., 2020). That framework informs the project in three ways. First, Freeman et al. (2020) justify treating recovery as cooperative value creation and trade among interdependent stakeholders rather than as a purely technical restore. Second, Mitchell et al. (1997) supply the sensitizing attributes—power, legitimacy, and urgency—that organize interview probes about whose claim counted in a named incident. Third, decision rights, escalation, evidentiary standards, and recoverability assurance are treated as enactment constructs: they are how salience becomes (or fails to become) recoverable, defensible action (Lowry et al., 2025; Park et al., 2023). The central phenomenon is therefore how U.S. SME IT and network managers interpret and operationalize ITDRPaaS governance during disruptions, failovers, recovery tests, and production-recovery events. These labels remain sensitizing probes. They are not predetermined Chapter IV theme titles and they are not quantitative variables.</w:t>
      </w:r>
      <w:r w:rsidR="00E320E4" w:rsidRPr="00AC3820">
        <w:rPr>
          <w:color w:val="000000" w:themeColor="text1"/>
        </w:rPr>
      </w:r>
      <w:r w:rsidRPr="00AC3820">
        <w:rPr>
          <w:color w:val="000000" w:themeColor="text1"/>
        </w:rPr>
      </w:r>
      <w:r w:rsidR="00F96425" w:rsidRPr="00AC3820">
        <w:rPr>
          <w:color w:val="000000" w:themeColor="text1"/>
        </w:rPr>
      </w:r>
      <w:r w:rsidR="00F96425" w:rsidRPr="00AC3820">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r w:rsidR="00B96AE3">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p>
    <w:p w14:paraId="1CEE0819" w14:textId="77777777" w:rsidR="00F96425" w:rsidRPr="00AC3820" w:rsidRDefault="00F96425" w:rsidP="00F96425">
      <w:pPr>
        <w:rPr>
          <w:color w:val="000000" w:themeColor="text1"/>
          <w:szCs w:val="28"/>
        </w:rPr>
      </w:pPr>
    </w:p>
    <w:p w14:paraId="72B95CA7" w14:textId="1D8C6146"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This study does not operationalize independent or dependent variables. Constructs function as interpretive lenses in a generic qualitative inquiry (Caelli et al., 2003; Percy et al., 2015). If a participant names ISO, NIST, or BCM materials, those names are context in the spoken account. They are not coding systems, treatment conditions, or researcher-administered checklists. The study does not use experimental manipulation, a Likert salience inventory, or a hypothesized path model. Semi-structured critical-incident interviews will be used to explore how managers encounter the constructs in one named event, producing descriptive thematic insight rather than population-level causal inference (Flanagan, 1954; Gremler, 2004). The framework remains anchored in stakeholder-salience theory: managers prioritize stakeholder claims through power, legitimacy, and urgency (Mitchell et al., 1997).</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D3765">
        <w:rPr>
          <w:color w:val="000000" w:themeColor="text1"/>
          <w:szCs w:val="28"/>
          <w:highlight w:val="yellow"/>
        </w:rPr>
      </w:r>
      <w:r w:rsidRPr="00AC3820">
        <w:rPr>
          <w:color w:val="000000" w:themeColor="text1"/>
          <w:szCs w:val="28"/>
        </w:rPr>
      </w:r>
      <w:r w:rsidR="00AA13BF"/>
      <w:r w:rsidR="00AA13BF">
        <w:rPr>
          <w:color w:val="000000" w:themeColor="text1"/>
          <w:szCs w:val="28"/>
        </w:rPr>
      </w:r>
      <w:r w:rsidRPr="00AA13BF">
        <w:rPr>
          <w:color w:val="000000" w:themeColor="text1"/>
          <w:szCs w:val="28"/>
          <w:highlight w:val="green"/>
        </w:rPr>
      </w:r>
      <w:r w:rsidR="00AA13BF">
        <w:rPr>
          <w:color w:val="000000" w:themeColor="text1"/>
          <w:szCs w:val="28"/>
        </w:rPr>
      </w:r>
      <w:r w:rsidRPr="00AC3820">
        <w:rPr>
          <w:color w:val="000000" w:themeColor="text1"/>
          <w:szCs w:val="28"/>
        </w:rPr>
      </w:r>
      <w:r w:rsidRPr="00AC3820">
        <w:rPr>
          <w:color w:val="000000" w:themeColor="text1"/>
          <w:szCs w:val="28"/>
        </w:rPr>
      </w:r>
      <w:r w:rsidRPr="008C1B5E">
        <w:rPr>
          <w:color w:val="000000" w:themeColor="text1"/>
          <w:szCs w:val="28"/>
          <w:highlight w:val="cyan"/>
        </w:rPr>
      </w:r>
      <w:r w:rsidRPr="00AC3820">
        <w:rPr>
          <w:color w:val="000000" w:themeColor="text1"/>
          <w:szCs w:val="28"/>
        </w:rPr>
      </w:r>
    </w:p>
    <w:p w14:paraId="4C246E00" w14:textId="77777777" w:rsidR="00AC0630" w:rsidRPr="00AC3820" w:rsidRDefault="00AC0630" w:rsidP="00AC0630">
      <w:pPr>
        <w:pStyle w:val="Heading2"/>
        <w:rPr>
          <w:color w:val="000000" w:themeColor="text1"/>
        </w:rPr>
      </w:pPr>
      <w:r w:rsidRPr="00AC3820">
        <w:rPr>
          <w:color w:val="000000" w:themeColor="text1"/>
        </w:rPr>
        <w:t>Proposed Data Sources</w:t>
      </w:r>
    </w:p>
    <w:p w14:paraId="24622692" w14:textId="48B15811" w:rsidR="00230539" w:rsidRPr="00AC3820" w:rsidRDefault="00AC0630" w:rsidP="00891FB6">
      <w:pPr>
        <w:pStyle w:val="Body"/>
        <w:shd w:val="clear" w:color="auto" w:fill="E7E6E6"/>
        <w:rPr>
          <w:i/>
          <w:iCs/>
          <w:color w:val="000000" w:themeColor="text1"/>
        </w:rPr>
      </w:pPr>
      <w:r w:rsidRPr="00AC3820">
        <w:rPr>
          <w:i/>
          <w:iCs/>
          <w:color w:val="000000" w:themeColor="text1"/>
        </w:rPr>
        <w:t xml:space="preserve">Instrumentation and data collection tools address </w:t>
      </w:r>
      <w:r w:rsidR="00F02D49" w:rsidRPr="00AC3820">
        <w:rPr>
          <w:i/>
          <w:iCs/>
          <w:color w:val="000000" w:themeColor="text1"/>
        </w:rPr>
        <w:t xml:space="preserve">project </w:t>
      </w:r>
      <w:r w:rsidRPr="00AC3820">
        <w:rPr>
          <w:i/>
          <w:iCs/>
          <w:color w:val="000000" w:themeColor="text1"/>
        </w:rPr>
        <w:t>concepts; ethical threats and their mitigation are detailed.</w:t>
      </w:r>
    </w:p>
    <w:p w14:paraId="16C17E13" w14:textId="77777777" w:rsidR="00AC0630" w:rsidRPr="00AC3820" w:rsidRDefault="00AC0630" w:rsidP="00230539">
      <w:pPr>
        <w:rPr>
          <w:color w:val="000000" w:themeColor="text1"/>
        </w:rPr>
      </w:pPr>
    </w:p>
    <w:p w14:paraId="180E54C7" w14:textId="77777777" w:rsidR="00AC0630" w:rsidRPr="00AC3820" w:rsidRDefault="00AC0630" w:rsidP="00AC0630">
      <w:pPr>
        <w:pStyle w:val="Heading5"/>
        <w:rPr>
          <w:color w:val="000000" w:themeColor="text1"/>
        </w:rPr>
      </w:pPr>
      <w:commentRangeStart w:id="20"/>
      <w:r w:rsidRPr="00AC3820">
        <w:rPr>
          <w:color w:val="000000" w:themeColor="text1"/>
        </w:rPr>
        <w:t>Measures or Artifacts to be Reviewed</w:t>
      </w:r>
      <w:commentRangeEnd w:id="20"/>
      <w:r w:rsidR="00995D09" w:rsidRPr="00AC3820">
        <w:rPr>
          <w:rStyle w:val="CommentReference"/>
          <w:color w:val="000000" w:themeColor="text1"/>
          <w:sz w:val="24"/>
          <w:szCs w:val="26"/>
        </w:rPr>
        <w:commentReference w:id="20"/>
      </w:r>
    </w:p>
    <w:p w14:paraId="7D32220B" w14:textId="77777777" w:rsidR="006C70C5" w:rsidRPr="00AC3820" w:rsidRDefault="00AC0630" w:rsidP="006C70C5">
      <w:pPr>
        <w:pStyle w:val="Body"/>
        <w:rPr>
          <w:i/>
          <w:iCs/>
          <w:color w:val="000000" w:themeColor="text1"/>
        </w:rPr>
      </w:pPr>
      <w:r w:rsidRPr="00AC3820">
        <w:rPr>
          <w:i/>
          <w:iCs/>
          <w:color w:val="000000" w:themeColor="text1"/>
        </w:rPr>
        <w:t>Present a description of instrumentation or data collection tools. Measures or artifacts must closely align with the methodological approach. Suggested length 3-4 paragraphs.</w:t>
      </w:r>
    </w:p>
    <w:p w14:paraId="079F1525" w14:textId="4574AB4F" w:rsidR="00E5476D" w:rsidRPr="00AC3820" w:rsidRDefault="0078284A" w:rsidP="006C70C5">
      <w:pPr>
        <w:pStyle w:val="Body"/>
        <w:spacing w:line="480" w:lineRule="auto"/>
        <w:rPr>
          <w:rStyle w:val="ng-star-inserted"/>
          <w:i/>
          <w:iCs/>
          <w:color w:val="000000" w:themeColor="text1"/>
        </w:rPr>
      </w:pPr>
      <w:r w:rsidRPr="00AC3820">
        <w:rPr>
          <w:rFonts w:ascii="Times New Roman" w:hAnsi="Times New Roman" w:eastAsia="Times New Roman"/>
          <w:color w:val="000000" w:themeColor="text1"/>
          <w:sz w:val="24"/>
        </w:rPr>
        <w:t>Data will be collected through interviews only. The primary instrument is a researcher-developed, semi-structured critical-incident interview guide (ITDR-GQI-INT-v0.1.1) designed to explore how U.S. SME IT and network managers describe disaster-recovery governance during one named disruption, failover, recovery test, or operational recovery in the preceding 36 months (Caelli et al., 2003; Flanagan, 1954; Percy et al., 2015). The guide is aligned with stakeholder-salience theory and with this study’s enactment constructs: power, legitimacy, urgency, decision rights, escalation, evidentiary standards, and recoverability assurance (Mitchell et al., 1997). Theoretical words stay in the researcher codebook. Spoken questions use manager language.</w:t>
      </w:r>
      <w:r w:rsidR="00E5476D" w:rsidRPr="00AC3820">
        <w:rPr>
          <w:rStyle w:val="ng-star-inserted"/>
          <w:color w:val="000000" w:themeColor="text1"/>
        </w:rPr>
      </w:r>
      <w:r w:rsidR="00E5476D" w:rsidRPr="00AC3820">
        <w:rPr>
          <w:rStyle w:val="ng-star-inserted"/>
          <w:rFonts w:cs="Times New Roman"/>
          <w:color w:val="000000" w:themeColor="text1"/>
          <w:sz w:val="24"/>
          <w:szCs w:val="24"/>
        </w:rPr>
      </w:r>
      <w:r w:rsidR="00E5476D" w:rsidRPr="00AD3765">
        <w:rPr>
          <w:rStyle w:val="ng-star-inserted"/>
          <w:rFonts w:cs="Times New Roman"/>
          <w:color w:val="000000" w:themeColor="text1"/>
          <w:sz w:val="24"/>
          <w:szCs w:val="24"/>
          <w:highlight w:val="cyan"/>
        </w:rPr>
      </w:r>
      <w:r w:rsidR="00AD3765" w:rsidRPr="00AD3765">
        <w:rPr>
          <w:rStyle w:val="ng-star-inserted"/>
          <w:rFonts w:cs="Times New Roman"/>
          <w:color w:val="000000" w:themeColor="text1"/>
          <w:sz w:val="24"/>
          <w:szCs w:val="24"/>
          <w:highlight w:val="cyan"/>
        </w:rPr>
      </w:r>
      <w:r w:rsidR="00E5476D" w:rsidRPr="00AC3820">
        <w:rPr>
          <w:rStyle w:val="ng-star-inserted"/>
          <w:rFonts w:cs="Times New Roman"/>
          <w:color w:val="000000" w:themeColor="text1"/>
          <w:sz w:val="24"/>
          <w:szCs w:val="24"/>
        </w:rPr>
      </w:r>
    </w:p>
    <w:p w14:paraId="174C26D3" w14:textId="26B2FBE0" w:rsidR="00E5476D" w:rsidRPr="00AC3820" w:rsidRDefault="00E5476D" w:rsidP="006C70C5">
      <w:pPr>
        <w:tabs>
          <w:tab w:val="left" w:pos="180"/>
        </w:tabs>
        <w:spacing w:line="480" w:lineRule="auto"/>
        <w:ind w:left="90" w:hanging="90"/>
        <w:rPr>
          <w:color w:val="000000" w:themeColor="text1"/>
        </w:rPr>
      </w:pPr>
      <w:r w:rsidRPr="00AC3820">
        <w:rPr>
          <w:rStyle w:val="ng-star-inserted"/>
          <w:rFonts w:ascii="Times New Roman" w:hAnsi="Times New Roman" w:eastAsia="Times New Roman"/>
          <w:color w:val="000000" w:themeColor="text1"/>
          <w:sz w:val="24"/>
        </w:rPr>
        <w:t>Interview-guide development will continue as a documented next step and does not have to be completed during this course. After the protocol is locked for wording, the researcher will convene a small subject-matter-expert (SME) panel of IT-recovery or qualitative-methods reviewers who will not later sit as study participants. The panel will review question clarity, neutrality, construct coverage, and alignment to the primary research question and to stakeholder-salience theory. The purpose of SME review is to reduce leading stems and to confirm that each item can elicit a named-event account rather than a generic “how we usually recover” answer. The researcher will then conduct two to three mock interviews or a pilot test with individuals who match the professional profile but are excluded from the n = 12 sample. The purpose of the mock or pilot is to time the 60–75 minute protocol, test skip rules, and revise probes before IRB-approved data collection. Expert review and pilot testing are instrument-development steps, not additional data sources.</w:t>
      </w:r>
      <w:r w:rsidRPr="00AC3820">
        <w:rPr>
          <w:rStyle w:val="ng-star-inserted"/>
          <w:color w:val="000000" w:themeColor="text1"/>
        </w:rPr>
      </w:r>
      <w:r w:rsidRPr="00AC3820">
        <w:rPr>
          <w:rStyle w:val="ng-star-inserted"/>
          <w:color w:val="000000" w:themeColor="text1"/>
        </w:rPr>
      </w:r>
      <w:r w:rsidRPr="00AC3820">
        <w:rPr>
          <w:rStyle w:val="ng-star-inserted"/>
          <w:color w:val="000000" w:themeColor="text1"/>
        </w:rPr>
      </w:r>
      <w:r w:rsidRPr="001B1529">
        <w:rPr>
          <w:rStyle w:val="ng-star-inserted"/>
          <w:color w:val="000000" w:themeColor="text1"/>
          <w:highlight w:val="yellow"/>
        </w:rPr>
      </w:r>
      <w:r w:rsidRPr="00AC3820">
        <w:rPr>
          <w:rStyle w:val="ng-star-inserted"/>
          <w:color w:val="000000" w:themeColor="text1"/>
        </w:rPr>
      </w:r>
      <w:commentRangeStart w:id="21"/>
      <w:r w:rsidR="0078284A" w:rsidRPr="00AC3820">
        <w:rPr>
          <w:rStyle w:val="ng-star-inserted"/>
          <w:color w:val="000000" w:themeColor="text1"/>
        </w:rPr>
      </w:r>
      <w:commentRangeEnd w:id="21"/>
      <w:r w:rsidR="00995D09" w:rsidRPr="00AC3820">
        <w:rPr>
          <w:rStyle w:val="CommentReference"/>
          <w:color w:val="000000" w:themeColor="text1"/>
          <w:sz w:val="24"/>
          <w:szCs w:val="24"/>
        </w:rPr>
      </w:r>
      <w:r w:rsidR="0078284A" w:rsidRPr="00AC3820">
        <w:rPr>
          <w:rStyle w:val="ng-star-inserted"/>
          <w:color w:val="000000" w:themeColor="text1"/>
        </w:rPr>
      </w:r>
      <w:commentRangeStart w:id="22"/>
      <w:r w:rsidR="0078284A" w:rsidRPr="00AC3820">
        <w:rPr>
          <w:rStyle w:val="ng-star-inserted"/>
          <w:color w:val="000000" w:themeColor="text1"/>
        </w:rPr>
      </w:r>
      <w:r w:rsidR="00DD2554" w:rsidRPr="00AC3820">
        <w:rPr>
          <w:rStyle w:val="ng-star-inserted"/>
          <w:color w:val="000000" w:themeColor="text1"/>
        </w:rPr>
      </w:r>
      <w:r w:rsidR="0078284A" w:rsidRPr="00AC3820">
        <w:rPr>
          <w:rStyle w:val="ng-star-inserted"/>
          <w:color w:val="000000" w:themeColor="text1"/>
        </w:rPr>
      </w:r>
      <w:r w:rsidR="0078284A" w:rsidRPr="00AC3820">
        <w:rPr>
          <w:color w:val="000000" w:themeColor="text1"/>
        </w:rPr>
      </w:r>
      <w:r w:rsidR="0078284A" w:rsidRPr="00AC3820">
        <w:rPr>
          <w:rStyle w:val="ng-star-inserted"/>
          <w:color w:val="000000" w:themeColor="text1"/>
        </w:rPr>
      </w:r>
      <w:r w:rsidR="00734905" w:rsidRPr="00AC3820">
        <w:rPr>
          <w:rStyle w:val="ng-star-inserted"/>
          <w:color w:val="000000" w:themeColor="text1"/>
        </w:rPr>
      </w:r>
      <w:r w:rsidR="00FA7944" w:rsidRPr="00AC3820">
        <w:rPr>
          <w:rStyle w:val="ng-star-inserted"/>
          <w:color w:val="000000" w:themeColor="text1"/>
        </w:rPr>
      </w:r>
      <w:r w:rsidR="00734905" w:rsidRPr="00AC3820">
        <w:rPr>
          <w:rStyle w:val="ng-star-inserted"/>
          <w:color w:val="000000" w:themeColor="text1"/>
        </w:rPr>
      </w:r>
      <w:r w:rsidR="0078284A" w:rsidRPr="00AC3820">
        <w:rPr>
          <w:rStyle w:val="ng-star-inserted"/>
          <w:color w:val="000000" w:themeColor="text1"/>
        </w:rPr>
      </w:r>
      <w:r w:rsidR="00F770BC">
        <w:rPr>
          <w:rStyle w:val="ng-star-inserted"/>
          <w:color w:val="000000" w:themeColor="text1"/>
        </w:rPr>
      </w:r>
      <w:r w:rsidR="0078284A"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34905" w:rsidRPr="00AC3820">
        <w:rPr>
          <w:rStyle w:val="ng-star-inserted"/>
          <w:color w:val="000000" w:themeColor="text1"/>
        </w:rPr>
      </w:r>
      <w:r w:rsidR="00734905" w:rsidRPr="00AA13BF">
        <w:rPr>
          <w:rStyle w:val="ng-star-inserted"/>
          <w:color w:val="000000" w:themeColor="text1"/>
          <w:highlight w:val="cyan"/>
        </w:rPr>
      </w:r>
      <w:r w:rsidR="004664CF"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4664CF" w:rsidRPr="00AC3820">
        <w:rPr>
          <w:rStyle w:val="ng-star-inserted"/>
          <w:color w:val="000000" w:themeColor="text1"/>
        </w:rPr>
      </w:r>
      <w:r w:rsidR="00FA7944" w:rsidRPr="00AD3765">
        <w:rPr>
          <w:color w:val="000000" w:themeColor="text1"/>
          <w:highlight w:val="cyan"/>
        </w:rPr>
      </w:r>
      <w:r w:rsidR="00AD3765" w:rsidRPr="00AD3765">
        <w:rPr>
          <w:color w:val="000000" w:themeColor="text1"/>
          <w:highlight w:val="cyan"/>
        </w:rPr>
      </w:r>
      <w:r w:rsidR="00FA7944" w:rsidRPr="00AC3820">
        <w:rPr>
          <w:color w:val="000000" w:themeColor="text1"/>
        </w:rPr>
      </w:r>
      <w:r w:rsidR="004664CF" w:rsidRPr="00AC3820">
        <w:rPr>
          <w:color w:val="000000" w:themeColor="text1"/>
        </w:rPr>
      </w:r>
      <w:r w:rsidR="00FA7944" w:rsidRPr="00AC3820">
        <w:rPr>
          <w:rStyle w:val="ng-star-inserted"/>
          <w:color w:val="000000" w:themeColor="text1"/>
        </w:rPr>
      </w:r>
      <w:commentRangeEnd w:id="22"/>
      <w:r w:rsidR="00857AF4" w:rsidRPr="00AC3820">
        <w:rPr>
          <w:rStyle w:val="CommentReference"/>
          <w:color w:val="000000" w:themeColor="text1"/>
          <w:sz w:val="24"/>
          <w:szCs w:val="24"/>
        </w:rPr>
      </w:r>
      <w:r w:rsidR="00FA7944"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FA7944" w:rsidRPr="00AD3765">
        <w:rPr>
          <w:rStyle w:val="ng-star-inserted"/>
          <w:color w:val="000000" w:themeColor="text1"/>
          <w:highlight w:val="cyan"/>
        </w:rPr>
      </w:r>
      <w:r w:rsidR="00AD3765" w:rsidRPr="00AD3765">
        <w:rPr>
          <w:rStyle w:val="ng-star-inserted"/>
          <w:color w:val="000000" w:themeColor="text1"/>
          <w:highlight w:val="cyan"/>
        </w:rPr>
      </w:r>
      <w:r w:rsidR="00FA7944" w:rsidRPr="00AD3765">
        <w:rPr>
          <w:rStyle w:val="ng-star-inserted"/>
          <w:color w:val="000000" w:themeColor="text1"/>
          <w:highlight w:val="cyan"/>
        </w:rPr>
      </w:r>
      <w:r w:rsidR="00FA7944" w:rsidRPr="00AC3820">
        <w:rPr>
          <w:color w:val="000000" w:themeColor="text1"/>
        </w:rPr>
      </w:r>
      <w:r w:rsidR="00FA7944" w:rsidRPr="00AA13BF">
        <w:rPr>
          <w:rStyle w:val="ng-star-inserted"/>
          <w:color w:val="000000" w:themeColor="text1"/>
          <w:highlight w:val="cyan"/>
        </w:rPr>
      </w:r>
      <w:r w:rsidR="00FA7944"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p>
    <w:p w14:paraId="5035A911" w14:textId="1150CAD3" w:rsidR="0078284A" w:rsidRPr="00AC3820" w:rsidRDefault="0078284A" w:rsidP="006C70C5">
      <w:pPr>
        <w:spacing w:line="480" w:lineRule="auto"/>
        <w:ind w:left="90" w:firstLine="630"/>
        <w:rPr>
          <w:color w:val="000000" w:themeColor="text1"/>
        </w:rPr>
      </w:pPr>
      <w:r w:rsidRPr="00AC3820">
        <w:rPr>
          <w:rStyle w:val="ng-star-inserted"/>
          <w:rFonts w:ascii="Times New Roman" w:hAnsi="Times New Roman" w:eastAsia="Times New Roman"/>
          <w:color w:val="000000" w:themeColor="text1"/>
          <w:sz w:val="24"/>
        </w:rPr>
        <w:t>The interview protocol includes a required critical-incident opening (Q0) and follow-up sets that are asked only if the opening story did not already supply a concrete example. No organizational documents will be collected. If a manager names a log, ticket, approval, or matrix, the researcher will ask what that record did in the event; the spoken description remains interview data. The four-column alignment matrix below maps each numbered interview question to the primary research question and to the theoretical framework (stakeholder-salience theory; Mitchell et al., 1997), with value-creation stakeholder theory (Freeman et al., 2020) as the Need / What We Know foundation rather than as a spoken construct.</w:t>
      </w:r>
      <w:r w:rsidRPr="00AC3820">
        <w:rPr>
          <w:color w:val="000000" w:themeColor="text1"/>
        </w:rPr>
      </w:r>
      <w:r w:rsidRPr="00AC3820">
        <w:rPr>
          <w:rStyle w:val="ng-star-inserted"/>
          <w:color w:val="000000" w:themeColor="text1"/>
        </w:rPr>
      </w:r>
      <w:r w:rsidRPr="00AC3820">
        <w:rPr>
          <w:color w:val="000000" w:themeColor="text1"/>
        </w:rPr>
      </w:r>
      <w:r w:rsidRPr="00AC3820">
        <w:rPr>
          <w:rStyle w:val="ng-star-inserted"/>
          <w:color w:val="000000" w:themeColor="text1"/>
        </w:rPr>
      </w:r>
      <w:r w:rsidR="004664CF"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3"/>
      <w:r w:rsidRPr="00AC3820">
        <w:rPr>
          <w:rStyle w:val="ng-star-inserted"/>
          <w:color w:val="000000" w:themeColor="text1"/>
        </w:rPr>
      </w:r>
      <w:r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commentRangeEnd w:id="23"/>
      <w:r w:rsidR="00857AF4" w:rsidRPr="00AC3820">
        <w:rPr>
          <w:rStyle w:val="CommentReference"/>
          <w:color w:val="000000" w:themeColor="text1"/>
          <w:sz w:val="24"/>
          <w:szCs w:val="24"/>
        </w:rPr>
      </w:r>
      <w:r w:rsidRPr="00AC3820">
        <w:rPr>
          <w:rStyle w:val="ng-star-inserted"/>
          <w:color w:val="000000" w:themeColor="text1"/>
        </w:rPr>
      </w:r>
      <w:r w:rsidR="006C70C5" w:rsidRPr="00AC3820">
        <w:rPr>
          <w:rStyle w:val="ng-star-inserted"/>
          <w:color w:val="000000" w:themeColor="text1"/>
        </w:rPr>
      </w:r>
      <w:r w:rsidR="00FA7944" w:rsidRPr="00AC3820">
        <w:rPr>
          <w:rStyle w:val="ng-star-inserted"/>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r w:rsidRPr="00AC3820">
        <w:rPr>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4"/>
      <w:r w:rsidRPr="00AC3820">
        <w:rPr>
          <w:rStyle w:val="ng-star-inserted"/>
          <w:color w:val="000000" w:themeColor="text1"/>
        </w:rPr>
      </w:r>
      <w:commentRangeEnd w:id="24"/>
      <w:r w:rsidR="00857AF4" w:rsidRPr="00AC3820">
        <w:rPr>
          <w:rStyle w:val="CommentReference"/>
          <w:color w:val="000000" w:themeColor="text1"/>
          <w:sz w:val="24"/>
          <w:szCs w:val="24"/>
        </w:rPr>
      </w:r>
      <w:r w:rsidRPr="00AC3820">
        <w:rPr>
          <w:rStyle w:val="ng-star-inserted"/>
          <w:color w:val="000000" w:themeColor="text1"/>
        </w:rPr>
      </w:r>
      <w:r w:rsidR="00175626" w:rsidRPr="00AC3820">
        <w:rPr>
          <w:rStyle w:val="ng-star-inserted"/>
          <w:color w:val="000000" w:themeColor="text1"/>
        </w:rPr>
      </w:r>
      <w:r w:rsidR="004664CF" w:rsidRPr="00AC3820">
        <w:rPr>
          <w:rStyle w:val="ng-star-inserted"/>
          <w:color w:val="000000" w:themeColor="text1"/>
        </w:rPr>
      </w:r>
      <w:r w:rsidR="00FA7944" w:rsidRPr="00AA13BF">
        <w:rPr>
          <w:rStyle w:val="ng-star-inserted"/>
          <w:color w:val="000000" w:themeColor="text1"/>
          <w:highlight w:val="cyan"/>
        </w:rPr>
      </w:r>
      <w:r w:rsidR="00175626" w:rsidRPr="00AC3820">
        <w:rPr>
          <w:rStyle w:val="ng-star-inserted"/>
          <w:color w:val="000000" w:themeColor="text1"/>
        </w:rPr>
      </w:r>
      <w:r w:rsidRPr="00AC3820">
        <w:rPr>
          <w:rStyle w:val="ng-star-inserted"/>
          <w:color w:val="000000" w:themeColor="text1"/>
        </w:rPr>
      </w:r>
    </w:p>
    <w:p>
      <w:pPr>
        <w:spacing w:line="480" w:lineRule="auto"/>
      </w:pPr>
      <w:r>
        <w:rPr>
          <w:rFonts w:ascii="Times New Roman" w:hAnsi="Times New Roman" w:eastAsia="Times New Roman"/>
          <w:sz w:val="24"/>
        </w:rPr>
        <w:t>Interview question alignment matrix. Primary research question: What are the perceptions of U.S. SME IT/network managers regarding the establishment and governance of IT Disaster Recovery as a Service (ITDRPaaS) in environments where competing stakeholder priorities influence disaster recovery decisions? Theoretical framework: stakeholder-salience theory (Mitchell et al., 1997), grounded in value-creation stakeholder theory (Freeman et al., 2020).</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60"/>
        <w:gridCol w:w="2160"/>
        <w:gridCol w:w="2160"/>
        <w:gridCol w:w="2160"/>
      </w:tblGrid>
      <w:tr>
        <w:tc>
          <w:tcPr>
            <w:tcW w:w="2160" w:type="dxa"/>
          </w:tcPr>
          <w:p>
            <w:r>
              <w:rPr>
                <w:b/>
                <w:rFonts w:ascii="Times New Roman" w:hAnsi="Times New Roman"/>
                <w:sz w:val="18"/>
              </w:rPr>
              <w:t xml:space="preserve">RQ</w:t>
            </w:r>
          </w:p>
        </w:tc>
        <w:tc>
          <w:tcPr>
            <w:tcW w:w="2160" w:type="dxa"/>
          </w:tcPr>
          <w:p>
            <w:r>
              <w:rPr>
                <w:b/>
                <w:rFonts w:ascii="Times New Roman" w:hAnsi="Times New Roman"/>
                <w:sz w:val="18"/>
              </w:rPr>
              <w:t xml:space="preserve">Interview questions (numbered)</w:t>
            </w:r>
          </w:p>
        </w:tc>
        <w:tc>
          <w:tcPr>
            <w:tcW w:w="2160" w:type="dxa"/>
          </w:tcPr>
          <w:p>
            <w:r>
              <w:rPr>
                <w:b/>
                <w:rFonts w:ascii="Times New Roman" w:hAnsi="Times New Roman"/>
                <w:sz w:val="18"/>
              </w:rPr>
              <w:t xml:space="preserve">Alignment to RQ</w:t>
            </w:r>
          </w:p>
        </w:tc>
        <w:tc>
          <w:tcPr>
            <w:tcW w:w="2160" w:type="dxa"/>
          </w:tcPr>
          <w:p>
            <w:r>
              <w:rPr>
                <w:b/>
                <w:rFonts w:ascii="Times New Roman" w:hAnsi="Times New Roman"/>
                <w:sz w:val="18"/>
              </w:rPr>
              <w:t xml:space="preserve">Alignment to theoretical framework</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Q0. Please walk me through one specific disruption, failover, recovery test, or operational recovery in the last 36 months where you used an external recovery platform or managed recovery service.</w:t>
            </w:r>
          </w:p>
        </w:tc>
        <w:tc>
          <w:tcPr>
            <w:tcW w:w="2160" w:type="dxa"/>
          </w:tcPr>
          <w:p>
            <w:r>
              <w:rPr>
                <w:rFonts w:ascii="Times New Roman" w:hAnsi="Times New Roman"/>
                <w:sz w:val="18"/>
              </w:rPr>
              <w:t xml:space="preserve">Anchors the RQ in one named ITDRPaaS event rather than a general opinion about recovery.</w:t>
            </w:r>
          </w:p>
        </w:tc>
        <w:tc>
          <w:tcPr>
            <w:tcW w:w="2160" w:type="dxa"/>
          </w:tcPr>
          <w:p>
            <w:r>
              <w:rPr>
                <w:rFonts w:ascii="Times New Roman" w:hAnsi="Times New Roman"/>
                <w:sz w:val="18"/>
              </w:rPr>
              <w:t xml:space="preserve">Critical-incident account in which value-creation claims (Freeman et al., 2020) and salience attributes can be observed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L1. In that event, who actually moved what got restored first—or who could have stopped it?</w:t>
            </w:r>
          </w:p>
        </w:tc>
        <w:tc>
          <w:tcPr>
            <w:tcW w:w="2160" w:type="dxa"/>
          </w:tcPr>
          <w:p>
            <w:r>
              <w:rPr>
                <w:rFonts w:ascii="Times New Roman" w:hAnsi="Times New Roman"/>
                <w:sz w:val="18"/>
              </w:rPr>
              <w:t xml:space="preserve">Locates whose claim counted when restoration was ranked.</w:t>
            </w:r>
          </w:p>
        </w:tc>
        <w:tc>
          <w:tcPr>
            <w:tcW w:w="2160" w:type="dxa"/>
          </w:tcPr>
          <w:p>
            <w:r>
              <w:rPr>
                <w:rFonts w:ascii="Times New Roman" w:hAnsi="Times New Roman"/>
                <w:sz w:val="18"/>
              </w:rPr>
              <w:t xml:space="preserve">Power/legitimacy/urgency enacted as pull; not a fourth attribute.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L2. What gave that person or group the ability to move the decision—their position, a written rule, the clock, something else?</w:t>
            </w:r>
          </w:p>
        </w:tc>
        <w:tc>
          <w:tcPr>
            <w:tcW w:w="2160" w:type="dxa"/>
          </w:tcPr>
          <w:p>
            <w:r>
              <w:rPr>
                <w:rFonts w:ascii="Times New Roman" w:hAnsi="Times New Roman"/>
                <w:sz w:val="18"/>
              </w:rPr>
              <w:t xml:space="preserve">Identifies the source of that pull in the same event.</w:t>
            </w:r>
          </w:p>
        </w:tc>
        <w:tc>
          <w:tcPr>
            <w:tcW w:w="2160" w:type="dxa"/>
          </w:tcPr>
          <w:p>
            <w:r>
              <w:rPr>
                <w:rFonts w:ascii="Times New Roman" w:hAnsi="Times New Roman"/>
                <w:sz w:val="18"/>
              </w:rPr>
              <w:t xml:space="preserve">Maps the claim to power, legitimacy, and/or urgency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L3. If that pull had not been there, what would you have done differently?</w:t>
            </w:r>
          </w:p>
        </w:tc>
        <w:tc>
          <w:tcPr>
            <w:tcW w:w="2160" w:type="dxa"/>
          </w:tcPr>
          <w:p>
            <w:r>
              <w:rPr>
                <w:rFonts w:ascii="Times New Roman" w:hAnsi="Times New Roman"/>
                <w:sz w:val="18"/>
              </w:rPr>
              <w:t xml:space="preserve">Shows how competing priorities changed the recovery decision.</w:t>
            </w:r>
          </w:p>
        </w:tc>
        <w:tc>
          <w:tcPr>
            <w:tcW w:w="2160" w:type="dxa"/>
          </w:tcPr>
          <w:p>
            <w:r>
              <w:rPr>
                <w:rFonts w:ascii="Times New Roman" w:hAnsi="Times New Roman"/>
                <w:sz w:val="18"/>
              </w:rPr>
              <w:t xml:space="preserve">Counterfactual on salience-driven prioritization.</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A1. Whose request or pressure most affected what got restored first?</w:t>
            </w:r>
          </w:p>
        </w:tc>
        <w:tc>
          <w:tcPr>
            <w:tcW w:w="2160" w:type="dxa"/>
          </w:tcPr>
          <w:p>
            <w:r>
              <w:rPr>
                <w:rFonts w:ascii="Times New Roman" w:hAnsi="Times New Roman"/>
                <w:sz w:val="18"/>
              </w:rPr>
              <w:t xml:space="preserve">Power aspect of competing stakeholder priorities.</w:t>
            </w:r>
          </w:p>
        </w:tc>
        <w:tc>
          <w:tcPr>
            <w:tcW w:w="2160" w:type="dxa"/>
          </w:tcPr>
          <w:p>
            <w:r>
              <w:rPr>
                <w:rFonts w:ascii="Times New Roman" w:hAnsi="Times New Roman"/>
                <w:sz w:val="18"/>
              </w:rPr>
              <w:t xml:space="preserve">Power: capacity to force, withhold, delay, or override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A2. Was there anyone who could delay, override, or stop a recovery action you thought was right?</w:t>
            </w:r>
          </w:p>
        </w:tc>
        <w:tc>
          <w:tcPr>
            <w:tcW w:w="2160" w:type="dxa"/>
          </w:tcPr>
          <w:p>
            <w:r>
              <w:rPr>
                <w:rFonts w:ascii="Times New Roman" w:hAnsi="Times New Roman"/>
                <w:sz w:val="18"/>
              </w:rPr>
              <w:t xml:space="preserve">Power as unused or opposing pressure.</w:t>
            </w:r>
          </w:p>
        </w:tc>
        <w:tc>
          <w:tcPr>
            <w:tcW w:w="2160" w:type="dxa"/>
          </w:tcPr>
          <w:p>
            <w:r>
              <w:rPr>
                <w:rFonts w:ascii="Times New Roman" w:hAnsi="Times New Roman"/>
                <w:sz w:val="18"/>
              </w:rPr>
              <w:t xml:space="preserve">Power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B1. Whose claim to a service or a recovery order did people treat as having a right to ask for it?</w:t>
            </w:r>
          </w:p>
        </w:tc>
        <w:tc>
          <w:tcPr>
            <w:tcW w:w="2160" w:type="dxa"/>
          </w:tcPr>
          <w:p>
            <w:r>
              <w:rPr>
                <w:rFonts w:ascii="Times New Roman" w:hAnsi="Times New Roman"/>
                <w:sz w:val="18"/>
              </w:rPr>
              <w:t xml:space="preserve">Legitimacy of competing claims.</w:t>
            </w:r>
          </w:p>
        </w:tc>
        <w:tc>
          <w:tcPr>
            <w:tcW w:w="2160" w:type="dxa"/>
          </w:tcPr>
          <w:p>
            <w:r>
              <w:rPr>
                <w:rFonts w:ascii="Times New Roman" w:hAnsi="Times New Roman"/>
                <w:sz w:val="18"/>
              </w:rPr>
              <w:t xml:space="preserve">Legitimacy: claim treated as rightful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B2. Was anyone’s request treated as out of line or outside their role? What happened then?</w:t>
            </w:r>
          </w:p>
        </w:tc>
        <w:tc>
          <w:tcPr>
            <w:tcW w:w="2160" w:type="dxa"/>
          </w:tcPr>
          <w:p>
            <w:r>
              <w:rPr>
                <w:rFonts w:ascii="Times New Roman" w:hAnsi="Times New Roman"/>
                <w:sz w:val="18"/>
              </w:rPr>
              <w:t xml:space="preserve">Contested legitimacy during governance.</w:t>
            </w:r>
          </w:p>
        </w:tc>
        <w:tc>
          <w:tcPr>
            <w:tcW w:w="2160" w:type="dxa"/>
          </w:tcPr>
          <w:p>
            <w:r>
              <w:rPr>
                <w:rFonts w:ascii="Times New Roman" w:hAnsi="Times New Roman"/>
                <w:sz w:val="18"/>
              </w:rPr>
              <w:t xml:space="preserve">Legitimacy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C1. What made one service or one stakeholder more time-critical than another in that event?</w:t>
            </w:r>
          </w:p>
        </w:tc>
        <w:tc>
          <w:tcPr>
            <w:tcW w:w="2160" w:type="dxa"/>
          </w:tcPr>
          <w:p>
            <w:r>
              <w:rPr>
                <w:rFonts w:ascii="Times New Roman" w:hAnsi="Times New Roman"/>
                <w:sz w:val="18"/>
              </w:rPr>
              <w:t xml:space="preserve">Urgency as a driver of recovery priority.</w:t>
            </w:r>
          </w:p>
        </w:tc>
        <w:tc>
          <w:tcPr>
            <w:tcW w:w="2160" w:type="dxa"/>
          </w:tcPr>
          <w:p>
            <w:r>
              <w:rPr>
                <w:rFonts w:ascii="Times New Roman" w:hAnsi="Times New Roman"/>
                <w:sz w:val="18"/>
              </w:rPr>
              <w:t xml:space="preserve">Urgency: time sensitivity and criticality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C2. Did that sense of time pressure change while you were working the incident? What changed it?</w:t>
            </w:r>
          </w:p>
        </w:tc>
        <w:tc>
          <w:tcPr>
            <w:tcW w:w="2160" w:type="dxa"/>
          </w:tcPr>
          <w:p>
            <w:r>
              <w:rPr>
                <w:rFonts w:ascii="Times New Roman" w:hAnsi="Times New Roman"/>
                <w:sz w:val="18"/>
              </w:rPr>
              <w:t xml:space="preserve">Mid-incident salience shift.</w:t>
            </w:r>
          </w:p>
        </w:tc>
        <w:tc>
          <w:tcPr>
            <w:tcW w:w="2160" w:type="dxa"/>
          </w:tcPr>
          <w:p>
            <w:r>
              <w:rPr>
                <w:rFonts w:ascii="Times New Roman" w:hAnsi="Times New Roman"/>
                <w:sz w:val="18"/>
              </w:rPr>
              <w:t xml:space="preserve">Urgency as amplifier during the event.</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D1. Who was supposed to make the call on that tradeoff, and who actually made it?</w:t>
            </w:r>
          </w:p>
        </w:tc>
        <w:tc>
          <w:tcPr>
            <w:tcW w:w="2160" w:type="dxa"/>
          </w:tcPr>
          <w:p>
            <w:r>
              <w:rPr>
                <w:rFonts w:ascii="Times New Roman" w:hAnsi="Times New Roman"/>
                <w:sz w:val="18"/>
              </w:rPr>
              <w:t xml:space="preserve">Decision-rights part of ITDRPaaS governance.</w:t>
            </w:r>
          </w:p>
        </w:tc>
        <w:tc>
          <w:tcPr>
            <w:tcW w:w="2160" w:type="dxa"/>
          </w:tcPr>
          <w:p>
            <w:r>
              <w:rPr>
                <w:rFonts w:ascii="Times New Roman" w:hAnsi="Times New Roman"/>
                <w:sz w:val="18"/>
              </w:rPr>
              <w:t xml:space="preserve">Enactment of whose claim counted; framework remains PLU.</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D2. Was there a moment when you needed authority you did not have? What did you do?</w:t>
            </w:r>
          </w:p>
        </w:tc>
        <w:tc>
          <w:tcPr>
            <w:tcW w:w="2160" w:type="dxa"/>
          </w:tcPr>
          <w:p>
            <w:r>
              <w:rPr>
                <w:rFonts w:ascii="Times New Roman" w:hAnsi="Times New Roman"/>
                <w:sz w:val="18"/>
              </w:rPr>
              <w:t xml:space="preserve">Missing or bypassed decision rights.</w:t>
            </w:r>
          </w:p>
        </w:tc>
        <w:tc>
          <w:tcPr>
            <w:tcW w:w="2160" w:type="dxa"/>
          </w:tcPr>
          <w:p>
            <w:r>
              <w:rPr>
                <w:rFonts w:ascii="Times New Roman" w:hAnsi="Times New Roman"/>
                <w:sz w:val="18"/>
              </w:rPr>
              <w:t xml:space="preserve">Authority gap under salience pressure.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E1. What, if anything, triggered an escalation?</w:t>
            </w:r>
          </w:p>
        </w:tc>
        <w:tc>
          <w:tcPr>
            <w:tcW w:w="2160" w:type="dxa"/>
          </w:tcPr>
          <w:p>
            <w:r>
              <w:rPr>
                <w:rFonts w:ascii="Times New Roman" w:hAnsi="Times New Roman"/>
                <w:sz w:val="18"/>
              </w:rPr>
              <w:t xml:space="preserve">Escalation as a governance action under competing priorities.</w:t>
            </w:r>
          </w:p>
        </w:tc>
        <w:tc>
          <w:tcPr>
            <w:tcW w:w="2160" w:type="dxa"/>
          </w:tcPr>
          <w:p>
            <w:r>
              <w:rPr>
                <w:rFonts w:ascii="Times New Roman" w:hAnsi="Times New Roman"/>
                <w:sz w:val="18"/>
              </w:rPr>
              <w:t xml:space="preserve">How a stalled claim was moved upward or outward.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E2. Did escalation speed the restoration, slow it, or change what done meant?</w:t>
            </w:r>
          </w:p>
        </w:tc>
        <w:tc>
          <w:tcPr>
            <w:tcW w:w="2160" w:type="dxa"/>
          </w:tcPr>
          <w:p>
            <w:r>
              <w:rPr>
                <w:rFonts w:ascii="Times New Roman" w:hAnsi="Times New Roman"/>
                <w:sz w:val="18"/>
              </w:rPr>
              <w:t xml:space="preserve">Effect of escalation on recovery governance.</w:t>
            </w:r>
          </w:p>
        </w:tc>
        <w:tc>
          <w:tcPr>
            <w:tcW w:w="2160" w:type="dxa"/>
          </w:tcPr>
          <w:p>
            <w:r>
              <w:rPr>
                <w:rFonts w:ascii="Times New Roman" w:hAnsi="Times New Roman"/>
                <w:sz w:val="18"/>
              </w:rPr>
              <w:t xml:space="preserve">Salience translated into pathway and outcome.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F1. When you told others the service was recovered, what did you treat as enough proof?</w:t>
            </w:r>
          </w:p>
        </w:tc>
        <w:tc>
          <w:tcPr>
            <w:tcW w:w="2160" w:type="dxa"/>
          </w:tcPr>
          <w:p>
            <w:r>
              <w:rPr>
                <w:rFonts w:ascii="Times New Roman" w:hAnsi="Times New Roman"/>
                <w:sz w:val="18"/>
              </w:rPr>
              <w:t xml:space="preserve">Evidentiary standard in the named event.</w:t>
            </w:r>
          </w:p>
        </w:tc>
        <w:tc>
          <w:tcPr>
            <w:tcW w:w="2160" w:type="dxa"/>
          </w:tcPr>
          <w:p>
            <w:r>
              <w:rPr>
                <w:rFonts w:ascii="Times New Roman" w:hAnsi="Times New Roman"/>
                <w:sz w:val="18"/>
              </w:rPr>
              <w:t xml:space="preserve">What counted as defensible recoverability.</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F2. Did anyone ask for different proof mid-incident? What did you do?</w:t>
            </w:r>
          </w:p>
        </w:tc>
        <w:tc>
          <w:tcPr>
            <w:tcW w:w="2160" w:type="dxa"/>
          </w:tcPr>
          <w:p>
            <w:r>
              <w:rPr>
                <w:rFonts w:ascii="Times New Roman" w:hAnsi="Times New Roman"/>
                <w:sz w:val="18"/>
              </w:rPr>
              <w:t xml:space="preserve">Renegotiated proof under stakeholder pressure.</w:t>
            </w:r>
          </w:p>
        </w:tc>
        <w:tc>
          <w:tcPr>
            <w:tcW w:w="2160" w:type="dxa"/>
          </w:tcPr>
          <w:p>
            <w:r>
              <w:rPr>
                <w:rFonts w:ascii="Times New Roman" w:hAnsi="Times New Roman"/>
                <w:sz w:val="18"/>
              </w:rPr>
              <w:t xml:space="preserve">Salience shift enacted as a changed evidence threshold.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F3. Looking back, what would you point to if you had to defend that restoration?</w:t>
            </w:r>
          </w:p>
        </w:tc>
        <w:tc>
          <w:tcPr>
            <w:tcW w:w="2160" w:type="dxa"/>
          </w:tcPr>
          <w:p>
            <w:r>
              <w:rPr>
                <w:rFonts w:ascii="Times New Roman" w:hAnsi="Times New Roman"/>
                <w:sz w:val="18"/>
              </w:rPr>
              <w:t xml:space="preserve">Recoverability assurance as spoken defense, not a collected file.</w:t>
            </w:r>
          </w:p>
        </w:tc>
        <w:tc>
          <w:tcPr>
            <w:tcW w:w="2160" w:type="dxa"/>
          </w:tcPr>
          <w:p>
            <w:r>
              <w:rPr>
                <w:rFonts w:ascii="Times New Roman" w:hAnsi="Times New Roman"/>
                <w:sz w:val="18"/>
              </w:rPr>
              <w:t xml:space="preserve">Defensible proof of value restored for stakeholders (Freeman et al., 2020; Lowry et al., 2025).</w:t>
            </w:r>
          </w:p>
        </w:tc>
      </w:tr>
    </w:tbl>
    <w:p w14:paraId="5A4DA60F" w14:textId="77777777" w:rsidR="00AC0630" w:rsidRPr="00AC3820" w:rsidRDefault="00AC0630" w:rsidP="00AC0630">
      <w:pPr>
        <w:pStyle w:val="Heading5"/>
        <w:rPr>
          <w:color w:val="000000" w:themeColor="text1"/>
        </w:rPr>
      </w:pPr>
      <w:commentRangeStart w:id="25"/>
      <w:r w:rsidRPr="00AC3820">
        <w:rPr>
          <w:color w:val="000000" w:themeColor="text1"/>
        </w:rPr>
        <w:t>Detailed Procedures</w:t>
      </w:r>
      <w:commentRangeEnd w:id="25"/>
      <w:r w:rsidR="00DD2554" w:rsidRPr="00AC3820">
        <w:rPr>
          <w:rStyle w:val="CommentReference"/>
          <w:color w:val="000000" w:themeColor="text1"/>
          <w:sz w:val="24"/>
          <w:szCs w:val="26"/>
        </w:rPr>
        <w:commentReference w:id="25"/>
      </w:r>
    </w:p>
    <w:p w14:paraId="6FE862A4" w14:textId="77777777" w:rsidR="00AC0630" w:rsidRPr="00AC3820" w:rsidRDefault="00AC0630" w:rsidP="00AC0630">
      <w:pPr>
        <w:pStyle w:val="Body"/>
        <w:rPr>
          <w:i/>
          <w:iCs/>
          <w:color w:val="000000" w:themeColor="text1"/>
        </w:rPr>
      </w:pPr>
      <w:r w:rsidRPr="00AC3820">
        <w:rPr>
          <w:i/>
          <w:iCs/>
          <w:color w:val="000000" w:themeColor="text1"/>
        </w:rPr>
        <w:t>Present a description of the processes needed to complete the instruments by the participants or observers. Suggest</w:t>
      </w:r>
      <w:r w:rsidR="00E330FA" w:rsidRPr="00AC3820">
        <w:rPr>
          <w:i/>
          <w:iCs/>
          <w:color w:val="000000" w:themeColor="text1"/>
        </w:rPr>
        <w:t>ed</w:t>
      </w:r>
      <w:r w:rsidRPr="00AC3820">
        <w:rPr>
          <w:i/>
          <w:iCs/>
          <w:color w:val="000000" w:themeColor="text1"/>
        </w:rPr>
        <w:t xml:space="preserve"> length 3-4 paragraphs. </w:t>
      </w:r>
    </w:p>
    <w:p w14:paraId="6E06C543" w14:textId="77777777" w:rsidR="00536967" w:rsidRPr="00AC3820" w:rsidRDefault="00536967" w:rsidP="00AC0630">
      <w:pPr>
        <w:pStyle w:val="Body"/>
        <w:rPr>
          <w:i/>
          <w:iCs/>
          <w:color w:val="000000" w:themeColor="text1"/>
        </w:rPr>
      </w:pPr>
    </w:p>
    <w:p w14:paraId="37B60399" w14:textId="77777777" w:rsidR="00536967" w:rsidRPr="00AC3820" w:rsidRDefault="00536967" w:rsidP="00AC0630">
      <w:pPr>
        <w:pStyle w:val="Body"/>
        <w:rPr>
          <w:color w:val="000000" w:themeColor="text1"/>
        </w:rPr>
      </w:pPr>
    </w:p>
    <w:p w14:paraId="5B19E996" w14:textId="3B2769EA" w:rsidR="000E7013" w:rsidRPr="00AC3820" w:rsidRDefault="001A31D2" w:rsidP="006C70C5">
      <w:pPr>
        <w:spacing w:line="480" w:lineRule="auto"/>
        <w:ind w:firstLineChars="200" w:firstLine="480"/>
        <w:rPr>
          <w:color w:val="000000" w:themeColor="text1"/>
        </w:rPr>
      </w:pPr>
      <w:r w:rsidRPr="00AC3820">
        <w:rPr>
          <w:rStyle w:val="ng-star-inserted"/>
          <w:rFonts w:ascii="Times New Roman" w:hAnsi="Times New Roman" w:eastAsia="Times New Roman"/>
          <w:b w:val="0"/>
          <w:color w:val="000000" w:themeColor="text1"/>
          <w:sz w:val="24"/>
        </w:rPr>
        <w:t>Operational procedures begin with purposive and criterion sampling to identify qualified participants (Percy et al., 2015). The locked sample is 12. Inclusion requires service as an IT or network manager (or equivalent systems, infrastructure, or IT operations role) in a U.S. SME of 10 to 200 personnel (U.S. Small Business Administration, 2026); direct operational responsibility for, or participation in, IT disaster-recovery coordination that uses an external platform or managed recovery service; and at least one disruption, failover, recovery test, or operational recovery in the preceding 36 months. Vendor-only employees and managers who cannot name a qualifying event are excluded. After eligibility is verified, the researcher emails the informed consent form; once signed electronic consent is returned, a virtual, recorded English interview is scheduled.</w:t>
      </w:r>
      <w:r w:rsidR="000E7013"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0E7013" w:rsidRPr="00AC3820">
        <w:rPr>
          <w:color w:val="000000" w:themeColor="text1"/>
        </w:rPr>
      </w:r>
    </w:p>
    <w:p w14:paraId="5D10196E" w14:textId="6743963A" w:rsidR="006C70C5" w:rsidRPr="00AC3820" w:rsidRDefault="001A31D2" w:rsidP="006C70C5">
      <w:pPr>
        <w:spacing w:line="480" w:lineRule="auto"/>
        <w:rPr>
          <w:color w:val="000000" w:themeColor="text1"/>
        </w:rPr>
      </w:pPr>
      <w:r w:rsidRPr="00AC3820">
        <w:rPr>
          <w:rStyle w:val="ng-star-inserted"/>
          <w:rFonts w:ascii="Times New Roman" w:hAnsi="Times New Roman" w:eastAsia="Times New Roman"/>
          <w:color w:val="000000" w:themeColor="text1"/>
          <w:sz w:val="24"/>
        </w:rPr>
        <w:t>The locked sample remains 12 throughout screening, scheduling, and analysis. That count is not a finding that the gap is closed.</w:t>
      </w:r>
      <w:r w:rsidRPr="00AC3820">
        <w:rPr>
          <w:rStyle w:val="ng-star-inserted"/>
          <w:color w:val="000000" w:themeColor="text1"/>
        </w:rPr>
      </w:r>
      <w:r w:rsidR="000E7013" w:rsidRPr="00AC3820">
        <w:rPr>
          <w:rStyle w:val="ng-star-inserted"/>
          <w:color w:val="000000" w:themeColor="text1"/>
        </w:rPr>
      </w:r>
      <w:r w:rsidR="000E7013" w:rsidRPr="00AD3765">
        <w:rPr>
          <w:rStyle w:val="ng-star-inserted"/>
          <w:color w:val="000000" w:themeColor="text1"/>
          <w:highlight w:val="cyan"/>
        </w:rPr>
      </w:r>
      <w:r w:rsidR="00AD3765" w:rsidRPr="00AD3765">
        <w:rPr>
          <w:rStyle w:val="ng-star-inserted"/>
          <w:color w:val="000000" w:themeColor="text1"/>
          <w:highlight w:val="cyan"/>
        </w:rPr>
      </w:r>
      <w:r w:rsidR="000E7013" w:rsidRPr="00AD3765">
        <w:rPr>
          <w:rStyle w:val="ng-star-inserted"/>
          <w:color w:val="000000" w:themeColor="text1"/>
          <w:highlight w:val="cyan"/>
        </w:rPr>
      </w:r>
      <w:r w:rsidRPr="00AD3765">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4EF64A93" w14:textId="2DDD9CF6" w:rsidR="006C70C5" w:rsidRPr="00AC3820" w:rsidRDefault="001A31D2" w:rsidP="006C70C5">
      <w:pPr>
        <w:spacing w:line="480" w:lineRule="auto"/>
        <w:ind w:firstLine="720"/>
        <w:rPr>
          <w:rStyle w:val="ng-star-inserted"/>
          <w:color w:val="000000" w:themeColor="text1"/>
        </w:rPr>
      </w:pPr>
      <w:r w:rsidRPr="00AC3820">
        <w:rPr>
          <w:rStyle w:val="ng-star-inserted"/>
          <w:rFonts w:ascii="Times New Roman" w:hAnsi="Times New Roman" w:eastAsia="Times New Roman"/>
          <w:b w:val="0"/>
          <w:color w:val="000000" w:themeColor="text1"/>
          <w:sz w:val="24"/>
        </w:rPr>
        <w:t>The second phase is the semi-structured interview. The session opens with a standardized ethics script, then uses the critical-incident technique (Flanagan, 1954; Gremler, 2004). The participant is asked to walk through one specific recovery or testing incident. The researcher guides the dialogue with open-ended questions and flexible probes anchored in stakeholder-salience theory (Mitchell et al., 1997). Probes address whose request or pressure moved restore order, whose claim was treated as rightful, what made one service time-critical, who was supposed to decide versus who did, what if anything was escalated, and what counted as enough proof that the service was recovered. Guest et al. (2006) is not the interview method.</w:t>
      </w:r>
      <w:r w:rsidR="000E7013" w:rsidRPr="00AC3820">
        <w:rPr>
          <w:rStyle w:val="ng-star-inserted"/>
          <w:color w:val="000000" w:themeColor="text1"/>
        </w:rPr>
      </w:r>
      <w:r w:rsidR="00537FD4"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0E7013" w:rsidRPr="00AC3820">
        <w:rPr>
          <w:color w:val="000000" w:themeColor="text1"/>
        </w:rPr>
      </w:r>
      <w:r w:rsidR="000E7013" w:rsidRPr="00AC3820">
        <w:rPr>
          <w:rStyle w:val="ng-star-inserted"/>
          <w:color w:val="000000" w:themeColor="text1"/>
        </w:rPr>
      </w:r>
      <w:r w:rsidR="000E7013" w:rsidRPr="00AA13BF">
        <w:rPr>
          <w:rStyle w:val="ng-star-inserted"/>
          <w:color w:val="000000" w:themeColor="text1"/>
          <w:highlight w:val="cyan"/>
        </w:rPr>
      </w:r>
      <w:r w:rsidR="000E7013" w:rsidRPr="00AC3820">
        <w:rPr>
          <w:rStyle w:val="ng-star-inserted"/>
          <w:color w:val="000000" w:themeColor="text1"/>
        </w:rPr>
      </w:r>
      <w:r w:rsidR="00247AE5" w:rsidRPr="00AC3820">
        <w:rPr>
          <w:rStyle w:val="ng-star-inserted"/>
          <w:color w:val="000000" w:themeColor="text1"/>
        </w:rPr>
      </w:r>
      <w:r w:rsidR="00537FD4" w:rsidRPr="00AC3820">
        <w:rPr>
          <w:rStyle w:val="ng-star-inserted"/>
          <w:color w:val="000000" w:themeColor="text1"/>
        </w:rPr>
      </w:r>
      <w:r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537FD4" w:rsidRPr="00AC3820">
        <w:rPr>
          <w:rStyle w:val="ng-star-inserted"/>
          <w:color w:val="000000" w:themeColor="text1"/>
        </w:rPr>
      </w:r>
      <w:r w:rsidR="006C70C5"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4B2AB4">
        <w:rPr>
          <w:rStyle w:val="ng-star-inserted"/>
          <w:color w:val="000000" w:themeColor="text1"/>
          <w:sz w:val="22"/>
          <w:szCs w:val="22"/>
          <w:highlight w:val="cyan"/>
        </w:rPr>
      </w:r>
      <w:r w:rsidR="00537FD4" w:rsidRPr="00F75B74">
        <w:rPr>
          <w:rStyle w:val="ng-star-inserted"/>
          <w:color w:val="000000" w:themeColor="text1"/>
          <w:highlight w:val="cyan"/>
        </w:rPr>
      </w:r>
      <w:r w:rsidR="00F75B74" w:rsidRPr="00F75B74">
        <w:rPr>
          <w:rStyle w:val="ng-star-inserted"/>
          <w:color w:val="000000" w:themeColor="text1"/>
          <w:highlight w:val="cyan"/>
        </w:rPr>
      </w:r>
      <w:r w:rsidR="00537FD4" w:rsidRPr="00F75B74">
        <w:rPr>
          <w:rStyle w:val="ng-star-inserted"/>
          <w:color w:val="000000" w:themeColor="text1"/>
          <w:highlight w:val="cyan"/>
        </w:rPr>
      </w:r>
      <w:r w:rsidR="000E7013" w:rsidRPr="00AC3820">
        <w:rPr>
          <w:rStyle w:val="ng-star-inserted"/>
          <w:color w:val="000000" w:themeColor="text1"/>
        </w:rPr>
      </w:r>
      <w:r w:rsidRPr="00AC3820">
        <w:rPr>
          <w:rStyle w:val="ng-star-inserted"/>
          <w:color w:val="000000" w:themeColor="text1"/>
        </w:rPr>
      </w:r>
      <w:r w:rsidRPr="00EB61EE">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3676E162" w14:textId="564DE756" w:rsidR="00BF6248" w:rsidRPr="00BF6248" w:rsidRDefault="006C70C5" w:rsidP="00BF6248">
      <w:pPr>
        <w:spacing w:line="480" w:lineRule="auto"/>
        <w:ind w:firstLine="720"/>
        <w:rPr>
          <w:b/>
          <w:bCs/>
        </w:rPr>
      </w:pPr>
      <w:commentRangeStart w:id="26"/>
      <w:r w:rsidRPr="00AC3820">
        <w:rPr>
          <w:rStyle w:val="ng-star-inserted"/>
          <w:rFonts w:ascii="Times New Roman" w:hAnsi="Times New Roman" w:eastAsia="Times New Roman"/>
          <w:color w:val="000000" w:themeColor="text1"/>
          <w:sz w:val="24"/>
        </w:rPr>
        <w:t>Data collection is interviews only. The researcher will not collect, score, or audit disaster-recovery plans, escalation matrices, ISO, NIST, or BCM documents. If the participant names such a record, the researcher will ask what it did in the incident and record that spoken account. After the session, the recording is transcribed verbatim. To support credibility, the researcher will send a de-identified transcript for a seven-day factual member check of sequence, roles, and what was named as proof (Lincoln &amp; Guba, 1985). Member checking does not require approval of final themes.</w:t>
      </w:r>
      <w:r w:rsidRPr="00AA13BF">
        <w:rPr>
          <w:rStyle w:val="ng-star-inserted"/>
          <w:color w:val="000000" w:themeColor="text1"/>
        </w:rPr>
      </w:r>
      <w:r w:rsidRPr="00AC3820">
        <w:rPr>
          <w:rStyle w:val="ng-star-inserted"/>
          <w:color w:val="000000" w:themeColor="text1"/>
        </w:rPr>
      </w:r>
      <w:r w:rsidRPr="00AA13BF">
        <w:rPr>
          <w:rStyle w:val="ng-star-inserted"/>
          <w:color w:val="000000" w:themeColor="text1"/>
          <w:highlight w:val="green"/>
        </w:rPr>
      </w:r>
      <w:r w:rsidRPr="00AC3820">
        <w:rPr>
          <w:rStyle w:val="ng-star-inserted"/>
          <w:color w:val="000000" w:themeColor="text1"/>
        </w:rPr>
      </w:r>
      <w:commentRangeEnd w:id="26"/>
      <w:r w:rsidR="00995D09" w:rsidRPr="00AC3820">
        <w:rPr>
          <w:rStyle w:val="CommentReference"/>
          <w:color w:val="000000" w:themeColor="text1"/>
          <w:sz w:val="24"/>
          <w:szCs w:val="24"/>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Pr="00AA13BF">
        <w:rPr>
          <w:rStyle w:val="ng-star-inserted"/>
          <w:color w:val="000000" w:themeColor="text1"/>
          <w:highlight w:val="cyan"/>
        </w:rPr>
      </w:r>
      <w:r w:rsidRPr="00AC3820">
        <w:rPr>
          <w:rStyle w:val="ng-star-inserted"/>
          <w:color w:val="000000" w:themeColor="text1"/>
        </w:rPr>
      </w:r>
      <w:r w:rsidR="008C1B5E" w:rsidRPr="00AC3820">
        <w:rPr>
          <w:rStyle w:val="ng-star-inserted"/>
          <w:color w:val="000000" w:themeColor="text1"/>
        </w:rPr>
      </w:r>
      <w:r w:rsidRPr="00AC3820">
        <w:rPr>
          <w:rStyle w:val="ng-star-inserted"/>
          <w:color w:val="000000" w:themeColor="text1"/>
        </w:rPr>
      </w:r>
      <w:r w:rsidRPr="00BF6248">
        <w:rPr>
          <w:rStyle w:val="ng-star-inserted"/>
          <w:color w:val="000000" w:themeColor="text1"/>
          <w:highlight w:val="cyan"/>
        </w:rPr>
      </w:r>
      <w:commentRangeStart w:id="27"/>
      <w:commentRangeStart w:id="28"/>
      <w:commentRangeStart w:id="29"/>
      <w:r w:rsidRPr="00BF6248">
        <w:rPr>
          <w:rStyle w:val="ng-star-inserted"/>
          <w:strike/>
          <w:color w:val="000000" w:themeColor="text1"/>
          <w:highlight w:val="cyan"/>
        </w:rPr>
      </w:r>
      <w:r w:rsidRPr="00BF6248">
        <w:rPr>
          <w:rStyle w:val="ng-star-inserted"/>
          <w:strike/>
          <w:color w:val="000000" w:themeColor="text1"/>
          <w:highlight w:val="yellow"/>
        </w:rPr>
      </w:r>
      <w:commentRangeEnd w:id="27"/>
      <w:r w:rsidR="00E6017D">
        <w:rPr>
          <w:rStyle w:val="CommentReference"/>
          <w:strike/>
          <w:color w:val="000000" w:themeColor="text1"/>
          <w:sz w:val="24"/>
          <w:szCs w:val="24"/>
        </w:rPr>
      </w:r>
      <w:commentRangeEnd w:id="28"/>
      <w:r w:rsidR="00BF6248">
        <w:rPr>
          <w:rStyle w:val="CommentReference"/>
          <w:strike/>
          <w:color w:val="000000" w:themeColor="text1"/>
          <w:sz w:val="24"/>
          <w:szCs w:val="24"/>
        </w:rPr>
      </w:r>
      <w:commentRangeEnd w:id="29"/>
      <w:r w:rsidR="00EB61EE">
        <w:rPr>
          <w:rStyle w:val="CommentReference"/>
          <w:strike/>
          <w:color w:val="000000" w:themeColor="text1"/>
          <w:sz w:val="24"/>
          <w:szCs w:val="24"/>
        </w:rPr>
      </w:r>
      <w:r w:rsidR="00BF6248">
        <w:rPr>
          <w:rStyle w:val="ng-star-inserted"/>
          <w:strike/>
          <w:color w:val="000000" w:themeColor="text1"/>
        </w:rPr>
      </w:r>
      <w:r w:rsidR="00BF6248" w:rsidRPr="00BF6248">
        <w:rPr>
          <w:rStyle w:val="Strong"/>
          <w:b w:val="0"/>
          <w:bCs w:val="0"/>
          <w:highlight w:val="cyan"/>
        </w:rPr>
      </w:r>
      <w:r w:rsidR="00BF6248"/>
      <w:r w:rsidR="00BF6248"/>
      <w:r w:rsidR="00BF6248"/>
    </w:p>
    <w:p w14:paraId="14B7A2C2" w14:textId="77777777" w:rsidR="00AC0630" w:rsidRPr="00AC3820" w:rsidRDefault="00AC0630" w:rsidP="00AC0630">
      <w:pPr>
        <w:pStyle w:val="Heading5"/>
        <w:rPr>
          <w:color w:val="000000" w:themeColor="text1"/>
        </w:rPr>
      </w:pPr>
      <w:r w:rsidRPr="00AC3820">
        <w:rPr>
          <w:color w:val="000000" w:themeColor="text1"/>
        </w:rPr>
        <w:t>Validity/Reliability/Credibility/Dependability</w:t>
      </w:r>
    </w:p>
    <w:p w14:paraId="63EBA379" w14:textId="77777777" w:rsidR="00AC0630" w:rsidRPr="00AC3820" w:rsidRDefault="00AC0630" w:rsidP="00AC0630">
      <w:pPr>
        <w:pStyle w:val="Body"/>
        <w:rPr>
          <w:i/>
          <w:iCs/>
          <w:color w:val="000000" w:themeColor="text1"/>
        </w:rPr>
      </w:pPr>
      <w:r w:rsidRPr="00AC3820">
        <w:rPr>
          <w:i/>
          <w:iCs/>
          <w:color w:val="000000" w:themeColor="text1"/>
        </w:rPr>
        <w:t xml:space="preserve">Identify and present the potential threats to reliability and validity (quantitative techniques) or trustworthiness (qualitative techniques). Include a proposed plan to mitigate the noted threats. Suggested length 1-2 paragraphs. </w:t>
      </w:r>
    </w:p>
    <w:p w14:paraId="6CBF21C1" w14:textId="77777777" w:rsidR="00DD2554" w:rsidRPr="00AC3820" w:rsidRDefault="00DD2554" w:rsidP="00AC0630">
      <w:pPr>
        <w:pStyle w:val="Body"/>
        <w:rPr>
          <w:color w:val="000000" w:themeColor="text1"/>
        </w:rPr>
      </w:pPr>
    </w:p>
    <w:p w14:paraId="61EB3F3B" w14:textId="4093DD17" w:rsidR="00AC0630" w:rsidRPr="00AC3820" w:rsidRDefault="00537FD4" w:rsidP="00537FD4">
      <w:pPr>
        <w:pStyle w:val="Body"/>
        <w:spacing w:line="480" w:lineRule="auto"/>
        <w:ind w:firstLine="720"/>
        <w:rPr>
          <w:i/>
          <w:iCs/>
          <w:color w:val="000000" w:themeColor="text1"/>
        </w:rPr>
      </w:pPr>
      <w:r w:rsidRPr="00AC3820">
        <w:rPr>
          <w:rFonts w:ascii="Times New Roman" w:hAnsi="Times New Roman" w:eastAsia="Times New Roman"/>
          <w:b w:val="0"/>
          <w:color w:val="000000" w:themeColor="text1"/>
          <w:sz w:val="24"/>
          <w:szCs w:val="24"/>
        </w:rPr>
        <w:t>This project uses the qualitative trustworthiness criteria of credibility, dependability, confirmability, and transferability (Lincoln &amp; Guba, 1985). Credibility will be supported by critical-incident interviews, a seven-day factual member check, SME-panel review of the interview guide, and two to three mock or pilot interviews before the n = 12 corpus is collected (Morse, 2015). Dependability will be supported by a dated audit trail of protocol versions, codebook changes, and analytic memos (Paulus, 2023). Confirmability will be supported by reflexive memos that separate participant accounts from researcher interpretation. Transferability will be supported by rich, de-identified descriptions of incident context without naming employers, vendors, or products. Expert review and pilot testing belong to instrument development; they are not a second data-collection stream and they are not used as findings.</w:t>
      </w:r>
      <w:r w:rsidRPr="001B1529">
        <w:rPr>
          <w:color w:val="000000" w:themeColor="text1"/>
          <w:sz w:val="24"/>
          <w:szCs w:val="24"/>
          <w:highlight w:val="yellow"/>
        </w:rPr>
      </w:r>
      <w:r w:rsidRPr="00AC3820">
        <w:rPr>
          <w:color w:val="000000" w:themeColor="text1"/>
          <w:sz w:val="24"/>
          <w:szCs w:val="24"/>
        </w:rPr>
      </w:r>
      <w:r w:rsidRPr="00AC3820">
        <w:rPr>
          <w:color w:val="000000" w:themeColor="text1"/>
          <w:sz w:val="24"/>
          <w:szCs w:val="24"/>
        </w:rPr>
      </w:r>
      <w:r w:rsidR="0028214A" w:rsidRPr="00AC3820">
        <w:rPr>
          <w:color w:val="000000" w:themeColor="text1"/>
          <w:sz w:val="24"/>
          <w:szCs w:val="24"/>
        </w:rPr>
      </w:r>
      <w:r w:rsidR="0028214A" w:rsidRPr="00AC3820">
        <w:rPr>
          <w:color w:val="000000" w:themeColor="text1"/>
          <w:sz w:val="24"/>
          <w:szCs w:val="24"/>
        </w:rPr>
      </w:r>
      <w:r w:rsidRPr="00AC3820">
        <w:rPr>
          <w:color w:val="000000" w:themeColor="text1"/>
          <w:sz w:val="24"/>
          <w:szCs w:val="24"/>
        </w:rPr>
      </w:r>
      <w:r w:rsidR="0028214A">
        <w:rPr>
          <w:color w:val="000000" w:themeColor="text1"/>
          <w:sz w:val="24"/>
          <w:szCs w:val="24"/>
        </w:rPr>
      </w:r>
      <w:r w:rsidR="0028214A" w:rsidRPr="00AC3820">
        <w:rPr>
          <w:color w:val="000000" w:themeColor="text1"/>
          <w:sz w:val="24"/>
          <w:szCs w:val="24"/>
        </w:rPr>
      </w:r>
      <w:r w:rsidRPr="00AC3820">
        <w:rPr>
          <w:color w:val="000000" w:themeColor="text1"/>
          <w:sz w:val="24"/>
          <w:szCs w:val="24"/>
        </w:rPr>
      </w:r>
      <w:commentRangeStart w:id="30"/>
      <w:r w:rsidRPr="00AC3820">
        <w:rPr>
          <w:color w:val="000000" w:themeColor="text1"/>
          <w:sz w:val="24"/>
          <w:szCs w:val="24"/>
        </w:rPr>
      </w:r>
      <w:commentRangeEnd w:id="30"/>
      <w:r w:rsidR="00D06C0D">
        <w:rPr>
          <w:rStyle w:val="CommentReference"/>
          <w:color w:val="000000" w:themeColor="text1"/>
          <w:sz w:val="24"/>
          <w:szCs w:val="24"/>
        </w:rPr>
      </w:r>
      <w:r w:rsidR="0028214A">
        <w:rPr>
          <w:color w:val="000000" w:themeColor="text1"/>
          <w:sz w:val="24"/>
          <w:szCs w:val="24"/>
        </w:rPr>
      </w:r>
      <w:r w:rsidRPr="00AC3820">
        <w:rPr>
          <w:color w:val="000000" w:themeColor="text1"/>
          <w:sz w:val="24"/>
          <w:szCs w:val="24"/>
        </w:rPr>
      </w:r>
      <w:r w:rsidR="0028214A">
        <w:rPr>
          <w:color w:val="000000" w:themeColor="text1"/>
          <w:sz w:val="24"/>
          <w:szCs w:val="24"/>
        </w:rPr>
      </w:r>
      <w:r w:rsidRPr="00AC3820">
        <w:rPr>
          <w:color w:val="000000" w:themeColor="text1"/>
          <w:sz w:val="24"/>
          <w:szCs w:val="24"/>
        </w:rPr>
      </w:r>
      <w:commentRangeStart w:id="31"/>
      <w:r w:rsidRPr="00AC3820">
        <w:rPr>
          <w:color w:val="000000" w:themeColor="text1"/>
          <w:sz w:val="24"/>
          <w:szCs w:val="24"/>
        </w:rPr>
      </w:r>
      <w:commentRangeEnd w:id="31"/>
      <w:r w:rsidR="00D954B2" w:rsidRPr="00AC3820">
        <w:rPr>
          <w:rStyle w:val="CommentReference"/>
          <w:color w:val="000000" w:themeColor="text1"/>
          <w:sz w:val="24"/>
          <w:szCs w:val="24"/>
        </w:rPr>
      </w:r>
      <w:r w:rsidRPr="00AC3820">
        <w:rPr>
          <w:color w:val="000000" w:themeColor="text1"/>
          <w:sz w:val="24"/>
          <w:szCs w:val="24"/>
        </w:rPr>
      </w:r>
      <w:r w:rsidRPr="00AC3820">
        <w:rPr>
          <w:i/>
          <w:iCs/>
          <w:color w:val="000000" w:themeColor="text1"/>
        </w:rPr>
      </w:r>
    </w:p>
    <w:p w14:paraId="18E5B851" w14:textId="77777777" w:rsidR="00AC0630" w:rsidRPr="00AC3820" w:rsidRDefault="00AC0630" w:rsidP="00AC0630">
      <w:pPr>
        <w:pStyle w:val="Heading2"/>
        <w:rPr>
          <w:color w:val="000000" w:themeColor="text1"/>
        </w:rPr>
      </w:pPr>
      <w:r w:rsidRPr="00AC3820">
        <w:rPr>
          <w:color w:val="000000" w:themeColor="text1"/>
        </w:rPr>
        <w:t>Proposed Data Collection</w:t>
      </w:r>
    </w:p>
    <w:p w14:paraId="3FDCB4E5" w14:textId="77777777" w:rsidR="00AC0630" w:rsidRPr="00AC3820" w:rsidRDefault="00AC0630" w:rsidP="00891FB6">
      <w:pPr>
        <w:pStyle w:val="Body"/>
        <w:shd w:val="clear" w:color="auto" w:fill="E7E6E6"/>
        <w:rPr>
          <w:i/>
          <w:iCs/>
          <w:color w:val="000000" w:themeColor="text1"/>
        </w:rPr>
      </w:pPr>
      <w:r w:rsidRPr="00AC3820">
        <w:rPr>
          <w:i/>
          <w:iCs/>
          <w:color w:val="000000" w:themeColor="text1"/>
        </w:rPr>
        <w:t>Describe sampling, recruitment, data collection procedures</w:t>
      </w:r>
      <w:r w:rsidR="00E43461" w:rsidRPr="00AC3820">
        <w:rPr>
          <w:i/>
          <w:iCs/>
          <w:color w:val="000000" w:themeColor="text1"/>
        </w:rPr>
        <w:t>,</w:t>
      </w:r>
      <w:r w:rsidRPr="00AC3820">
        <w:rPr>
          <w:i/>
          <w:iCs/>
          <w:color w:val="000000" w:themeColor="text1"/>
        </w:rPr>
        <w:t xml:space="preserve"> and potential ethical considerations.</w:t>
      </w:r>
    </w:p>
    <w:p w14:paraId="11149B3F" w14:textId="77777777" w:rsidR="00AC0630" w:rsidRPr="00AC3820" w:rsidRDefault="00AC0630" w:rsidP="00AC0630">
      <w:pPr>
        <w:pStyle w:val="Body"/>
        <w:rPr>
          <w:i/>
          <w:iCs/>
          <w:color w:val="000000" w:themeColor="text1"/>
        </w:rPr>
      </w:pPr>
    </w:p>
    <w:p w14:paraId="63E684AE" w14:textId="77777777" w:rsidR="00537FD4" w:rsidRPr="00AC3820" w:rsidRDefault="00537FD4" w:rsidP="00537FD4">
      <w:pPr>
        <w:pStyle w:val="Body"/>
        <w:rPr>
          <w:i/>
          <w:iCs/>
          <w:color w:val="000000" w:themeColor="text1"/>
        </w:rPr>
      </w:pPr>
      <w:r w:rsidRPr="00AC3820">
        <w:rPr>
          <w:color w:val="000000" w:themeColor="text1"/>
        </w:rPr>
        <w:t>Why does such a small number affect so great a populous when action transpires</w:t>
      </w:r>
      <w:r w:rsidRPr="00AC3820">
        <w:rPr>
          <w:i/>
          <w:iCs/>
          <w:color w:val="000000" w:themeColor="text1"/>
        </w:rPr>
        <w:t>.</w:t>
      </w:r>
    </w:p>
    <w:p w14:paraId="5E94827F" w14:textId="77777777" w:rsidR="00AC0630" w:rsidRPr="00AC3820" w:rsidRDefault="00AC0630" w:rsidP="00BF5ECF">
      <w:pPr>
        <w:pStyle w:val="Heading5"/>
        <w:rPr>
          <w:color w:val="000000" w:themeColor="text1"/>
        </w:rPr>
      </w:pPr>
      <w:commentRangeStart w:id="32"/>
      <w:commentRangeStart w:id="33"/>
      <w:r w:rsidRPr="00AC3820">
        <w:rPr>
          <w:color w:val="000000" w:themeColor="text1"/>
        </w:rPr>
        <w:t>Sampling Strategy, Number participants</w:t>
      </w:r>
    </w:p>
    <w:p w14:paraId="025F2E56" w14:textId="77777777" w:rsidR="00AC0630" w:rsidRDefault="00AC0630" w:rsidP="00AC0630">
      <w:pPr>
        <w:pStyle w:val="Body"/>
        <w:rPr>
          <w:i/>
          <w:iCs/>
          <w:color w:val="000000" w:themeColor="text1"/>
        </w:rPr>
      </w:pPr>
      <w:r w:rsidRPr="00AC3820">
        <w:rPr>
          <w:i/>
          <w:iCs/>
          <w:color w:val="000000" w:themeColor="text1"/>
        </w:rPr>
        <w:t xml:space="preserve">Describe, explain, and justify the sampling strategy to be used. Suggested length 2-3 </w:t>
      </w:r>
      <w:r w:rsidR="00BF5ECF" w:rsidRPr="00AC3820">
        <w:rPr>
          <w:i/>
          <w:iCs/>
          <w:color w:val="000000" w:themeColor="text1"/>
        </w:rPr>
        <w:t>paragraphs</w:t>
      </w:r>
      <w:r w:rsidRPr="00AC3820">
        <w:rPr>
          <w:i/>
          <w:iCs/>
          <w:color w:val="000000" w:themeColor="text1"/>
        </w:rPr>
        <w:t>.</w:t>
      </w:r>
    </w:p>
    <w:p w14:paraId="2C9BD168" w14:textId="77777777" w:rsidR="00B5783E" w:rsidRDefault="00B5783E" w:rsidP="00AC0630">
      <w:pPr>
        <w:pStyle w:val="Body"/>
        <w:rPr>
          <w:i/>
          <w:iCs/>
          <w:color w:val="000000" w:themeColor="text1"/>
        </w:rPr>
      </w:pPr>
    </w:p>
    <w:p w14:paraId="2A57FFCA" w14:textId="3EAB69BF" w:rsidR="00B5783E" w:rsidRPr="00687642" w:rsidRDefault="00B5783E" w:rsidP="00B5783E">
      <w:pPr>
        <w:pStyle w:val="Body"/>
        <w:ind w:firstLine="720"/>
        <w:rPr>
          <w:sz w:val="24"/>
          <w:szCs w:val="24"/>
        </w:rPr>
      </w:pPr>
      <w:r w:rsidRPr="00687642">
        <w:rPr>
          <w:rFonts w:ascii="Times New Roman" w:hAnsi="Times New Roman" w:eastAsia="Times New Roman"/>
          <w:b w:val="0"/>
          <w:sz w:val="24"/>
          <w:szCs w:val="24"/>
        </w:rPr>
        <w:t>This study will use a non-probability, criterion-based purposive sampling strategy to select information-rich participants whose professional roles and recent recovery experience align with the research purpose (Percy et al., 2015; Creswell &amp; Poth, 2024). The target population consists of U.S. SME IT network, systems, infrastructure, or operations managers in small and medium-sized enterprises of 10 to 200 personnel who have direct responsibility for, or participation in, IT disaster recovery that uses an external recovery platform, managed recovery service, ITDRPaaS, or a functionally equivalent cloud-recovery capability. Inclusion requires at least one disruption, failover, recovery test, or operational recovery in the preceding 36 months in which that external capability was used. Individuals employed only by a vendor, or who lack direct platform-mediated recovery responsibility, will be excluded. Criterion-based purposive sampling is appropriate for this generic qualitative inquiry because the researcher will deliberately select participants who can recount a named recovery event rather than attempt to obtain a statistically representative sample (Percy et al., 2015).</w:t>
      </w:r>
      <w:r w:rsidRPr="00CF5F34">
        <w:rPr>
          <w:b/>
          <w:bCs/>
          <w:sz w:val="24"/>
          <w:szCs w:val="24"/>
        </w:rPr>
      </w:r>
      <w:r w:rsidR="00D73EE2" w:rsidRPr="00CF5F34">
        <w:rPr>
          <w:b/>
          <w:bCs/>
          <w:sz w:val="24"/>
          <w:szCs w:val="24"/>
        </w:rPr>
      </w:r>
      <w:r w:rsidRPr="00CF5F34">
        <w:rPr>
          <w:b/>
          <w:bCs/>
          <w:sz w:val="24"/>
          <w:szCs w:val="24"/>
        </w:rPr>
      </w:r>
      <w:r w:rsidRPr="00687642">
        <w:rPr>
          <w:sz w:val="24"/>
          <w:szCs w:val="24"/>
        </w:rPr>
      </w:r>
      <w:r w:rsidRPr="00AD3765">
        <w:rPr>
          <w:sz w:val="24"/>
          <w:szCs w:val="24"/>
          <w:highlight w:val="cyan"/>
        </w:rPr>
      </w:r>
      <w:r w:rsidR="00AD3765" w:rsidRPr="00AD3765">
        <w:rPr>
          <w:sz w:val="24"/>
          <w:szCs w:val="24"/>
          <w:highlight w:val="cyan"/>
        </w:rPr>
      </w:r>
      <w:r w:rsidRPr="00AD3765">
        <w:rPr>
          <w:sz w:val="24"/>
          <w:szCs w:val="24"/>
          <w:highlight w:val="cyan"/>
        </w:rPr>
      </w:r>
      <w:r w:rsidRPr="00687642">
        <w:rPr>
          <w:sz w:val="24"/>
          <w:szCs w:val="24"/>
        </w:rPr>
      </w:r>
      <w:r w:rsidRPr="00CF5F34">
        <w:rPr>
          <w:b/>
          <w:bCs/>
          <w:sz w:val="24"/>
          <w:szCs w:val="24"/>
        </w:rPr>
      </w:r>
      <w:r w:rsidR="00CF5F34" w:rsidRPr="00CF5F34">
        <w:rPr>
          <w:b/>
          <w:bCs/>
          <w:sz w:val="24"/>
          <w:szCs w:val="24"/>
        </w:rPr>
      </w:r>
      <w:r w:rsidRPr="00CF5F34">
        <w:rPr>
          <w:b/>
          <w:bCs/>
          <w:sz w:val="24"/>
          <w:szCs w:val="24"/>
        </w:rPr>
      </w:r>
      <w:r w:rsidRPr="00687642">
        <w:rPr>
          <w:sz w:val="24"/>
          <w:szCs w:val="24"/>
        </w:rPr>
      </w:r>
      <w:r w:rsidRPr="00CF5F34">
        <w:rPr>
          <w:b/>
          <w:bCs/>
          <w:color w:val="EE0000"/>
          <w:sz w:val="24"/>
          <w:szCs w:val="24"/>
        </w:rPr>
      </w:r>
      <w:r w:rsidRPr="00687642">
        <w:rPr>
          <w:sz w:val="24"/>
          <w:szCs w:val="24"/>
        </w:rPr>
      </w:r>
    </w:p>
    <w:p w14:paraId="208596E9" w14:textId="1186E8E5" w:rsidR="00B5783E" w:rsidRPr="00687642" w:rsidRDefault="00B5783E" w:rsidP="00CF5F34">
      <w:pPr>
        <w:pStyle w:val="ui-markdownparagraph"/>
        <w:ind w:firstLine="720"/>
      </w:pPr>
      <w:r w:rsidRPr="00687642">
        <w:rPr>
          <w:rFonts w:ascii="Times New Roman" w:hAnsi="Times New Roman" w:eastAsia="Times New Roman"/>
          <w:b w:val="0"/>
          <w:sz w:val="24"/>
        </w:rPr>
        <w:t>The sample is locked at 12 participants. Sample adequacy will not be determined through statistical power calculations (Wutich et al., 2024). It will be justified by information power: a narrow study aim, a highly specific participant population, theoretically informed but not closed-ended dialogue, and an in-depth thematic analysis strategy (Malterud et al., 2016). Twelve is the planned recruitment target for the detailed screening and interview process. It is not a finding that the gap is closed, nor is there a claim that saturation occurs at the twelfth interview.</w:t>
      </w:r>
      <w:r w:rsidRPr="00CC218E"/>
      <w:r w:rsidRPr="00F75B74">
        <w:rPr>
          <w:highlight w:val="cyan"/>
        </w:rPr>
      </w:r>
      <w:r w:rsidRPr="00687642"/>
      <w:r w:rsidRPr="00687642"/>
      <w:r w:rsidR="00687642"/>
      <w:r w:rsidRPr="00687642"/>
    </w:p>
    <w:p w14:paraId="498FCA99" w14:textId="7E58799C" w:rsidR="00567231" w:rsidRDefault="00B5783E" w:rsidP="00567231">
      <w:pPr>
        <w:pStyle w:val="p1"/>
      </w:pPr>
      <w:r w:rsidRPr="00687642">
        <w:rPr>
          <w:rFonts w:ascii="Times New Roman" w:hAnsi="Times New Roman" w:eastAsia="Times New Roman"/>
          <w:b w:val="0"/>
          <w:sz w:val="24"/>
          <w:szCs w:val="24"/>
        </w:rPr>
        <w:t xml:space="preserve">Recruitment and preliminary analysis will proceed through the locked sample of 12. Stopping will be documented as an analytic decision: the researcher will record whether interviews in that corpus continue to contribute new meaning units, categories, or thematic variation relevant to the research questions (Guest et al., 2020). Guest et al. (2006) only as background that some homogeneous interview studies have observed early code stability; that source will not be used to claim in advance that 12 interviews serve. The final participant count and the rationale for ending recruitment will be recorded in the study audit trail (Paulus, 2023).     </w:t>
      </w:r>
      <w:r w:rsidRPr="00CC218E">
        <w:rPr>
          <w:sz w:val="24"/>
          <w:szCs w:val="24"/>
          <w:highlight w:val="cyan"/>
        </w:rPr>
      </w:r>
      <w:r w:rsidRPr="00687642">
        <w:rPr>
          <w:sz w:val="24"/>
          <w:szCs w:val="24"/>
        </w:rPr>
      </w:r>
      <w:r w:rsidR="00687642" w:rsidRPr="00687642"/>
      <w:r w:rsidRPr="00687642">
        <w:rPr>
          <w:sz w:val="24"/>
          <w:szCs w:val="24"/>
        </w:rPr>
      </w:r>
      <w:r w:rsidR="00567231"/>
    </w:p>
    <w:p w14:paraId="69098ABF" w14:textId="77777777" w:rsidR="00567231" w:rsidRDefault="00567231" w:rsidP="00567231">
      <w:pPr>
        <w:pStyle w:val="p1"/>
      </w:pPr>
    </w:p>
    <w:p w14:paraId="7A727EB9" w14:textId="5FAD3F5B" w:rsidR="00567231" w:rsidRPr="00695D92" w:rsidRDefault="00567231" w:rsidP="00567231">
      <w:pPr>
        <w:pStyle w:val="p1"/>
        <w:rPr>
          <w:highlight w:val="yellow"/>
        </w:rPr>
      </w:pPr>
      <w:r>
        <w:t xml:space="preserve"> </w:t>
      </w:r>
      <w:r w:rsidRPr="00695D92">
        <w:rPr>
          <w:highlight w:val="yellow"/>
        </w:rPr>
        <w:t>[</w:t>
      </w:r>
      <w:r w:rsidRPr="00695D92">
        <w:rPr>
          <w:highlight w:val="yellow"/>
        </w:rPr>
        <w:t xml:space="preserve">study’s participants were a purposive sample of </w:t>
      </w:r>
      <w:r w:rsidRPr="00695D92">
        <w:rPr>
          <w:highlight w:val="yellow"/>
        </w:rPr>
        <w:t>12</w:t>
      </w:r>
      <w:r w:rsidRPr="00695D92">
        <w:rPr>
          <w:highlight w:val="yellow"/>
        </w:rPr>
        <w:t xml:space="preserve"> U.S. business leaders with</w:t>
      </w:r>
    </w:p>
    <w:p w14:paraId="1574828F" w14:textId="69528036" w:rsidR="00567231" w:rsidRPr="00695D92" w:rsidRDefault="00567231" w:rsidP="00567231">
      <w:pPr>
        <w:pStyle w:val="p1"/>
        <w:rPr>
          <w:highlight w:val="green"/>
        </w:rPr>
      </w:pPr>
      <w:r w:rsidRPr="00695D92">
        <w:rPr>
          <w:highlight w:val="green"/>
        </w:rPr>
        <w:t>decision-making authority. This include</w:t>
      </w:r>
      <w:r w:rsidRPr="00695D92">
        <w:rPr>
          <w:highlight w:val="green"/>
        </w:rPr>
        <w:t>s</w:t>
      </w:r>
      <w:r w:rsidRPr="00695D92">
        <w:rPr>
          <w:highlight w:val="green"/>
        </w:rPr>
        <w:t xml:space="preserve"> participants with titles</w:t>
      </w:r>
    </w:p>
    <w:p w14:paraId="31C16B76" w14:textId="77777777" w:rsidR="00567231" w:rsidRPr="00695D92" w:rsidRDefault="00567231" w:rsidP="00567231">
      <w:pPr>
        <w:pStyle w:val="p1"/>
        <w:rPr>
          <w:highlight w:val="green"/>
        </w:rPr>
      </w:pPr>
      <w:r w:rsidRPr="00695D92">
        <w:rPr>
          <w:highlight w:val="green"/>
        </w:rPr>
        <w:t>including Chief Executive Officer, Executive Director, Executive Vice President, President,</w:t>
      </w:r>
    </w:p>
    <w:p w14:paraId="2EC21181" w14:textId="00A46603" w:rsidR="00B5783E" w:rsidRPr="00D04E02" w:rsidRDefault="00567231" w:rsidP="00D04E02">
      <w:pPr>
        <w:pStyle w:val="p1"/>
        <w:rPr>
          <w:strike/>
        </w:rPr>
      </w:pPr>
      <w:r w:rsidRPr="00695D92">
        <w:rPr>
          <w:highlight w:val="green"/>
        </w:rPr>
        <w:t xml:space="preserve">Chief </w:t>
      </w:r>
      <w:r w:rsidRPr="00695D92">
        <w:rPr>
          <w:highlight w:val="green"/>
        </w:rPr>
        <w:t>Finance</w:t>
      </w:r>
      <w:r w:rsidRPr="00695D92">
        <w:rPr>
          <w:highlight w:val="green"/>
        </w:rPr>
        <w:t xml:space="preserve"> Officer, and Director</w:t>
      </w:r>
      <w:r w:rsidR="00D04E02">
        <w:rPr>
          <w:highlight w:val="green"/>
        </w:rPr>
        <w:t>(s)</w:t>
      </w:r>
      <w:r w:rsidRPr="00695D92">
        <w:rPr>
          <w:highlight w:val="green"/>
        </w:rPr>
        <w:t xml:space="preserve">. </w:t>
      </w:r>
    </w:p>
    <w:p w14:paraId="188157CF" w14:textId="77777777" w:rsidR="00AC0630" w:rsidRPr="00AC3820" w:rsidRDefault="00AC0630" w:rsidP="00BF5ECF">
      <w:pPr>
        <w:pStyle w:val="Heading5"/>
        <w:rPr>
          <w:color w:val="000000" w:themeColor="text1"/>
        </w:rPr>
      </w:pPr>
      <w:r w:rsidRPr="00AC3820">
        <w:rPr>
          <w:color w:val="000000" w:themeColor="text1"/>
        </w:rPr>
        <w:t>Recr</w:t>
      </w:r>
      <w:r w:rsidR="00BF5ECF" w:rsidRPr="00AC3820">
        <w:rPr>
          <w:color w:val="000000" w:themeColor="text1"/>
        </w:rPr>
        <w:t>u</w:t>
      </w:r>
      <w:r w:rsidRPr="00AC3820">
        <w:rPr>
          <w:color w:val="000000" w:themeColor="text1"/>
        </w:rPr>
        <w:t>itment Procedures</w:t>
      </w:r>
    </w:p>
    <w:p w14:paraId="35126D61" w14:textId="77777777" w:rsidR="00AC0630" w:rsidRDefault="00AC0630" w:rsidP="00AC0630">
      <w:pPr>
        <w:pStyle w:val="Body"/>
        <w:rPr>
          <w:i/>
          <w:iCs/>
          <w:color w:val="000000" w:themeColor="text1"/>
        </w:rPr>
      </w:pPr>
      <w:r w:rsidRPr="00AC3820">
        <w:rPr>
          <w:i/>
          <w:iCs/>
          <w:color w:val="000000" w:themeColor="text1"/>
        </w:rPr>
        <w:t>Provide a recruitment process to identify, screen, and recruit participants as it aligns with the methodological approach. Present the inclusion and exclusion criteria for participating in the project. Suggested length 2-3 paragraphs.</w:t>
      </w:r>
    </w:p>
    <w:p w14:paraId="7D3C1A35" w14:textId="77777777" w:rsidR="00D505B2" w:rsidRDefault="00D505B2" w:rsidP="00D505B2">
      <w:pPr>
        <w:pStyle w:val="ui-markdownparagraph"/>
        <w:ind w:firstLine="720"/>
      </w:pPr>
      <w:r>
        <w:t>The target population for this generic qualitative inquiry is defined as U.S. IT, network, systems, infrastructure, or operations managers in small and medium-sized enterprises who have a direct operational role in IT disaster-recovery coordination that uses an external recovery platform, managed recovery service, ITDRPaaS, or a functionally equivalent cloud-recovery capability (Caelli et al., 2003; Kahlke, 2014; Percy et al., 2015). An SME in this study is bounded at 10 to 200 personnel so that the population remains inside SME governance rather than large-enterprise command structures. The population is not vendor staff whose only role is to operate a recovery platform for clients, and it is not executives who hold no operational recovery responsibility. That definition keeps the inquiry on managers who can recount how competing restoration claims were handled when restoration had to be ranked, delayed, or declared done.</w:t>
      </w:r>
    </w:p>
    <w:p w14:paraId="05C6651C" w14:textId="77777777" w:rsidR="00D505B2" w:rsidRDefault="00D505B2" w:rsidP="00D505B2">
      <w:pPr>
        <w:pStyle w:val="ui-markdownparagraph"/>
        <w:ind w:firstLine="720"/>
      </w:pPr>
      <w:r>
        <w:rPr>
          <w:rFonts w:ascii="Times New Roman" w:hAnsi="Times New Roman" w:eastAsia="Times New Roman"/>
          <w:b w:val="0"/>
          <w:sz w:val="24"/>
        </w:rPr>
        <w:t>Membership in the population further requires recent, firsthand, platform-mediated recovery experience. A qualifying member must be able to name at least one disruption, failover, recovery test, or operational recovery in the preceding 36 months in which the external capability was used. That named event is the unit of talk for the critical-incident interview (Flanagan, 1954; Gremler, 2004). A manager who cannot name such an event is not in the population and will not enter the sample. This recency and platform bound distinguishes the population from the broader set of IT managers who only know a written plan or a vendor demonstration.</w:t>
      </w:r>
      <w:r w:rsidRPr="00D04E02">
        <w:rPr>
          <w:b w:val="0"/>
          <w:bCs/>
        </w:rPr>
      </w:r>
      <w:r/>
    </w:p>
    <w:p w14:paraId="27218E68" w14:textId="74B1523E" w:rsidR="00D505B2" w:rsidRDefault="00D505B2" w:rsidP="00D505B2">
      <w:pPr>
        <w:pStyle w:val="ui-markdownparagraph"/>
        <w:ind w:firstLine="720"/>
      </w:pPr>
      <w:r>
        <w:rPr>
          <w:rFonts w:ascii="Times New Roman" w:hAnsi="Times New Roman" w:eastAsia="Times New Roman"/>
          <w:b w:val="0"/>
          <w:sz w:val="24"/>
        </w:rPr>
        <w:t>This population definition is the pool from which the locked sample of 12 participants will be drawn. It is not itself the sample, and it is not a statistically representative frame of all U.S. SME recovery settings (Creswell &amp; Poth, 2024; Percy et al., 2015). The definition is written this tightly because information power depends on sample specificity: a narrow class of SME recovery events and a dense participant profile increase the information available from each interview (Malterud et al., 2016). The 12-participant sample, the inclusion and exclusion screens, and the individual recruitment path all depend on this population boundary remaining stable.</w:t>
      </w:r>
      <w:r w:rsidRPr="00AD3765">
        <w:rPr>
          <w:highlight w:val="cyan"/>
        </w:rPr>
      </w:r>
      <w:r w:rsidR="00AD3765" w:rsidRPr="00AD3765">
        <w:rPr>
          <w:highlight w:val="cyan"/>
        </w:rPr>
      </w:r>
      <w:r w:rsidRPr="00AD3765">
        <w:rPr>
          <w:highlight w:val="cyan"/>
        </w:rPr>
      </w:r>
      <w:r/>
      <w:r w:rsidRPr="00CC218E">
        <w:rPr>
          <w:highlight w:val="cyan"/>
        </w:rPr>
      </w:r>
      <w:r w:rsidRPr="00F75B74">
        <w:rPr>
          <w:highlight w:val="cyan"/>
        </w:rPr>
      </w:r>
      <w:r/>
    </w:p>
    <w:p w14:paraId="1A941523" w14:textId="77777777" w:rsidR="00D505B2" w:rsidRPr="00D505B2" w:rsidRDefault="00D505B2" w:rsidP="00AC0630">
      <w:pPr>
        <w:pStyle w:val="Body"/>
        <w:rPr>
          <w:color w:val="000000" w:themeColor="text1"/>
        </w:rPr>
      </w:pPr>
    </w:p>
    <w:p w14:paraId="1EFAF02B" w14:textId="2CD8F9D0" w:rsidR="00AC0630" w:rsidRPr="00AC3820" w:rsidRDefault="00AC0630" w:rsidP="00BF5ECF">
      <w:pPr>
        <w:pStyle w:val="Heading5"/>
        <w:rPr>
          <w:color w:val="000000" w:themeColor="text1"/>
        </w:rPr>
      </w:pPr>
      <w:r w:rsidRPr="00AC3820">
        <w:rPr>
          <w:color w:val="000000" w:themeColor="text1"/>
        </w:rPr>
        <w:t>Data Collection Process</w:t>
      </w:r>
      <w:commentRangeEnd w:id="32"/>
      <w:r w:rsidR="00B5783E" w:rsidRPr="00AC3820">
        <w:rPr>
          <w:rStyle w:val="CommentReference"/>
          <w:color w:val="000000" w:themeColor="text1"/>
          <w:sz w:val="24"/>
          <w:szCs w:val="26"/>
        </w:rPr>
        <w:commentReference w:id="32"/>
      </w:r>
      <w:commentRangeEnd w:id="33"/>
      <w:r w:rsidR="00B5783E" w:rsidRPr="00AC3820">
        <w:rPr>
          <w:rStyle w:val="CommentReference"/>
          <w:color w:val="000000" w:themeColor="text1"/>
          <w:sz w:val="24"/>
          <w:szCs w:val="26"/>
        </w:rPr>
        <w:commentReference w:id="33"/>
      </w:r>
    </w:p>
    <w:p w14:paraId="1BDC5181" w14:textId="77777777" w:rsidR="00AC0630" w:rsidRDefault="00AC0630" w:rsidP="00AC0630">
      <w:pPr>
        <w:pStyle w:val="Body"/>
        <w:rPr>
          <w:i/>
          <w:iCs/>
          <w:color w:val="000000" w:themeColor="text1"/>
        </w:rPr>
      </w:pPr>
      <w:r w:rsidRPr="00AC3820">
        <w:rPr>
          <w:i/>
          <w:iCs/>
          <w:color w:val="000000" w:themeColor="text1"/>
        </w:rPr>
        <w:t>Provide a logical step-by-step data collection process as it aligns with the methodological approach. Suggest</w:t>
      </w:r>
      <w:r w:rsidR="007C0764" w:rsidRPr="00AC3820">
        <w:rPr>
          <w:i/>
          <w:iCs/>
          <w:color w:val="000000" w:themeColor="text1"/>
        </w:rPr>
        <w:t>ed</w:t>
      </w:r>
      <w:r w:rsidRPr="00AC3820">
        <w:rPr>
          <w:i/>
          <w:iCs/>
          <w:color w:val="000000" w:themeColor="text1"/>
        </w:rPr>
        <w:t xml:space="preserve"> length 3-4 paragraphs.</w:t>
      </w:r>
    </w:p>
    <w:p w14:paraId="10A00206" w14:textId="77777777" w:rsidR="00123D5B" w:rsidRDefault="00123D5B" w:rsidP="00123D5B">
      <w:pPr>
        <w:pStyle w:val="NormalWeb"/>
        <w:ind w:firstLine="720"/>
      </w:pPr>
      <w:r>
        <w:rPr>
          <w:rFonts w:ascii="Times New Roman" w:hAnsi="Times New Roman" w:eastAsia="Times New Roman"/>
          <w:sz w:val="24"/>
        </w:rPr>
        <w:t>Following institutional approval, the researcher will finalize the semi-structured interview protocol, consent form, and screening instrument. The protocol will be reviewed by an SME panel and tested in two or three mock or pilot interviews with individuals who meet the professional profile but will not enter the n = 12 sample. Pilot feedback will assess question clarity, neutrality, construct coverage, sequencing, and probe usefulness. Revisions will keep the questions aligned with generic qualitative inquiry and with the conceptual chain: stakeholder salience, decision rights, escalation pathways, evidentiary standards, and recoverability assurance (Caelli et al., 2003; Mitchell et al., 1997; Percy et al., 2015).</w:t>
      </w:r>
    </w:p>
    <w:p w14:paraId="657A5604" w14:textId="77777777" w:rsidR="00123D5B" w:rsidRDefault="00123D5B" w:rsidP="00123D5B">
      <w:pPr>
        <w:pStyle w:val="pdq2pgselectionanchorcontainer"/>
        <w:ind w:firstLine="720"/>
      </w:pPr>
      <w:r>
        <w:rPr>
          <w:rFonts w:ascii="Times New Roman" w:hAnsi="Times New Roman" w:eastAsia="Times New Roman"/>
          <w:b w:val="0"/>
          <w:sz w:val="24"/>
        </w:rPr>
        <w:t>Critical-incident prompts will ask participants to describe one specific disruption, failover, recovery test, or restoration event. Follow-up probes will examine what occurred, who made or influenced decisions, how competing demands were prioritized, when escalation occurred, and what was treated as proof of recovery (Flanagan, 1954; Gremler, 2004). No artifacts will be requested or collected. If a manager names a matrix, ticket, or test record, that naming is part of the interview account.</w:t>
      </w:r>
    </w:p>
    <w:p w14:paraId="2142B1A2" w14:textId="79FA69F0" w:rsidR="00123D5B" w:rsidRDefault="00123D5B" w:rsidP="00123D5B">
      <w:pPr>
        <w:pStyle w:val="NormalWeb"/>
        <w:ind w:firstLine="720"/>
      </w:pPr>
      <w:r>
        <w:rPr>
          <w:rFonts w:ascii="Times New Roman" w:hAnsi="Times New Roman" w:eastAsia="Times New Roman"/>
          <w:b w:val="0"/>
          <w:sz w:val="24"/>
        </w:rPr>
        <w:t>After each interview, the recording will be transcribed, checked against the audio, de-identified, and assigned a participant code. The researcher will prepare field notes and reflexive memos. Participants may be contacted to clarify materially ambiguous statements without being asked to approve the researcher’s final interpretation. Verified transcripts and audit-trail documentation will be imported into Delve for organization and retrieval during hybrid deductive–inductive codebook thematic analysis. Delve will support data management and coding; the analytic method remains thematic analysis (Fereday &amp; Muir-Cochrane, 2006; Paulus, 2023).</w:t>
      </w:r>
      <w:r w:rsidR="00CC218E"/>
      <w:r/>
    </w:p>
    <w:p w14:paraId="6F264FC1" w14:textId="77777777" w:rsidR="00123D5B" w:rsidRPr="00123D5B" w:rsidRDefault="00123D5B" w:rsidP="00AC0630">
      <w:pPr>
        <w:pStyle w:val="Body"/>
        <w:rPr>
          <w:color w:val="000000" w:themeColor="text1"/>
        </w:rPr>
      </w:pPr>
    </w:p>
    <w:p w14:paraId="6E2F77F6" w14:textId="77777777" w:rsidR="00AC0630" w:rsidRPr="00AC3820" w:rsidRDefault="00AC0630" w:rsidP="00BF5ECF">
      <w:pPr>
        <w:pStyle w:val="Heading5"/>
        <w:rPr>
          <w:color w:val="000000" w:themeColor="text1"/>
        </w:rPr>
      </w:pPr>
      <w:r w:rsidRPr="00AC3820">
        <w:rPr>
          <w:color w:val="000000" w:themeColor="text1"/>
        </w:rPr>
        <w:t>Ethical Considerations</w:t>
      </w:r>
    </w:p>
    <w:p w14:paraId="2E19F7C1" w14:textId="77777777" w:rsidR="00BF5ECF" w:rsidRPr="00AC3820" w:rsidRDefault="00AC0630" w:rsidP="00AC0630">
      <w:pPr>
        <w:pStyle w:val="Body"/>
        <w:rPr>
          <w:i/>
          <w:iCs/>
          <w:color w:val="000000" w:themeColor="text1"/>
        </w:rPr>
      </w:pPr>
      <w:r w:rsidRPr="00AC3820">
        <w:rPr>
          <w:i/>
          <w:iCs/>
          <w:color w:val="000000" w:themeColor="text1"/>
        </w:rPr>
        <w:t xml:space="preserve">Identify potential ethical issues and provide </w:t>
      </w:r>
      <w:r w:rsidR="00BF5ECF" w:rsidRPr="00AC3820">
        <w:rPr>
          <w:i/>
          <w:iCs/>
          <w:color w:val="000000" w:themeColor="text1"/>
        </w:rPr>
        <w:t xml:space="preserve">a proposed plan to adhere to strict ethical standards. Include details regarding privacy, confidentiality, and data security procedures and concerns. Suggested length </w:t>
      </w:r>
      <w:r w:rsidR="00BF5ECF" w:rsidRPr="00DE29C6">
        <w:rPr>
          <w:i/>
          <w:iCs/>
          <w:color w:val="000000" w:themeColor="text1"/>
          <w:highlight w:val="yellow"/>
        </w:rPr>
        <w:t>1-2 paragraphs</w:t>
      </w:r>
      <w:r w:rsidR="00BF5ECF" w:rsidRPr="00AC3820">
        <w:rPr>
          <w:i/>
          <w:iCs/>
          <w:color w:val="000000" w:themeColor="text1"/>
        </w:rPr>
        <w:t>.</w:t>
      </w:r>
    </w:p>
    <w:p w14:paraId="4AA00DCC" w14:textId="72E196D5" w:rsidR="004B3856" w:rsidRDefault="004B3856" w:rsidP="004B3856">
      <w:pPr>
        <w:pStyle w:val="ui-markdownparagraph"/>
        <w:ind w:firstLine="720"/>
      </w:pPr>
      <w:r w:rsidRPr="004B3856">
        <w:rPr>
          <w:rFonts w:ascii="Times New Roman" w:hAnsi="Times New Roman" w:eastAsia="Times New Roman"/>
          <w:b w:val="0"/>
          <w:sz w:val="24"/>
          <w:highlight w:val="yellow"/>
        </w:rPr>
        <w:t>Ethics is a guiding principle in qualitative research. It shapes study design, the process of discovery, and the significance of the findings, and it requires the researcher to weigh the human cost of inquiry (Resnik, 2018). This generic qualitative inquiry will utilize U.S. small and medium-sized enterprise (SME) IT, network, systems, infrastructure, or operations managers in firms of 10 to 200 personnel. In that setting, ethical risk is concentrated: a named recovery event, a role title, and a platform type can re-identify a person or firm more easily than in a large enterprise. The study will therefore treat data management, respect for persons, honesty and integrity, and responsible dissemination as operational requirements, not as a checklist (Resnik, 2018). The researcher will not begin identification, screening, or scheduling until the Capella University Institutional Review Board has granted written approval. The design follows the Belmont Report’s principles of respect for persons, beneficence, and justice (National Commission for the Protection of Human Subjects of Biomedical and Behavioral Research, 1979). Respect for persons will be enacted through voluntary participation, signed electronic consent, a recorded permission-to-record check, and the right to skip any question or stop at any time without penalty. Beneficence will be enacted by treating SME organizational disclosure as both a compliance issue and a Gap-data threat: the researcher will not recruit through a supervisor, owner, employer command chain, or vendor account manager; collection remains interviews only; identifiers will be stripped to P##, role only, SME-X, and Platform-X; and member checking will be a seven-day factual review of sequence, roles, and named proof so contested recovery decisions are not edited out. Justice will be enacted by placing the research burden on operational U.S. SME managers who can name a qualifying event, and by excluding vendor-only staff and command-visible recruitment paths.</w:t>
      </w:r>
      <w:r w:rsidRPr="004B3856">
        <w:rPr>
          <w:highlight w:val="yellow"/>
        </w:rPr>
      </w:r>
      <w:r w:rsidRPr="004B3856">
        <w:rPr>
          <w:highlight w:val="yellow"/>
        </w:rPr>
      </w:r>
      <w:r w:rsidRPr="004B3856">
        <w:rPr>
          <w:highlight w:val="yellow"/>
        </w:rPr>
      </w:r>
      <w:r w:rsidRPr="004B3856">
        <w:rPr>
          <w:highlight w:val="yellow"/>
        </w:rPr>
      </w:r>
      <w:r w:rsidRPr="004B3856">
        <w:rPr>
          <w:highlight w:val="yellow"/>
        </w:rPr>
      </w:r>
      <w:r/>
    </w:p>
    <w:p w14:paraId="793E2971" w14:textId="018AA65B" w:rsidR="004B3856" w:rsidRDefault="004B3856" w:rsidP="004B3856">
      <w:pPr>
        <w:pStyle w:val="ui-markdownparagraph"/>
        <w:ind w:firstLine="720"/>
      </w:pPr>
      <w:r w:rsidRPr="004B3856">
        <w:rPr>
          <w:rFonts w:ascii="Times New Roman" w:hAnsi="Times New Roman" w:eastAsia="Times New Roman"/>
          <w:b w:val="0"/>
          <w:sz w:val="24"/>
          <w:highlight w:val="yellow"/>
        </w:rPr>
        <w:t>Honesty and integrity will govern collection, storage, analysis, reporting, and any later Q&amp;A about the study (Resnik, 2018). Recordings and RAW notes will be stored in an encrypted, password-protected directory separate from CLEAN transcripts and the Delve audit nest. The researcher will not continue a session from memory if recording fails, will not invent artifact contents a manager did not state, and will not claim that Delvetool performed the analysis. Findings and will be disseminated as de-identified patterned accounts of named U.S. SME recovery events, without employer, owner, vendor, or product names, so the study can report how managers enacted whose claim counted, who decided, and what counted as enough proof without exposing the participant or the firm.</w:t>
      </w:r>
      <w:r w:rsidR="00123D5B">
        <w:rPr>
          <w:highlight w:val="yellow"/>
        </w:rPr>
      </w:r>
      <w:r w:rsidRPr="004B3856">
        <w:rPr>
          <w:highlight w:val="yellow"/>
        </w:rPr>
      </w:r>
    </w:p>
    <w:p w14:paraId="4EED5544" w14:textId="77777777" w:rsidR="00BF5ECF" w:rsidRPr="00AC3820" w:rsidRDefault="00BF5ECF" w:rsidP="00BF5ECF">
      <w:pPr>
        <w:pStyle w:val="Heading2"/>
        <w:rPr>
          <w:color w:val="000000" w:themeColor="text1"/>
        </w:rPr>
      </w:pPr>
      <w:r w:rsidRPr="00AC3820">
        <w:rPr>
          <w:color w:val="000000" w:themeColor="text1"/>
        </w:rPr>
        <w:t>Proposed Data Analysis Plan</w:t>
      </w:r>
    </w:p>
    <w:p w14:paraId="01ECF789" w14:textId="77777777" w:rsidR="00AC0630" w:rsidRPr="00AC3820" w:rsidRDefault="00BF5ECF" w:rsidP="00891FB6">
      <w:pPr>
        <w:pStyle w:val="Body"/>
        <w:shd w:val="clear" w:color="auto" w:fill="E7E6E6"/>
        <w:rPr>
          <w:color w:val="000000" w:themeColor="text1"/>
        </w:rPr>
      </w:pPr>
      <w:r w:rsidRPr="00AC3820">
        <w:rPr>
          <w:i/>
          <w:iCs/>
          <w:color w:val="000000" w:themeColor="text1"/>
        </w:rPr>
        <w:t xml:space="preserve">Articulate data analysis techniques appropriate to project framework. </w:t>
      </w:r>
      <w:r w:rsidRPr="00AC3820">
        <w:rPr>
          <w:color w:val="000000" w:themeColor="text1"/>
        </w:rPr>
        <w:t xml:space="preserve"> </w:t>
      </w:r>
    </w:p>
    <w:p w14:paraId="7AE0F079" w14:textId="77777777" w:rsidR="00AC0630" w:rsidRPr="00AC3820" w:rsidRDefault="00AC0630" w:rsidP="00AC0630">
      <w:pPr>
        <w:pStyle w:val="Body"/>
        <w:rPr>
          <w:i/>
          <w:iCs/>
          <w:color w:val="000000" w:themeColor="text1"/>
        </w:rPr>
      </w:pPr>
      <w:r w:rsidRPr="00AC3820">
        <w:rPr>
          <w:i/>
          <w:iCs/>
          <w:color w:val="000000" w:themeColor="text1"/>
        </w:rPr>
        <w:t xml:space="preserve"> </w:t>
      </w:r>
    </w:p>
    <w:p w14:paraId="22764A85" w14:textId="77777777" w:rsidR="00AC0630" w:rsidRDefault="00BF5ECF" w:rsidP="00BF5ECF">
      <w:pPr>
        <w:pStyle w:val="Body"/>
        <w:rPr>
          <w:i/>
          <w:iCs/>
          <w:color w:val="000000" w:themeColor="text1"/>
        </w:rPr>
      </w:pPr>
      <w:r w:rsidRPr="00AC3820">
        <w:rPr>
          <w:i/>
          <w:iCs/>
          <w:color w:val="000000" w:themeColor="text1"/>
        </w:rPr>
        <w:t>Present a plan to analyze and present data with techniques that are appropriate to the project, framework, data sources, and sample size. Suggest</w:t>
      </w:r>
      <w:r w:rsidR="007C0764" w:rsidRPr="00AC3820">
        <w:rPr>
          <w:i/>
          <w:iCs/>
          <w:color w:val="000000" w:themeColor="text1"/>
        </w:rPr>
        <w:t>ed</w:t>
      </w:r>
      <w:r w:rsidRPr="00AC3820">
        <w:rPr>
          <w:i/>
          <w:iCs/>
          <w:color w:val="000000" w:themeColor="text1"/>
        </w:rPr>
        <w:t xml:space="preserve"> length 3-4 paragraphs.</w:t>
      </w:r>
    </w:p>
    <w:p w14:paraId="496EE48A" w14:textId="77777777" w:rsidR="00FB5178" w:rsidRDefault="00FB5178" w:rsidP="00BF5ECF">
      <w:pPr>
        <w:pStyle w:val="Body"/>
        <w:rPr>
          <w:i/>
          <w:iCs/>
          <w:color w:val="000000" w:themeColor="text1"/>
        </w:rPr>
      </w:pPr>
    </w:p>
    <w:p w14:paraId="00BCC010" w14:textId="77777777" w:rsidR="00320DC6" w:rsidRDefault="00320DC6" w:rsidP="00320DC6">
      <w:pPr>
        <w:pStyle w:val="ui-markdownparagraph"/>
      </w:pPr>
      <w:r>
        <w:rPr>
          <w:rFonts w:ascii="Times New Roman" w:hAnsi="Times New Roman" w:eastAsia="Times New Roman"/>
          <w:sz w:val="24"/>
        </w:rPr>
        <w:t>The researcher will analyze de-identified critical-incident interviews from the locked sample of 12 U.S. SME IT, network, systems, infrastructure, or operations managers using hybrid deductive–inductive codebook thematic analysis within a generic qualitative inquiry (Caelli et al., 2003; Fereday &amp; Muir-Cochrane, 2006; Kahlke, 2014; Percy et al., 2015). Before coding, the researcher will complete a scope register that records the purpose, research question, framework role, eligibility rules, participant count, and required deliverables, and will keep three work areas separate: preserved RAW recordings, CLEAN analytic files, and presentation outputs. Each interview will receive a stable identifier. The researcher will produce a verbatim transcript, strip person, firm, vendor, and product names, complete a seven-day factual member check, and read each CLEAN transcript in full before formal coding (Lincoln &amp; Guba, 1985). Delve will store CLEAN transcripts, the versioned codebook, memos, and snippet URLs. Delve will not perform the analysis.</w:t>
      </w:r>
      <w:r w:rsidRPr="00320DC6">
        <w:rPr>
          <w:highlight w:val="cyan"/>
        </w:rPr>
      </w:r>
      <w:r/>
      <w:r w:rsidRPr="00320DC6">
        <w:rPr>
          <w:highlight w:val="cyan"/>
        </w:rPr>
      </w:r>
      <w:r/>
      <w:r w:rsidRPr="00320DC6">
        <w:rPr>
          <w:highlight w:val="cyan"/>
        </w:rPr>
      </w:r>
      <w:r/>
      <w:r/>
    </w:p>
    <w:p w14:paraId="6420E965" w14:textId="128CC29D" w:rsidR="00320DC6" w:rsidRDefault="00320DC6" w:rsidP="00320DC6">
      <w:pPr>
        <w:pStyle w:val="ui-markdownparagraph"/>
      </w:pPr>
      <w:r>
        <w:rPr>
          <w:rFonts w:ascii="Times New Roman" w:hAnsi="Times New Roman" w:eastAsia="Times New Roman"/>
          <w:b w:val="0"/>
          <w:sz w:val="24"/>
        </w:rPr>
        <w:t>Second, the researcher will import the nested start-list of STRUCTURAL, FRAMEWORK_DEDUCTIVE, and BOUNDARY codes and create one excerpt record for each bounded passage that requires analysis, attaching its source locator, speaker, incident context, and provisional code (Fereday &amp; Muir-Cochrane, 2006; Paulus, 2023). A passage may receive more than one code when it conveys distinct ideas. Power, legitimacy, and urgency will function as sensitizing probes, not predetermined theme titles (Mitchell et al., 1997). Decision rights, escalation, evidentiary standards, and recoverability assurance will be coded as enactment evidence, not as a fourth salience attribute. Each code definition will state its meaning, inclusion criteria, exclusion criteria, and a source-linked example; uncertain assignments will be flagged for review. EMERGENT child codes will remain empty until meaning units are locked (Saldaña, 2021; Taylor &amp; Bogdan, 1998). Coding changes will be recorded with the date, reason, and affected records. Spreadsheet lookup and Delve retrieval may support these records; interpretive approval will remain with the researcher (Fereday &amp; Muir-Cochrane, 2006).</w:t>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
    </w:p>
    <w:p w14:paraId="5DA6C1C0" w14:textId="0DC34B4D" w:rsidR="00320DC6" w:rsidRDefault="00320DC6" w:rsidP="00320DC6">
      <w:pPr>
        <w:pStyle w:val="ui-markdownparagraph"/>
      </w:pPr>
      <w:r>
        <w:rPr>
          <w:rFonts w:ascii="Times New Roman" w:hAnsi="Times New Roman" w:eastAsia="Times New Roman"/>
          <w:b w:val="0"/>
          <w:sz w:val="24"/>
        </w:rPr>
        <w:t>Third, the researcher will lock meaning units that state a practice claim before any theme name is written, confirm each unit with a named excerpt and a negative or boundary case, and group related units only when they describe the same salience-to-assurance bargain rather than the same recovery topic (Saldaña, 2021; Taylor &amp; Bogdan, 1998; Walker, 2026). For every proposed theme, the researcher will record its central claim, contributing categories, representative excerpts, exceptions, and research-question relevance, then return to the original passages to inspect context. Candidate categories may be retained, revised, split, combined, or rejected, with earlier versions preserved. This is iterative interpretive work, not an automatic promotion of frequently used labels into themes, and it is not reflexive thematic analysis as the analytic method (Saldaña, 2021; Fereday &amp; Muir-Cochrane, 2006). The locked n = 12 will be reported as the planned participant count, not as proof of saturation; adequacy will be assessed through richness, relevant variation, question coverage, and whether later interviews still change the meaning-unit inventory (Malterud et al., 2016; Guest et al., 2020).</w:t>
      </w:r>
      <w:r w:rsidRPr="00CC218E">
        <w:rPr>
          <w:highlight w:val="cyan"/>
        </w:rPr>
      </w:r>
      <w:r w:rsidR="00CC218E" w:rsidRPr="00CC218E">
        <w:rPr>
          <w:highlight w:val="cyan"/>
        </w:rPr>
      </w:r>
      <w:r w:rsidRPr="00CC218E">
        <w:rPr>
          <w:highlight w:val="cyan"/>
        </w:rPr>
      </w:r>
      <w:r/>
      <w:r w:rsidRPr="00CC218E">
        <w:rPr>
          <w:highlight w:val="cyan"/>
        </w:rPr>
      </w:r>
      <w:r w:rsidR="00CC218E" w:rsidRPr="00CC218E">
        <w:rPr>
          <w:highlight w:val="cyan"/>
        </w:rPr>
      </w:r>
      <w:r/>
      <w:r w:rsidRPr="00CC218E">
        <w:rPr>
          <w:highlight w:val="cyan"/>
        </w:rPr>
      </w:r>
      <w:r/>
      <w:r w:rsidRPr="00CC218E">
        <w:rPr>
          <w:highlight w:val="cyan"/>
        </w:rPr>
      </w:r>
      <w:r/>
    </w:p>
    <w:p w14:paraId="6163C3EE" w14:textId="77777777" w:rsidR="00320DC6" w:rsidRDefault="00320DC6" w:rsidP="00320DC6">
      <w:pPr>
        <w:pStyle w:val="ui-markdownparagraph"/>
      </w:pPr>
      <w:r>
        <w:rPr>
          <w:rFonts w:ascii="Times New Roman" w:hAnsi="Times New Roman" w:eastAsia="Times New Roman"/>
          <w:b w:val="0"/>
          <w:sz w:val="24"/>
        </w:rPr>
        <w:t>Fourth, the researcher will write two separate syntheses from the reviewed theme records: one for stakeholder-claim management and salience shifts, and one for decision rights, escalation, and recoverability assurance (Lester et al., 2020; Percy et al., 2015). Presentation will include a meaning-unit evidence table, a theme-to-question map, and a narrative that pairs each interpretive claim with source-verified excerpts and relevant boundary cases, including Every published quotation, participant label, source locator, and thematic claim will receive a source check; table titles and theme names will be compared with the narrative. Participant counts, excerpt counts, and source counts will remain separate. The researcher will close the revision log, record unresolved gaps, and release a dated version of the report, codebook, and CSV nest (Paulus, 2023). Clerical software and retrieval aids will not replace researcher interpretation; every quotation and thematic claim will remain grounded in the CLEAN transcript and the dated audit trail (Tracy, 2010). Findings will distinguish managers’ reported interpretations from independently documented actions and will not claim statistical generalization.</w:t>
      </w:r>
      <w:r/>
      <w:r>
        <w:rPr>
          <w:rFonts w:ascii="Times New Roman" w:hAnsi="Times New Roman" w:eastAsia="Times New Roman"/>
          <w:b/>
          <w:sz w:val="24"/>
        </w:rPr>
      </w:r>
      <w:r>
        <w:rPr>
          <w:rFonts w:ascii="Times New Roman" w:hAnsi="Times New Roman" w:eastAsia="Times New Roman"/>
          <w:b w:val="0"/>
          <w:sz w:val="24"/>
        </w:rPr>
      </w:r>
    </w:p>
    <w:p w14:paraId="140E42C7" w14:textId="77777777" w:rsidR="00FB5178" w:rsidRPr="00FB5178" w:rsidRDefault="00FB5178" w:rsidP="00BF5ECF">
      <w:pPr>
        <w:pStyle w:val="Body"/>
        <w:rPr>
          <w:color w:val="000000" w:themeColor="text1"/>
        </w:rPr>
      </w:pPr>
    </w:p>
    <w:p w14:paraId="2F15A4C3" w14:textId="77777777" w:rsidR="00BF5ECF" w:rsidRPr="00AC3820" w:rsidRDefault="00BF5ECF" w:rsidP="00BF5ECF">
      <w:pPr>
        <w:pStyle w:val="Body"/>
        <w:rPr>
          <w:i/>
          <w:iCs/>
          <w:color w:val="000000" w:themeColor="text1"/>
        </w:rPr>
      </w:pPr>
    </w:p>
    <w:p w14:paraId="6C5E9B83" w14:textId="77777777" w:rsidR="00BF5ECF" w:rsidRPr="00AC3820" w:rsidRDefault="00BF5ECF" w:rsidP="00BF5ECF">
      <w:pPr>
        <w:pStyle w:val="Body"/>
        <w:rPr>
          <w:i/>
          <w:iCs/>
          <w:color w:val="000000" w:themeColor="text1"/>
        </w:rPr>
      </w:pPr>
    </w:p>
    <w:p w14:paraId="0480E628" w14:textId="77777777" w:rsidR="00BF5ECF" w:rsidRPr="00AC3820" w:rsidRDefault="005C07EF" w:rsidP="00BF5ECF">
      <w:pPr>
        <w:pStyle w:val="Heading5"/>
        <w:rPr>
          <w:color w:val="000000" w:themeColor="text1"/>
        </w:rPr>
      </w:pPr>
      <w:r w:rsidRPr="00AC3820">
        <w:rPr>
          <w:color w:val="000000" w:themeColor="text1"/>
        </w:rPr>
        <w:br w:type="page"/>
      </w:r>
      <w:commentRangeStart w:id="34"/>
      <w:commentRangeStart w:id="35"/>
      <w:r w:rsidR="00BF5ECF" w:rsidRPr="00AC3820">
        <w:rPr>
          <w:rFonts w:cs="Arial"/>
          <w:iCs w:val="0"/>
          <w:color w:val="000000" w:themeColor="text1"/>
          <w:sz w:val="32"/>
          <w:szCs w:val="32"/>
        </w:rPr>
        <w:lastRenderedPageBreak/>
        <w:t>References</w:t>
      </w:r>
      <w:commentRangeEnd w:id="34"/>
      <w:r w:rsidR="00D26D7D" w:rsidRPr="00AC3820">
        <w:rPr>
          <w:rStyle w:val="CommentReference"/>
          <w:color w:val="000000" w:themeColor="text1"/>
          <w:sz w:val="24"/>
          <w:szCs w:val="26"/>
        </w:rPr>
        <w:commentReference w:id="34"/>
      </w:r>
      <w:commentRangeEnd w:id="35"/>
      <w:r w:rsidR="000C2D96" w:rsidRPr="00AC3820">
        <w:rPr>
          <w:rStyle w:val="CommentReference"/>
          <w:color w:val="000000" w:themeColor="text1"/>
          <w:sz w:val="24"/>
          <w:szCs w:val="26"/>
        </w:rPr>
        <w:commentReference w:id="35"/>
      </w:r>
    </w:p>
    <w:p w14:paraId="600A3FDB" w14:textId="77777777" w:rsidR="00BF5ECF" w:rsidRPr="00AC3820" w:rsidRDefault="00BF5ECF" w:rsidP="00BF5ECF">
      <w:pPr>
        <w:pStyle w:val="Body"/>
        <w:rPr>
          <w:i/>
          <w:iCs/>
          <w:color w:val="000000" w:themeColor="text1"/>
        </w:rPr>
      </w:pPr>
      <w:r w:rsidRPr="00AC3820">
        <w:rPr>
          <w:i/>
          <w:iCs/>
          <w:color w:val="000000" w:themeColor="text1"/>
        </w:rPr>
        <w:t xml:space="preserve">APA formatted reference section that includes a reference for each citation used in text. </w:t>
      </w:r>
    </w:p>
    <w:p w14:paraId="04409EA9" w14:textId="77777777" w:rsidR="006106AF" w:rsidRPr="00AC3820" w:rsidRDefault="006106AF" w:rsidP="006106AF">
      <w:pPr>
        <w:pStyle w:val="Body"/>
        <w:rPr>
          <w:color w:val="000000" w:themeColor="text1"/>
        </w:rPr>
      </w:pPr>
    </w:p>
    <w:p w14:paraId="3E1374A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Mitchell, R. K., &amp; Sonnenfeld, J. A. (1999). Who matters to CEOs? An investigation of stakeholder attributes and salience, corporate performance, and CEO values.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42</w:t>
      </w:r>
      <w:r>
        <w:rPr>
          <w:rFonts w:ascii="Times New Roman" w:hAnsi="Times New Roman" w:eastAsia="Times New Roman"/>
          <w:b w:val="0"/>
          <w:i w:val="0"/>
          <w:sz w:val="24"/>
        </w:rPr>
        <w:t xml:space="preserve">(5), 507–525. </w:t>
      </w:r>
      <w:hyperlink r:id="rId71">
        <w:r>
          <w:rPr>
            <w:color w:val="0563C1"/>
            <w:u w:val="single"/>
            <w:rFonts w:ascii="Times New Roman" w:hAnsi="Times New Roman"/>
            <w:sz w:val="24"/>
          </w:rPr>
          <w:t xml:space="preserve">https://doi.org/10.5465/256973</w:t>
        </w:r>
      </w:hyperlink>
    </w:p>
    <w:p w14:paraId="0B6F6B3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Donaldson, T., Freeman, R. E., Jensen, M. C., Mitchell, R. K., &amp; Wood, D. J. (2008). Dialogue: Toward superior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Ethics Quarterly, 18</w:t>
      </w:r>
      <w:r>
        <w:rPr>
          <w:rFonts w:ascii="Times New Roman" w:hAnsi="Times New Roman" w:eastAsia="Times New Roman"/>
          <w:b w:val="0"/>
          <w:i w:val="0"/>
          <w:sz w:val="24"/>
        </w:rPr>
        <w:t xml:space="preserve">(2), 153–190. </w:t>
      </w:r>
      <w:hyperlink r:id="rId16">
        <w:r>
          <w:rPr>
            <w:color w:val="0563C1"/>
            <w:u w:val="single"/>
            <w:rFonts w:ascii="Times New Roman" w:hAnsi="Times New Roman"/>
            <w:sz w:val="24"/>
          </w:rPr>
          <w:t xml:space="preserve">https://doi.org/10.5840/beq200818214</w:t>
        </w:r>
      </w:hyperlink>
    </w:p>
    <w:p w14:paraId="28B03BC0" w14:textId="77777777" w:rsidR="0028214A" w:rsidRDefault="0089165D" w:rsidP="0028214A">
      <w:pPr>
        <w:spacing w:line="480" w:lineRule="auto"/>
        <w:ind w:left="630" w:hanging="630"/>
      </w:pPr>
      <w:r w:rsidRPr="00AC3820">
        <w:rPr>
          <w:rFonts w:ascii="Times New Roman" w:hAnsi="Times New Roman" w:eastAsia="Times New Roman"/>
          <w:b w:val="0"/>
          <w:i w:val="0"/>
          <w:color w:val="000000" w:themeColor="text1"/>
          <w:sz w:val="24"/>
        </w:rPr>
        <w:t xml:space="preserve">Ampel, B. M., Samtani, S., Zhu, H., Chen, H., &amp; Nunamaker, J. F., Jr. (2024). Improving threat mitigation through a cybersecurity risk management framework: A computational design science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Management Information Systems, 41</w:t>
      </w:r>
      <w:r>
        <w:rPr>
          <w:rFonts w:ascii="Times New Roman" w:hAnsi="Times New Roman" w:eastAsia="Times New Roman"/>
          <w:b w:val="0"/>
          <w:i w:val="0"/>
          <w:sz w:val="24"/>
        </w:rPr>
        <w:t xml:space="preserve">(1), 236–265. </w:t>
      </w:r>
      <w:hyperlink r:id="rId72">
        <w:r>
          <w:rPr>
            <w:color w:val="0563C1"/>
            <w:u w:val="single"/>
            <w:rFonts w:ascii="Times New Roman" w:hAnsi="Times New Roman"/>
            <w:sz w:val="24"/>
          </w:rPr>
          <w:t xml:space="preserve">https://doi.org/10.1080/07421222.2023.2301178</w:t>
        </w:r>
      </w:hyperlink>
    </w:p>
    <w:p w14:paraId="375D435E" w14:textId="77777777" w:rsidR="0028214A" w:rsidRDefault="0028214A" w:rsidP="0028214A">
      <w:pPr>
        <w:spacing w:line="480" w:lineRule="auto"/>
        <w:ind w:left="630" w:hanging="630"/>
      </w:pPr>
      <w:r w:rsidRPr="0028214A">
        <w:rPr>
          <w:rFonts w:ascii="Times New Roman" w:hAnsi="Times New Roman" w:eastAsia="Times New Roman"/>
          <w:b/>
          <w:i w:val="0"/>
          <w:sz w:val="24"/>
          <w:highlight w:val="yellow"/>
        </w:rPr>
        <w:t xml:space="preserve">Brinkmann, S., &amp; Kvale, S. (2017). Ethics in qualitative psychological research. In C. Willig &amp; W. Stainton Rogers (Eds.),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SAGE handbook of qualitative research in psychology</w:t>
      </w:r>
      <w:r>
        <w:rPr>
          <w:rFonts w:ascii="Times New Roman" w:hAnsi="Times New Roman" w:eastAsia="Times New Roman"/>
          <w:b/>
          <w:i w:val="0"/>
          <w:sz w:val="24"/>
        </w:rPr>
        <w:t xml:space="preserve"> (2nd ed., pp. 259–273). SAGE. </w:t>
      </w:r>
    </w:p>
    <w:p>
      <w:pPr>
        <w:spacing w:line="480" w:lineRule="auto"/>
      </w:pPr>
      <w:r>
        <w:rPr>
          <w:rFonts w:ascii="Times New Roman" w:hAnsi="Times New Roman" w:eastAsia="Times New Roman"/>
          <w:b/>
          <w:i w:val="0"/>
          <w:sz w:val="24"/>
        </w:rPr>
        <w:t xml:space="preserve">Butterfield, L. D., Borgen, W. A., Amundson, N. E., &amp; Maglio, A.-S. T. (2005). Fifty years of the critical incident technique: 1954–2004 and beyond.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Qualitative Research, 5</w:t>
      </w:r>
      <w:r>
        <w:rPr>
          <w:rFonts w:ascii="Times New Roman" w:hAnsi="Times New Roman" w:eastAsia="Times New Roman"/>
          <w:b/>
          <w:i w:val="0"/>
          <w:sz w:val="24"/>
        </w:rPr>
        <w:t xml:space="preserve">(4), 475–497. </w:t>
      </w:r>
      <w:hyperlink r:id="rId73">
        <w:r>
          <w:rPr>
            <w:color w:val="0563C1"/>
            <w:u w:val="single"/>
            <w:rFonts w:ascii="Times New Roman" w:hAnsi="Times New Roman"/>
            <w:sz w:val="24"/>
            <w:b/>
          </w:rPr>
          <w:t xml:space="preserve">https://doi.org/10.1177/1468794105056924</w:t>
        </w:r>
      </w:hyperlink>
    </w:p>
    <w:p w14:paraId="406A290B" w14:textId="0B9A3E86" w:rsidR="0089165D" w:rsidRPr="00320DC6" w:rsidRDefault="0089165D" w:rsidP="0028214A">
      <w:pPr>
        <w:spacing w:line="480" w:lineRule="auto"/>
        <w:ind w:left="630" w:hanging="630"/>
        <w:rPr>
          <w:highlight w:val="cyan"/>
        </w:rPr>
      </w:pPr>
      <w:r w:rsidRPr="00AC3820">
        <w:rPr>
          <w:rFonts w:ascii="Times New Roman" w:hAnsi="Times New Roman" w:eastAsia="Times New Roman"/>
          <w:b w:val="0"/>
          <w:i w:val="0"/>
          <w:color w:val="000000" w:themeColor="text1"/>
          <w:sz w:val="24"/>
        </w:rPr>
        <w:t xml:space="preserve">Caelli, K., Ray, L., &amp; Mill, J. (2003). “Clear as mud”: Toward greater clarity in generic qualitative research. </w:t>
      </w:r>
      <w:r w:rsidRPr="00320DC6">
        <w:rPr>
          <w:b w:val="0"/>
          <w:i w:val="0"/>
          <w:color w:val="000000" w:themeColor="text1"/>
          <w:highlight w:val="cyan"/>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w:t>
      </w:r>
      <w:r>
        <w:rPr>
          <w:rFonts w:ascii="Times New Roman" w:hAnsi="Times New Roman" w:eastAsia="Times New Roman"/>
          <w:b w:val="0"/>
          <w:i w:val="0"/>
          <w:sz w:val="24"/>
        </w:rPr>
        <w:t xml:space="preserve">(2), 1–13. </w:t>
      </w:r>
      <w:hyperlink r:id="rId18">
        <w:r>
          <w:rPr>
            <w:color w:val="0563C1"/>
            <w:u w:val="single"/>
            <w:rFonts w:ascii="Times New Roman" w:hAnsi="Times New Roman"/>
            <w:sz w:val="24"/>
          </w:rPr>
          <w:t xml:space="preserve">https://doi.org/10.1177/160940690300200201</w:t>
        </w:r>
      </w:hyperlink>
    </w:p>
    <w:p w14:paraId="5E5C38A4" w14:textId="77777777" w:rsidR="00320DC6"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Capella University. (2024). </w:t>
      </w:r>
      <w:r w:rsidRPr="00AC3820">
        <w:rPr>
          <w:b w:val="0"/>
          <w:i w:val="0"/>
          <w:color w:val="000000" w:themeColor="text1"/>
        </w:rPr>
      </w:r>
      <w:r w:rsidR="00320DC6">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University catalog: Doctor of Philosophy (PhD) in Business Management, Information Technology Management specialization</w:t>
      </w:r>
      <w:r>
        <w:rPr>
          <w:rFonts w:ascii="Times New Roman" w:hAnsi="Times New Roman" w:eastAsia="Times New Roman"/>
          <w:b w:val="0"/>
          <w:i w:val="0"/>
          <w:sz w:val="24"/>
        </w:rPr>
        <w:t>. Capella University.</w:t>
      </w:r>
    </w:p>
    <w:p>
      <w:pPr>
        <w:spacing w:line="480" w:lineRule="auto"/>
      </w:pPr>
      <w:r>
        <w:rPr>
          <w:rFonts w:ascii="Times New Roman" w:hAnsi="Times New Roman" w:eastAsia="Times New Roman"/>
          <w:b/>
          <w:i w:val="0"/>
          <w:sz w:val="24"/>
        </w:rPr>
        <w:t xml:space="preserve">Cooper, S., &amp; Endacott, R. (2007). Generic qualitative research: A design for qualitative research in emergency care?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Emergency Medicine Journal, 24</w:t>
      </w:r>
      <w:r>
        <w:rPr>
          <w:rFonts w:ascii="Times New Roman" w:hAnsi="Times New Roman" w:eastAsia="Times New Roman"/>
          <w:b/>
          <w:i w:val="0"/>
          <w:sz w:val="24"/>
        </w:rPr>
        <w:t xml:space="preserve">(12), 816–819. </w:t>
      </w:r>
      <w:hyperlink r:id="rId19">
        <w:r>
          <w:rPr>
            <w:color w:val="0563C1"/>
            <w:u w:val="single"/>
            <w:rFonts w:ascii="Times New Roman" w:hAnsi="Times New Roman"/>
            <w:sz w:val="24"/>
            <w:b/>
          </w:rPr>
          <w:t xml:space="preserve">https://doi.org/10.1136/emj.2007.050641</w:t>
        </w:r>
      </w:hyperlink>
    </w:p>
    <w:p w14:paraId="43B56822" w14:textId="40ECFABF" w:rsidR="0089165D" w:rsidRPr="00AC3820" w:rsidRDefault="00320DC6" w:rsidP="0089165D">
      <w:pPr>
        <w:spacing w:line="480" w:lineRule="auto"/>
        <w:ind w:left="630" w:hanging="630"/>
        <w:rPr>
          <w:color w:val="000000" w:themeColor="text1"/>
        </w:rPr>
      </w:pPr>
      <w:r w:rsidRPr="00320DC6">
        <w:rPr>
          <w:rFonts w:ascii="Times New Roman" w:hAnsi="Times New Roman" w:eastAsia="Times New Roman"/>
          <w:b w:val="0"/>
          <w:i w:val="0"/>
          <w:sz w:val="24"/>
          <w:highlight w:val="cyan"/>
        </w:rPr>
        <w:t xml:space="preserve">Creswell, J. W., &amp; Miller, D. L. (2000). Determining validity in qualitative inquiry.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Theory Into Practice, 39</w:t>
      </w:r>
      <w:r>
        <w:rPr>
          <w:rFonts w:ascii="Times New Roman" w:hAnsi="Times New Roman" w:eastAsia="Times New Roman"/>
          <w:b w:val="0"/>
          <w:i w:val="0"/>
          <w:sz w:val="24"/>
        </w:rPr>
        <w:t xml:space="preserve">(3), 124–130. </w:t>
      </w:r>
      <w:hyperlink r:id="rId75">
        <w:r>
          <w:rPr>
            <w:color w:val="0563C1"/>
            <w:u w:val="single"/>
            <w:rFonts w:ascii="Times New Roman" w:hAnsi="Times New Roman"/>
            <w:sz w:val="24"/>
          </w:rPr>
          <w:t xml:space="preserve">https://doi.org/10.1207/s15430421tip3903_2</w:t>
        </w:r>
      </w:hyperlink>
    </w:p>
    <w:p>
      <w:pPr>
        <w:spacing w:line="480" w:lineRule="auto"/>
      </w:pPr>
      <w:r>
        <w:rPr>
          <w:rFonts w:ascii="Times New Roman" w:hAnsi="Times New Roman" w:eastAsia="Times New Roman"/>
          <w:b w:val="0"/>
          <w:i w:val="0"/>
          <w:sz w:val="24"/>
        </w:rPr>
        <w:t xml:space="preserve">Creswell, J. W., &amp; Poth, C. 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and research design: Choosing among five approaches</w:t>
      </w:r>
      <w:r>
        <w:rPr>
          <w:rFonts w:ascii="Times New Roman" w:hAnsi="Times New Roman" w:eastAsia="Times New Roman"/>
          <w:b w:val="0"/>
          <w:i w:val="0"/>
          <w:sz w:val="24"/>
        </w:rPr>
        <w:t xml:space="preserve"> (5th ed.). SAGE.</w:t>
      </w:r>
    </w:p>
    <w:p w14:paraId="2168B1B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Donaldson, T., &amp; Preston, L. E. (1995). The stakeholder theory of the corporation: Concepts, evidence, and implications.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20</w:t>
      </w:r>
      <w:r>
        <w:rPr>
          <w:rFonts w:ascii="Times New Roman" w:hAnsi="Times New Roman" w:eastAsia="Times New Roman"/>
          <w:b w:val="0"/>
          <w:i w:val="0"/>
          <w:sz w:val="24"/>
        </w:rPr>
        <w:t xml:space="preserve">(1), 65–91. </w:t>
      </w:r>
      <w:hyperlink r:id="rId76">
        <w:r>
          <w:rPr>
            <w:color w:val="0563C1"/>
            <w:u w:val="single"/>
            <w:rFonts w:ascii="Times New Roman" w:hAnsi="Times New Roman"/>
            <w:sz w:val="24"/>
          </w:rPr>
          <w:t xml:space="preserve">https://doi.org/10.5465/amr.1995.9503271992</w:t>
        </w:r>
      </w:hyperlink>
    </w:p>
    <w:p w14:paraId="4876EA1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Dorobantu, S., Henisz, W. J., &amp; Nartey, L. J. (2024). Firm–stakeholder dialogue and the media: The evolution of stakeholder evaluations in different informational environments.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67</w:t>
      </w:r>
      <w:r>
        <w:rPr>
          <w:rFonts w:ascii="Times New Roman" w:hAnsi="Times New Roman" w:eastAsia="Times New Roman"/>
          <w:b w:val="0"/>
          <w:i w:val="0"/>
          <w:sz w:val="24"/>
        </w:rPr>
        <w:t xml:space="preserve">(1), 92–125. </w:t>
      </w:r>
      <w:hyperlink r:id="rId77">
        <w:r>
          <w:rPr>
            <w:color w:val="0563C1"/>
            <w:u w:val="single"/>
            <w:rFonts w:ascii="Times New Roman" w:hAnsi="Times New Roman"/>
            <w:sz w:val="24"/>
          </w:rPr>
          <w:t xml:space="preserve">https://doi.org/10.5465/amj.2021.0103</w:t>
        </w:r>
      </w:hyperlink>
    </w:p>
    <w:p w14:paraId="14FF2CB4" w14:textId="1A50B925" w:rsidR="0089165D" w:rsidRPr="00AC3820" w:rsidRDefault="0089165D" w:rsidP="0089165D">
      <w:pPr>
        <w:spacing w:line="480" w:lineRule="auto"/>
        <w:ind w:left="630" w:hanging="630"/>
        <w:rPr>
          <w:color w:val="000000" w:themeColor="text1"/>
        </w:rPr>
      </w:pPr>
      <w:r w:rsidRPr="00AD3765">
        <w:rPr>
          <w:rFonts w:ascii="Times New Roman" w:hAnsi="Times New Roman" w:eastAsia="Times New Roman"/>
          <w:b/>
          <w:i w:val="0"/>
          <w:color w:val="000000" w:themeColor="text1"/>
          <w:sz w:val="24"/>
          <w:highlight w:val="cyan"/>
        </w:rPr>
        <w:t xml:space="preserve">Erdiaw-Kwasie, M. O., Alam, K., &amp; Shahiduzzaman, M. (2017). Towards understanding stakeholder salience transition and relational approach to ‘better’ corporate social responsibility: A case for a proposed model in practice. </w:t>
      </w:r>
      <w:r w:rsidRPr="00AD3765">
        <w:rPr>
          <w:b w:val="0"/>
          <w:i w:val="0"/>
          <w:color w:val="000000" w:themeColor="text1"/>
          <w:highlight w:val="green"/>
        </w:rPr>
      </w:r>
      <w:r w:rsidR="00AD3765" w:rsidRPr="00AD3765">
        <w:rPr>
          <w:b w:val="0"/>
          <w:i w:val="0"/>
          <w:color w:val="000000" w:themeColor="text1"/>
          <w:highlight w:val="green"/>
        </w:rPr>
      </w:r>
      <w:r w:rsidRPr="00AD3765">
        <w:rPr>
          <w:b w:val="0"/>
          <w:i w:val="0"/>
          <w:color w:val="000000" w:themeColor="text1"/>
          <w:highlight w:val="gree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144</w:t>
      </w:r>
      <w:r>
        <w:rPr>
          <w:rFonts w:ascii="Times New Roman" w:hAnsi="Times New Roman" w:eastAsia="Times New Roman"/>
          <w:b/>
          <w:i w:val="0"/>
          <w:sz w:val="24"/>
        </w:rPr>
        <w:t xml:space="preserve">(1), 85–101. </w:t>
      </w:r>
      <w:hyperlink r:id="rId21">
        <w:r>
          <w:rPr>
            <w:color w:val="0563C1"/>
            <w:u w:val="single"/>
            <w:rFonts w:ascii="Times New Roman" w:hAnsi="Times New Roman"/>
            <w:sz w:val="24"/>
            <w:b/>
          </w:rPr>
          <w:t xml:space="preserve">https://doi.org/10.1007/s10551-015-2805-z</w:t>
        </w:r>
      </w:hyperlink>
    </w:p>
    <w:p w14:paraId="1C62BFA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Farahbod, K., Shayo, C., &amp; Varzandeh, J. (2022). Six sigma and lean operations in cybersecurity management. </w:t>
      </w:r>
      <w:r w:rsidR="00202E6F" w:rsidRPr="00AC3820">
        <w:rPr>
          <w:b w:val="0"/>
          <w:i w:val="0"/>
          <w:color w:val="000000" w:themeColor="text1"/>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Behavioral Sciences, 34</w:t>
      </w:r>
      <w:r>
        <w:rPr>
          <w:rFonts w:ascii="Times New Roman" w:hAnsi="Times New Roman" w:eastAsia="Times New Roman"/>
          <w:b w:val="0"/>
          <w:i w:val="0"/>
          <w:sz w:val="24"/>
        </w:rPr>
        <w:t>(1), 99–109.</w:t>
      </w:r>
    </w:p>
    <w:p w14:paraId="135EF70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Federal Bureau of Investigation.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Internet crime report 2024</w:t>
      </w:r>
      <w:r>
        <w:rPr>
          <w:rFonts w:ascii="Times New Roman" w:hAnsi="Times New Roman" w:eastAsia="Times New Roman"/>
          <w:b w:val="0"/>
          <w:i w:val="0"/>
          <w:sz w:val="24"/>
        </w:rPr>
        <w:t xml:space="preserve">. </w:t>
      </w:r>
      <w:hyperlink r:id="rId79">
        <w:r>
          <w:rPr>
            <w:color w:val="0563C1"/>
            <w:u w:val="single"/>
            <w:rFonts w:ascii="Times New Roman" w:hAnsi="Times New Roman"/>
            <w:sz w:val="24"/>
          </w:rPr>
          <w:t xml:space="preserve">https://www.ic3.gov/AnnualReport/Reports/2024_IC3Report.pdf</w:t>
        </w:r>
      </w:hyperlink>
    </w:p>
    <w:p w14:paraId="13174C62" w14:textId="77777777" w:rsidR="006C0B44" w:rsidRPr="00AC3820" w:rsidRDefault="0089165D" w:rsidP="006C0B44">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Fereday, J., &amp; Muir-Cochrane, E. (2006). Demonstrating rigor using thematic analysis: A hybrid approach of inductive and deductive coding and theme development.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5</w:t>
      </w:r>
      <w:r>
        <w:rPr>
          <w:rFonts w:ascii="Times New Roman" w:hAnsi="Times New Roman" w:eastAsia="Times New Roman"/>
          <w:b w:val="0"/>
          <w:i w:val="0"/>
          <w:sz w:val="24"/>
        </w:rPr>
        <w:t xml:space="preserve">(1), 80–92. </w:t>
      </w:r>
      <w:hyperlink r:id="rId80">
        <w:r>
          <w:rPr>
            <w:color w:val="0563C1"/>
            <w:u w:val="single"/>
            <w:rFonts w:ascii="Times New Roman" w:hAnsi="Times New Roman"/>
            <w:sz w:val="24"/>
          </w:rPr>
          <w:t xml:space="preserve">https://doi.org/10.1177/160940690600500107</w:t>
        </w:r>
      </w:hyperlink>
    </w:p>
    <w:p w14:paraId="6DC975CE" w14:textId="5F888305" w:rsidR="006C0B44" w:rsidRPr="00AC3820" w:rsidRDefault="006C0B44" w:rsidP="006C0B44">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Fischer, D., Brettel, M., &amp; Mauer, R. (2020). The three dimensions of sustainability: A delicate balancing act for entrepreneurs made more complex by stakeholder expectations.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163</w:t>
      </w:r>
      <w:r>
        <w:rPr>
          <w:rFonts w:ascii="Times New Roman" w:hAnsi="Times New Roman" w:eastAsia="Times New Roman"/>
          <w:b/>
          <w:i w:val="0"/>
          <w:sz w:val="24"/>
        </w:rPr>
        <w:t xml:space="preserve">(1), 87–106. </w:t>
      </w:r>
      <w:hyperlink r:id="rId23">
        <w:r>
          <w:rPr>
            <w:color w:val="0563C1"/>
            <w:u w:val="single"/>
            <w:rFonts w:ascii="Times New Roman" w:hAnsi="Times New Roman"/>
            <w:sz w:val="24"/>
            <w:b/>
          </w:rPr>
          <w:t xml:space="preserve">https://doi.org/10.1007/s10551-018-4012-1</w:t>
        </w:r>
      </w:hyperlink>
    </w:p>
    <w:p w14:paraId="79A13593" w14:textId="77777777" w:rsidR="0089165D" w:rsidRPr="00AC3820" w:rsidRDefault="0089165D" w:rsidP="0089165D">
      <w:pPr>
        <w:spacing w:line="480" w:lineRule="auto"/>
        <w:ind w:left="630" w:hanging="630"/>
        <w:rPr>
          <w:color w:val="000000" w:themeColor="text1"/>
        </w:rPr>
      </w:pPr>
      <w:r w:rsidRPr="00C17561">
        <w:rPr>
          <w:rFonts w:ascii="Times New Roman" w:hAnsi="Times New Roman" w:eastAsia="Times New Roman"/>
          <w:b w:val="0"/>
          <w:i w:val="0"/>
          <w:color w:val="000000" w:themeColor="text1"/>
          <w:sz w:val="24"/>
          <w:highlight w:val="cyan"/>
        </w:rPr>
        <w:t xml:space="preserve">Flanagan, J. C. (1954). The critical incident technique.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Psychological Bulletin, 51</w:t>
      </w:r>
      <w:r>
        <w:rPr>
          <w:rFonts w:ascii="Times New Roman" w:hAnsi="Times New Roman" w:eastAsia="Times New Roman"/>
          <w:b w:val="0"/>
          <w:i w:val="0"/>
          <w:sz w:val="24"/>
        </w:rPr>
        <w:t xml:space="preserve">(4), 327–358. </w:t>
      </w:r>
      <w:hyperlink r:id="rId81">
        <w:r>
          <w:rPr>
            <w:color w:val="0563C1"/>
            <w:u w:val="single"/>
            <w:rFonts w:ascii="Times New Roman" w:hAnsi="Times New Roman"/>
            <w:sz w:val="24"/>
          </w:rPr>
          <w:t xml:space="preserve">https://doi.org/10.1037/h0061470</w:t>
        </w:r>
      </w:hyperlink>
    </w:p>
    <w:p w14:paraId="38913E1E"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(1984).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Strategic management: A stakeholder approach</w:t>
      </w:r>
      <w:r>
        <w:rPr>
          <w:rFonts w:ascii="Times New Roman" w:hAnsi="Times New Roman" w:eastAsia="Times New Roman"/>
          <w:b w:val="0"/>
          <w:i w:val="0"/>
          <w:sz w:val="24"/>
        </w:rPr>
        <w:t>. Pitman.</w:t>
      </w:r>
    </w:p>
    <w:p>
      <w:r>
        <w:rPr>
          <w:rFonts w:ascii="Times New Roman" w:hAnsi="Times New Roman" w:eastAsia="Times New Roman"/>
          <w:b w:val="0"/>
          <w:i w:val="0"/>
          <w:sz w:val="24"/>
        </w:rPr>
        <w:t xml:space="preserve">Freeman, R. E. (2008).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Managing for stakeholders: Survival, reputation, and success</w:t>
      </w:r>
      <w:r>
        <w:rPr>
          <w:rFonts w:ascii="Times New Roman" w:hAnsi="Times New Roman" w:eastAsia="Times New Roman"/>
          <w:b w:val="0"/>
          <w:i w:val="0"/>
          <w:sz w:val="24"/>
        </w:rPr>
        <w:t>. Yale University Press.</w:t>
      </w:r>
    </w:p>
    <w:p w14:paraId="3708C629" w14:textId="2138DCB3" w:rsidR="0089165D"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(2009). Stakeholder theory: 25 years later.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Philosophy of Management, 8</w:t>
      </w:r>
      <w:r>
        <w:rPr>
          <w:rFonts w:ascii="Times New Roman" w:hAnsi="Times New Roman" w:eastAsia="Times New Roman"/>
          <w:b w:val="0"/>
          <w:i w:val="0"/>
          <w:sz w:val="24"/>
        </w:rPr>
        <w:t xml:space="preserve">(3), 97–107. </w:t>
      </w:r>
      <w:hyperlink r:id="rId27">
        <w:r>
          <w:rPr>
            <w:color w:val="0563C1"/>
            <w:u w:val="single"/>
            <w:rFonts w:ascii="Times New Roman" w:hAnsi="Times New Roman"/>
            <w:sz w:val="24"/>
          </w:rPr>
          <w:t xml:space="preserve">https://doi.org/10.5840/pom20098310</w:t>
        </w:r>
      </w:hyperlink>
    </w:p>
    <w:p w14:paraId="7F19CB5E" w14:textId="236B823A" w:rsidR="00106231" w:rsidRPr="00AC3820" w:rsidRDefault="00106231" w:rsidP="0089165D">
      <w:pPr>
        <w:spacing w:line="480" w:lineRule="auto"/>
        <w:ind w:left="630" w:hanging="630"/>
        <w:rPr>
          <w:color w:val="000000" w:themeColor="text1"/>
        </w:rPr>
      </w:pPr>
      <w:r w:rsidRPr="00106231">
        <w:rPr>
          <w:rFonts w:ascii="Times New Roman" w:hAnsi="Times New Roman" w:eastAsia="Times New Roman"/>
          <w:b w:val="0"/>
          <w:i w:val="0"/>
          <w:sz w:val="24"/>
          <w:highlight w:val="yellow"/>
        </w:rPr>
        <w:t xml:space="preserve">Freeman, R. E., Gilbert, D. R., Jr., &amp; Hartman, E. (1988). Values and the foundations of strategic management.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w:t>
      </w:r>
      <w:r>
        <w:rPr>
          <w:rFonts w:ascii="Times New Roman" w:hAnsi="Times New Roman" w:eastAsia="Times New Roman"/>
          <w:b w:val="0"/>
          <w:i w:val="0"/>
          <w:sz w:val="24"/>
        </w:rPr>
        <w:t xml:space="preserve">(11), 821–834. </w:t>
      </w:r>
      <w:hyperlink r:id="rId82">
        <w:r>
          <w:rPr>
            <w:color w:val="0563C1"/>
            <w:u w:val="single"/>
            <w:rFonts w:ascii="Times New Roman" w:hAnsi="Times New Roman"/>
            <w:sz w:val="24"/>
          </w:rPr>
          <w:t xml:space="preserve">https://doi.org/10.1007/BF00383045</w:t>
        </w:r>
      </w:hyperlink>
    </w:p>
    <w:p w14:paraId="66A6F4C0"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Martin, K., &amp; Parmar, B. (2007). Stakeholder capitalism.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74</w:t>
      </w:r>
      <w:r>
        <w:rPr>
          <w:rFonts w:ascii="Times New Roman" w:hAnsi="Times New Roman" w:eastAsia="Times New Roman"/>
          <w:b w:val="0"/>
          <w:i w:val="0"/>
          <w:sz w:val="24"/>
        </w:rPr>
        <w:t xml:space="preserve">(4), 303–314. </w:t>
      </w:r>
      <w:hyperlink r:id="rId83">
        <w:r>
          <w:rPr>
            <w:color w:val="0563C1"/>
            <w:u w:val="single"/>
            <w:rFonts w:ascii="Times New Roman" w:hAnsi="Times New Roman"/>
            <w:sz w:val="24"/>
          </w:rPr>
          <w:t xml:space="preserve">https://doi.org/10.1007/s10551-007-9517-y</w:t>
        </w:r>
      </w:hyperlink>
    </w:p>
    <w:p>
      <w:pPr>
        <w:spacing w:line="480" w:lineRule="auto"/>
      </w:pPr>
      <w:r>
        <w:rPr>
          <w:rFonts w:ascii="Times New Roman" w:hAnsi="Times New Roman" w:eastAsia="Times New Roman"/>
          <w:b w:val="0"/>
          <w:i w:val="0"/>
          <w:sz w:val="24"/>
        </w:rPr>
        <w:t xml:space="preserve">Freeman, R. E., Phillips, R., &amp; Sisodia, R. (2020). Tensions in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&amp; Society, 59</w:t>
      </w:r>
      <w:r>
        <w:rPr>
          <w:rFonts w:ascii="Times New Roman" w:hAnsi="Times New Roman" w:eastAsia="Times New Roman"/>
          <w:b w:val="0"/>
          <w:i w:val="0"/>
          <w:sz w:val="24"/>
        </w:rPr>
        <w:t xml:space="preserve">(2), 213–231. </w:t>
      </w:r>
      <w:hyperlink r:id="rId70">
        <w:r>
          <w:rPr>
            <w:color w:val="0563C1"/>
            <w:u w:val="single"/>
            <w:rFonts w:ascii="Times New Roman" w:hAnsi="Times New Roman"/>
            <w:sz w:val="24"/>
          </w:rPr>
          <w:t xml:space="preserve">https://doi.org/10.1177/0007650318773750</w:t>
        </w:r>
      </w:hyperlink>
    </w:p>
    <w:p w14:paraId="5DCDD433" w14:textId="7FE01A98" w:rsidR="00AD3765" w:rsidRPr="00AD3765" w:rsidRDefault="00AD3765" w:rsidP="0089165D">
      <w:pPr>
        <w:spacing w:line="480" w:lineRule="auto"/>
        <w:ind w:left="630" w:hanging="630"/>
        <w:rPr>
          <w:b/>
          <w:bCs/>
          <w:color w:val="000000" w:themeColor="text1"/>
        </w:rPr>
      </w:pPr>
      <w:r w:rsidRPr="00AD3765">
        <w:rPr>
          <w:rFonts w:ascii="Times New Roman" w:hAnsi="Times New Roman" w:eastAsia="Times New Roman"/>
          <w:b w:val="0"/>
          <w:bCs/>
          <w:i w:val="0"/>
          <w:color w:val="000000" w:themeColor="text1"/>
          <w:sz w:val="24"/>
          <w:highlight w:val="yellow"/>
        </w:rPr>
        <w:t xml:space="preserve">Freeman, R. E., Wicks, A. C., &amp; Parmar, B. (2004). Stakeholder theory and the corporate objective revisited.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Organization Science, 15</w:t>
      </w:r>
      <w:r>
        <w:rPr>
          <w:rFonts w:ascii="Times New Roman" w:hAnsi="Times New Roman" w:eastAsia="Times New Roman"/>
          <w:b w:val="0"/>
          <w:i w:val="0"/>
          <w:sz w:val="24"/>
        </w:rPr>
        <w:t xml:space="preserve">(3), 364–369. </w:t>
      </w:r>
      <w:hyperlink r:id="rId84">
        <w:r>
          <w:rPr>
            <w:color w:val="0563C1"/>
            <w:u w:val="single"/>
            <w:rFonts w:ascii="Times New Roman" w:hAnsi="Times New Roman"/>
            <w:sz w:val="24"/>
          </w:rPr>
          <w:t xml:space="preserve">https://doi.org/10.1287/orsc.1040.0066</w:t>
        </w:r>
      </w:hyperlink>
    </w:p>
    <w:p w14:paraId="2E084C22" w14:textId="1FD231D1"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Fusch, P., Fusch, G. E., &amp; Ness, L. R. (2018). Denzin’s paradigm shift: Revisiting triangulation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Social Change, 10</w:t>
      </w:r>
      <w:r>
        <w:rPr>
          <w:rFonts w:ascii="Times New Roman" w:hAnsi="Times New Roman" w:eastAsia="Times New Roman"/>
          <w:b w:val="0"/>
          <w:i w:val="0"/>
          <w:sz w:val="24"/>
        </w:rPr>
        <w:t xml:space="preserve">(1), 19–32. </w:t>
      </w:r>
      <w:hyperlink r:id="rId32">
        <w:r>
          <w:rPr>
            <w:color w:val="0563C1"/>
            <w:u w:val="single"/>
            <w:rFonts w:ascii="Times New Roman" w:hAnsi="Times New Roman"/>
            <w:sz w:val="24"/>
          </w:rPr>
          <w:t xml:space="preserve">https://doi.org/10.5590/JOSC.2018.10.1.02</w:t>
        </w:r>
      </w:hyperlink>
    </w:p>
    <w:p w14:paraId="0F5D7AC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Gabriel, C., &amp; Shafique, K. (2024). An ethical salience framework to achieve sustainable development goals.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Sustainable Development, 32</w:t>
      </w:r>
      <w:r>
        <w:rPr>
          <w:rFonts w:ascii="Times New Roman" w:hAnsi="Times New Roman" w:eastAsia="Times New Roman"/>
          <w:b/>
          <w:i w:val="0"/>
          <w:sz w:val="24"/>
        </w:rPr>
        <w:t xml:space="preserve">(4), 3213–3225. </w:t>
      </w:r>
      <w:hyperlink r:id="rId85">
        <w:r>
          <w:rPr>
            <w:color w:val="0563C1"/>
            <w:u w:val="single"/>
            <w:rFonts w:ascii="Times New Roman" w:hAnsi="Times New Roman"/>
            <w:sz w:val="24"/>
            <w:b/>
          </w:rPr>
          <w:t xml:space="preserve">https://doi.org/10.1002/sd.2840</w:t>
        </w:r>
      </w:hyperlink>
    </w:p>
    <w:p w14:paraId="103C40F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Gremler, D. D. (2004). The critical incident technique in service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Service Research, 7</w:t>
      </w:r>
      <w:r>
        <w:rPr>
          <w:rFonts w:ascii="Times New Roman" w:hAnsi="Times New Roman" w:eastAsia="Times New Roman"/>
          <w:b w:val="0"/>
          <w:i w:val="0"/>
          <w:sz w:val="24"/>
        </w:rPr>
        <w:t xml:space="preserve">(1), 65–89. </w:t>
      </w:r>
      <w:hyperlink r:id="rId15">
        <w:r>
          <w:rPr>
            <w:color w:val="0563C1"/>
            <w:u w:val="single"/>
            <w:rFonts w:ascii="Times New Roman" w:hAnsi="Times New Roman"/>
            <w:sz w:val="24"/>
          </w:rPr>
          <w:t xml:space="preserve">https://doi.org/10.1177/1094670504266138</w:t>
        </w:r>
      </w:hyperlink>
    </w:p>
    <w:p w14:paraId="72953CA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Guba, E. G., &amp; Lincoln, Y. S. (1994). Competing paradigms in qualitative research. In N. K. Denzin &amp; Y. S. Lincoln (Eds.),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Handbook of qualitative research</w:t>
      </w:r>
      <w:r>
        <w:rPr>
          <w:rFonts w:ascii="Times New Roman" w:hAnsi="Times New Roman" w:eastAsia="Times New Roman"/>
          <w:b w:val="0"/>
          <w:i w:val="0"/>
          <w:sz w:val="24"/>
        </w:rPr>
        <w:t xml:space="preserve"> (pp. 105–117). SAGE.</w:t>
      </w:r>
    </w:p>
    <w:p w14:paraId="6245260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Bunce, A., &amp; Johnson, L. (2006). How many interviews are enough? An experiment with data saturation and variability.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Field Methods, 18</w:t>
      </w:r>
      <w:r>
        <w:rPr>
          <w:rFonts w:ascii="Times New Roman" w:hAnsi="Times New Roman" w:eastAsia="Times New Roman"/>
          <w:b w:val="0"/>
          <w:i w:val="0"/>
          <w:sz w:val="24"/>
        </w:rPr>
        <w:t xml:space="preserve">(1), 59–82. </w:t>
      </w:r>
      <w:hyperlink r:id="rId86">
        <w:r>
          <w:rPr>
            <w:color w:val="0563C1"/>
            <w:u w:val="single"/>
            <w:rFonts w:ascii="Times New Roman" w:hAnsi="Times New Roman"/>
            <w:sz w:val="24"/>
          </w:rPr>
          <w:t xml:space="preserve">https://doi.org/10.1177/1525822X05279903</w:t>
        </w:r>
      </w:hyperlink>
    </w:p>
    <w:p w14:paraId="11D1373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Namey, E., &amp; Chen, M. (2020). A simple method to assess and report thematic saturation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PLOS ONE, 15</w:t>
      </w:r>
      <w:r>
        <w:rPr>
          <w:rFonts w:ascii="Times New Roman" w:hAnsi="Times New Roman" w:eastAsia="Times New Roman"/>
          <w:b w:val="0"/>
          <w:i w:val="0"/>
          <w:sz w:val="24"/>
        </w:rPr>
        <w:t xml:space="preserve">(5), Article e0232076. </w:t>
      </w:r>
      <w:hyperlink r:id="rId20">
        <w:r>
          <w:rPr>
            <w:color w:val="0563C1"/>
            <w:u w:val="single"/>
            <w:rFonts w:ascii="Times New Roman" w:hAnsi="Times New Roman"/>
            <w:sz w:val="24"/>
          </w:rPr>
          <w:t xml:space="preserve">https://doi.org/10.1371/journal.pone.0232076</w:t>
        </w:r>
      </w:hyperlink>
    </w:p>
    <w:p w14:paraId="223FC37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Kahlke, R. M. (2014). Generic qualitative approaches: Pitfalls and benefits of methodological mixology.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13</w:t>
      </w:r>
      <w:r>
        <w:rPr>
          <w:rFonts w:ascii="Times New Roman" w:hAnsi="Times New Roman" w:eastAsia="Times New Roman"/>
          <w:b w:val="0"/>
          <w:i w:val="0"/>
          <w:sz w:val="24"/>
        </w:rPr>
        <w:t xml:space="preserve">(1), 37–52. </w:t>
      </w:r>
      <w:hyperlink r:id="rId36">
        <w:r>
          <w:rPr>
            <w:color w:val="0563C1"/>
            <w:u w:val="single"/>
            <w:rFonts w:ascii="Times New Roman" w:hAnsi="Times New Roman"/>
            <w:sz w:val="24"/>
          </w:rPr>
          <w:t xml:space="preserve">https://doi.org/10.1177/160940691401300119</w:t>
        </w:r>
      </w:hyperlink>
    </w:p>
    <w:p w14:paraId="033ABCE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Kenny, C., Weber, C., &amp; Bratton, K. (2017). The characteristics of interpersonal networks in disaster response.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Social Science Quarterly, 98</w:t>
      </w:r>
      <w:r>
        <w:rPr>
          <w:rFonts w:ascii="Times New Roman" w:hAnsi="Times New Roman" w:eastAsia="Times New Roman"/>
          <w:b w:val="0"/>
          <w:i w:val="0"/>
          <w:sz w:val="24"/>
        </w:rPr>
        <w:t xml:space="preserve">(2), 566–583. </w:t>
      </w:r>
      <w:hyperlink r:id="rId87">
        <w:r>
          <w:rPr>
            <w:color w:val="0563C1"/>
            <w:u w:val="single"/>
            <w:rFonts w:ascii="Times New Roman" w:hAnsi="Times New Roman"/>
            <w:sz w:val="24"/>
          </w:rPr>
          <w:t xml:space="preserve">https://doi.org/10.1111/ssqu.12328</w:t>
        </w:r>
      </w:hyperlink>
    </w:p>
    <w:p w14:paraId="0383BBDD" w14:textId="77777777" w:rsidR="001B1529" w:rsidRDefault="0089165D" w:rsidP="001B1529">
      <w:pPr>
        <w:spacing w:line="480" w:lineRule="auto"/>
        <w:ind w:left="630" w:hanging="630"/>
      </w:pPr>
      <w:r w:rsidRPr="00AC3820">
        <w:rPr>
          <w:rFonts w:ascii="Times New Roman" w:hAnsi="Times New Roman" w:eastAsia="Times New Roman"/>
          <w:b w:val="0"/>
          <w:i w:val="0"/>
          <w:color w:val="000000" w:themeColor="text1"/>
          <w:sz w:val="24"/>
        </w:rPr>
        <w:t xml:space="preserve">Koerber, A., &amp; McMichael, L. (2008). Qualitative sampling methods: A primer for technical communicators.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Technical Communication, 22</w:t>
      </w:r>
      <w:r>
        <w:rPr>
          <w:rFonts w:ascii="Times New Roman" w:hAnsi="Times New Roman" w:eastAsia="Times New Roman"/>
          <w:b w:val="0"/>
          <w:i w:val="0"/>
          <w:sz w:val="24"/>
        </w:rPr>
        <w:t xml:space="preserve">(4), 454–473. </w:t>
      </w:r>
      <w:hyperlink r:id="rId88">
        <w:r>
          <w:rPr>
            <w:color w:val="0563C1"/>
            <w:u w:val="single"/>
            <w:rFonts w:ascii="Times New Roman" w:hAnsi="Times New Roman"/>
            <w:sz w:val="24"/>
          </w:rPr>
          <w:t xml:space="preserve">https://doi.org/10.1177/1050651908320362</w:t>
        </w:r>
      </w:hyperlink>
    </w:p>
    <w:p w14:paraId="240044FB" w14:textId="349FE28D" w:rsidR="007A693C" w:rsidRDefault="007A693C" w:rsidP="001B1529">
      <w:pPr>
        <w:spacing w:line="480" w:lineRule="auto"/>
        <w:ind w:left="630" w:hanging="630"/>
      </w:pPr>
      <w:r w:rsidRPr="007A693C">
        <w:rPr>
          <w:rFonts w:ascii="Times New Roman" w:hAnsi="Times New Roman" w:eastAsia="Times New Roman"/>
          <w:b/>
          <w:i w:val="0"/>
          <w:sz w:val="24"/>
          <w:highlight w:val="cyan"/>
        </w:rPr>
        <w:t xml:space="preserve">Kvale, S., &amp; Brinkmann, S. (2015). </w:t>
      </w:r>
      <w:r>
        <w:rPr>
          <w:b w:val="0"/>
          <w:i w:val="0"/>
        </w:rPr>
      </w:r>
      <w:r>
        <w:rPr>
          <w:rStyle w:val="Emphasis"/>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InterViews: Learning the craft of qualitative research interviewing</w:t>
      </w:r>
      <w:r>
        <w:rPr>
          <w:rFonts w:ascii="Times New Roman" w:hAnsi="Times New Roman" w:eastAsia="Times New Roman"/>
          <w:b/>
          <w:i w:val="0"/>
          <w:sz w:val="24"/>
        </w:rPr>
        <w:t xml:space="preserve"> (3rd ed.). SAGE.</w:t>
      </w:r>
    </w:p>
    <w:p w14:paraId="278D99F8" w14:textId="77777777" w:rsidR="00F770BC" w:rsidRDefault="001B1529" w:rsidP="001B1529">
      <w:pPr>
        <w:spacing w:line="480" w:lineRule="auto"/>
        <w:ind w:left="630" w:hanging="630"/>
      </w:pPr>
      <w:r w:rsidRPr="001B1529">
        <w:rPr>
          <w:rFonts w:ascii="Times New Roman" w:hAnsi="Times New Roman" w:eastAsia="Times New Roman"/>
          <w:b w:val="0"/>
          <w:i w:val="0"/>
          <w:sz w:val="24"/>
          <w:highlight w:val="yellow"/>
        </w:rPr>
        <w:t xml:space="preserve">Lester, J. N., Cho, Y., &amp; Lochmiller, C. R. (2020). Learning to do qualitative data analysis: A starting point.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19</w:t>
      </w:r>
      <w:r>
        <w:rPr>
          <w:rFonts w:ascii="Times New Roman" w:hAnsi="Times New Roman" w:eastAsia="Times New Roman"/>
          <w:b w:val="0"/>
          <w:i w:val="0"/>
          <w:sz w:val="24"/>
        </w:rPr>
        <w:t xml:space="preserve">(1), 94–106. </w:t>
      </w:r>
      <w:hyperlink r:id="rId90">
        <w:r>
          <w:rPr>
            <w:color w:val="0563C1"/>
            <w:u w:val="single"/>
            <w:rFonts w:ascii="Times New Roman" w:hAnsi="Times New Roman"/>
            <w:sz w:val="24"/>
          </w:rPr>
          <w:t xml:space="preserve">https://doi.org/10.1177/1534484320903890</w:t>
        </w:r>
      </w:hyperlink>
    </w:p>
    <w:p w14:paraId="59EA7CF9" w14:textId="77777777" w:rsidR="00106231" w:rsidRDefault="0089165D" w:rsidP="001B1529">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Lincoln, Y. S., &amp; Guba, E. G. (1985).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Naturalistic inquiry</w:t>
      </w:r>
      <w:r>
        <w:rPr>
          <w:rFonts w:ascii="Times New Roman" w:hAnsi="Times New Roman" w:eastAsia="Times New Roman"/>
          <w:b w:val="0"/>
          <w:i w:val="0"/>
          <w:sz w:val="24"/>
        </w:rPr>
        <w:t>. SAGE.</w:t>
      </w:r>
    </w:p>
    <w:p w14:paraId="4687E2F9" w14:textId="60ACA2B2" w:rsidR="0089165D" w:rsidRPr="001B1529" w:rsidRDefault="00106231" w:rsidP="001B1529">
      <w:pPr>
        <w:spacing w:line="480" w:lineRule="auto"/>
        <w:ind w:left="630" w:hanging="630"/>
      </w:pPr>
      <w:r w:rsidRPr="00106231">
        <w:rPr>
          <w:rFonts w:ascii="Times New Roman" w:hAnsi="Times New Roman" w:eastAsia="Times New Roman"/>
          <w:b/>
          <w:i w:val="0"/>
          <w:sz w:val="24"/>
          <w:highlight w:val="yellow"/>
        </w:rPr>
        <w:t xml:space="preserve">Liu, W., Liu, R., Chen, H., &amp; Mboga, J. (2020). Perspectives on disruptive technology and innovation. </w:t>
      </w:r>
      <w:r>
        <w:rPr>
          <w:b w:val="0"/>
          <w:i w:val="0"/>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Conflict Management, 31</w:t>
      </w:r>
      <w:r>
        <w:rPr>
          <w:rFonts w:ascii="Times New Roman" w:hAnsi="Times New Roman" w:eastAsia="Times New Roman"/>
          <w:b/>
          <w:i w:val="0"/>
          <w:sz w:val="24"/>
        </w:rPr>
        <w:t xml:space="preserve">(3), 313–331. </w:t>
      </w:r>
      <w:hyperlink r:id="rId39">
        <w:r>
          <w:rPr>
            <w:color w:val="0563C1"/>
            <w:u w:val="single"/>
            <w:rFonts w:ascii="Times New Roman" w:hAnsi="Times New Roman"/>
            <w:sz w:val="24"/>
            <w:b/>
          </w:rPr>
          <w:t xml:space="preserve">https://doi.org/10.1108/IJCMA-09-2019-0172</w:t>
        </w:r>
      </w:hyperlink>
    </w:p>
    <w:p w14:paraId="661B5561" w14:textId="77777777" w:rsidR="0089165D"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Lowry, M. R., Vance, A., &amp; Vance, M. D. (2025). Inexpert supervision: Field evidence on boards’ oversight of cybersecurity.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Management Science</w:t>
      </w:r>
      <w:r>
        <w:rPr>
          <w:rFonts w:ascii="Times New Roman" w:hAnsi="Times New Roman" w:eastAsia="Times New Roman"/>
          <w:b w:val="0"/>
          <w:i w:val="0"/>
          <w:sz w:val="24"/>
        </w:rPr>
        <w:t xml:space="preserve">. </w:t>
      </w:r>
      <w:hyperlink r:id="rId40">
        <w:r>
          <w:rPr>
            <w:color w:val="0563C1"/>
            <w:u w:val="single"/>
            <w:rFonts w:ascii="Times New Roman" w:hAnsi="Times New Roman"/>
            <w:sz w:val="24"/>
          </w:rPr>
          <w:t xml:space="preserve">https://doi.org/10.1287/mnsc.2023.04147</w:t>
        </w:r>
      </w:hyperlink>
    </w:p>
    <w:p w14:paraId="27F6C307" w14:textId="091FF9A9" w:rsidR="001B1529" w:rsidRPr="001B1529" w:rsidRDefault="001B1529" w:rsidP="0089165D">
      <w:pPr>
        <w:spacing w:line="480" w:lineRule="auto"/>
        <w:ind w:left="630" w:hanging="630"/>
        <w:rPr>
          <w:b/>
          <w:bCs/>
          <w:color w:val="000000" w:themeColor="text1"/>
        </w:rPr>
      </w:pPr>
      <w:r w:rsidRPr="001B1529">
        <w:rPr>
          <w:rFonts w:ascii="Times New Roman" w:hAnsi="Times New Roman" w:eastAsia="Times New Roman"/>
          <w:b w:val="0"/>
          <w:bCs/>
          <w:i w:val="0"/>
          <w:sz w:val="24"/>
          <w:highlight w:val="yellow"/>
        </w:rPr>
        <w:t xml:space="preserve">Malterud, K., Siersma, V. D., &amp; Guassora, A. D. (2016). Sample size in qualitative interview studies: Guided by information power.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26</w:t>
      </w:r>
      <w:r>
        <w:rPr>
          <w:rFonts w:ascii="Times New Roman" w:hAnsi="Times New Roman" w:eastAsia="Times New Roman"/>
          <w:b w:val="0"/>
          <w:i w:val="0"/>
          <w:sz w:val="24"/>
        </w:rPr>
        <w:t xml:space="preserve">(13), 1753–1760. </w:t>
      </w:r>
      <w:hyperlink r:id="rId91">
        <w:r>
          <w:rPr>
            <w:color w:val="0563C1"/>
            <w:u w:val="single"/>
            <w:rFonts w:ascii="Times New Roman" w:hAnsi="Times New Roman"/>
            <w:sz w:val="24"/>
          </w:rPr>
          <w:t xml:space="preserve">https://doi.org/10.1177/1049732315617444</w:t>
        </w:r>
      </w:hyperlink>
    </w:p>
    <w:p w14:paraId="47C9D758" w14:textId="77777777" w:rsidR="00720AE5" w:rsidRPr="00AC3820" w:rsidRDefault="0089165D" w:rsidP="00720AE5">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Mitchell, R. K., Agle, B. R., &amp; Wood, D. J. (1997). Toward a theory of stakeholder identification and salience: Defining the principle of who and what really counts.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22</w:t>
      </w:r>
      <w:r>
        <w:rPr>
          <w:rFonts w:ascii="Times New Roman" w:hAnsi="Times New Roman" w:eastAsia="Times New Roman"/>
          <w:b w:val="0"/>
          <w:i w:val="0"/>
          <w:sz w:val="24"/>
        </w:rPr>
        <w:t xml:space="preserve">(4), 853–886. </w:t>
      </w:r>
      <w:hyperlink r:id="rId92">
        <w:r>
          <w:rPr>
            <w:color w:val="0563C1"/>
            <w:u w:val="single"/>
            <w:rFonts w:ascii="Times New Roman" w:hAnsi="Times New Roman"/>
            <w:sz w:val="24"/>
          </w:rPr>
          <w:t xml:space="preserve">https://doi.org/10.5465/amr.1997.9711022105</w:t>
        </w:r>
      </w:hyperlink>
    </w:p>
    <w:p w14:paraId="5DDDD347" w14:textId="77777777" w:rsidR="00720AE5" w:rsidRPr="00AC3820" w:rsidRDefault="00720AE5" w:rsidP="00720AE5">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Mojtahedi, M., &amp; Oo, B. L. (2017). Critical attributes for proactive engagement of stakeholders in disaster risk management.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Disaster Risk Reduction, 21</w:t>
      </w:r>
      <w:r>
        <w:rPr>
          <w:rFonts w:ascii="Times New Roman" w:hAnsi="Times New Roman" w:eastAsia="Times New Roman"/>
          <w:b/>
          <w:i w:val="0"/>
          <w:sz w:val="24"/>
        </w:rPr>
        <w:t xml:space="preserve">, 35–43. </w:t>
      </w:r>
      <w:hyperlink r:id="rId93">
        <w:r>
          <w:rPr>
            <w:color w:val="0563C1"/>
            <w:u w:val="single"/>
            <w:rFonts w:ascii="Times New Roman" w:hAnsi="Times New Roman"/>
            <w:sz w:val="24"/>
            <w:b/>
          </w:rPr>
          <w:t xml:space="preserve">https://doi.org/10.1016/j.ijdrr.2016.10.017</w:t>
        </w:r>
      </w:hyperlink>
    </w:p>
    <w:p w14:paraId="6CAC5F50" w14:textId="77777777" w:rsidR="0089165D" w:rsidRPr="00AC3820" w:rsidRDefault="0089165D" w:rsidP="0089165D">
      <w:pPr>
        <w:spacing w:line="480" w:lineRule="auto"/>
        <w:ind w:left="630" w:hanging="630"/>
        <w:rPr>
          <w:color w:val="000000" w:themeColor="text1"/>
        </w:rPr>
      </w:pPr>
      <w:r w:rsidRPr="001B1529">
        <w:rPr>
          <w:rFonts w:ascii="Times New Roman" w:hAnsi="Times New Roman" w:eastAsia="Times New Roman"/>
          <w:b/>
          <w:i w:val="0"/>
          <w:color w:val="000000" w:themeColor="text1"/>
          <w:sz w:val="24"/>
          <w:highlight w:val="yellow"/>
        </w:rPr>
        <w:t xml:space="preserve">Molete, O. B., Mokhele, S. E., Ntombela, S. D., &amp; Thango, B. A. (2025). The impact of IT strategic planning process on SME performance: A systematic review.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Businesses, 5</w:t>
      </w:r>
      <w:r>
        <w:rPr>
          <w:rFonts w:ascii="Times New Roman" w:hAnsi="Times New Roman" w:eastAsia="Times New Roman"/>
          <w:b/>
          <w:i w:val="0"/>
          <w:sz w:val="24"/>
        </w:rPr>
        <w:t xml:space="preserve">(1), Article 2. </w:t>
      </w:r>
      <w:hyperlink r:id="rId44">
        <w:r>
          <w:rPr>
            <w:color w:val="0563C1"/>
            <w:u w:val="single"/>
            <w:rFonts w:ascii="Times New Roman" w:hAnsi="Times New Roman"/>
            <w:sz w:val="24"/>
            <w:b/>
          </w:rPr>
          <w:t xml:space="preserve">https://doi.org/10.3390/businesses5010002</w:t>
        </w:r>
      </w:hyperlink>
    </w:p>
    <w:p w14:paraId="2BD174E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Morse, J. M. (2015). Critical analysis of strategies for determining rigor in qualitative inquiry.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25</w:t>
      </w:r>
      <w:r>
        <w:rPr>
          <w:rFonts w:ascii="Times New Roman" w:hAnsi="Times New Roman" w:eastAsia="Times New Roman"/>
          <w:b w:val="0"/>
          <w:i w:val="0"/>
          <w:sz w:val="24"/>
        </w:rPr>
        <w:t xml:space="preserve">(9), 1212–1222. </w:t>
      </w:r>
      <w:hyperlink r:id="rId22">
        <w:r>
          <w:rPr>
            <w:color w:val="0563C1"/>
            <w:u w:val="single"/>
            <w:rFonts w:ascii="Times New Roman" w:hAnsi="Times New Roman"/>
            <w:sz w:val="24"/>
          </w:rPr>
          <w:t xml:space="preserve">https://doi.org/10.1177/1049732315588501</w:t>
        </w:r>
      </w:hyperlink>
    </w:p>
    <w:p w14:paraId="1D7D961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Narayanan, A., Finucane, M., Acosta, J., &amp; Wicker, A. (2020). From awareness to action: Accounting for infrastructure interdependencies in disaster response and recovery planning.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GeoHealth, 4</w:t>
      </w:r>
      <w:r>
        <w:rPr>
          <w:rFonts w:ascii="Times New Roman" w:hAnsi="Times New Roman" w:eastAsia="Times New Roman"/>
          <w:b w:val="0"/>
          <w:i w:val="0"/>
          <w:sz w:val="24"/>
        </w:rPr>
        <w:t xml:space="preserve">(7), Article e2020GH000251. </w:t>
      </w:r>
      <w:hyperlink r:id="rId47">
        <w:r>
          <w:rPr>
            <w:color w:val="0563C1"/>
            <w:u w:val="single"/>
            <w:rFonts w:ascii="Times New Roman" w:hAnsi="Times New Roman"/>
            <w:sz w:val="24"/>
          </w:rPr>
          <w:t xml:space="preserve">https://doi.org/10.1029/2020GH000251</w:t>
        </w:r>
      </w:hyperlink>
    </w:p>
    <w:p w14:paraId="75F476C0" w14:textId="77777777" w:rsidR="0089165D" w:rsidRPr="00AC3820" w:rsidRDefault="0089165D" w:rsidP="0089165D">
      <w:pPr>
        <w:spacing w:line="480" w:lineRule="auto"/>
        <w:ind w:left="630" w:hanging="630"/>
        <w:rPr>
          <w:color w:val="000000" w:themeColor="text1"/>
        </w:rPr>
      </w:pPr>
      <w:r w:rsidRPr="00F75B74">
        <w:rPr>
          <w:rFonts w:ascii="Times New Roman" w:hAnsi="Times New Roman" w:eastAsia="Times New Roman"/>
          <w:b w:val="0"/>
          <w:i w:val="0"/>
          <w:color w:val="000000" w:themeColor="text1"/>
          <w:sz w:val="24"/>
          <w:highlight w:val="yellow"/>
        </w:rPr>
        <w:t xml:space="preserve">National Commission for the Protection of Human Subjects of Biomedical and Behavioral Research. (1979).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Belmont report: Ethical principles and guidelines for the protection of human subjects of research</w:t>
      </w:r>
      <w:r>
        <w:rPr>
          <w:rFonts w:ascii="Times New Roman" w:hAnsi="Times New Roman" w:eastAsia="Times New Roman"/>
          <w:b w:val="0"/>
          <w:i w:val="0"/>
          <w:sz w:val="24"/>
        </w:rPr>
        <w:t xml:space="preserve">. U.S. Department of Health, Education, and Welfare. </w:t>
      </w:r>
      <w:hyperlink r:id="rId95">
        <w:r>
          <w:rPr>
            <w:color w:val="0563C1"/>
            <w:u w:val="single"/>
            <w:rFonts w:ascii="Times New Roman" w:hAnsi="Times New Roman"/>
            <w:sz w:val="24"/>
          </w:rPr>
          <w:t xml:space="preserve">https://www.hhs.gov/ohrp/regulations-and-policy/belmont-report/index.html</w:t>
        </w:r>
      </w:hyperlink>
    </w:p>
    <w:p w14:paraId="3E7CA800" w14:textId="77777777" w:rsidR="0089165D" w:rsidRDefault="0089165D" w:rsidP="0089165D">
      <w:pPr>
        <w:spacing w:line="480" w:lineRule="auto"/>
        <w:ind w:left="630" w:hanging="630"/>
      </w:pPr>
      <w:r w:rsidRPr="008C1B5E">
        <w:rPr>
          <w:rFonts w:ascii="Times New Roman" w:hAnsi="Times New Roman" w:eastAsia="Times New Roman"/>
          <w:b/>
          <w:i w:val="0"/>
          <w:color w:val="000000" w:themeColor="text1"/>
          <w:sz w:val="24"/>
          <w:highlight w:val="cyan"/>
        </w:rPr>
        <w:t xml:space="preserve">Nowell, L. S., Norris, J. M., White, D. E., &amp; Moules, N. J. (2017). Thematic analysis: Striving to meet the trustworthiness criteria.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Qualitative Methods, 16</w:t>
      </w:r>
      <w:r>
        <w:rPr>
          <w:rFonts w:ascii="Times New Roman" w:hAnsi="Times New Roman" w:eastAsia="Times New Roman"/>
          <w:b/>
          <w:i w:val="0"/>
          <w:sz w:val="24"/>
        </w:rPr>
        <w:t xml:space="preserve">(1), 1–13. </w:t>
      </w:r>
      <w:hyperlink r:id="rId96">
        <w:r>
          <w:rPr>
            <w:color w:val="0563C1"/>
            <w:u w:val="single"/>
            <w:rFonts w:ascii="Times New Roman" w:hAnsi="Times New Roman"/>
            <w:sz w:val="24"/>
            <w:b/>
          </w:rPr>
          <w:t xml:space="preserve">https://doi.org/10.1177/1609406917733847</w:t>
        </w:r>
      </w:hyperlink>
    </w:p>
    <w:p w14:paraId="5FA3F427" w14:textId="77777777" w:rsidR="00861114" w:rsidRDefault="00861114" w:rsidP="00861114">
      <w:pPr>
        <w:spacing w:line="480" w:lineRule="auto"/>
        <w:ind w:left="630" w:hanging="630"/>
      </w:pPr>
      <w:r w:rsidRPr="00861114">
        <w:rPr>
          <w:rFonts w:ascii="Times New Roman" w:hAnsi="Times New Roman" w:eastAsia="Times New Roman"/>
          <w:b w:val="0"/>
          <w:i w:val="0"/>
          <w:sz w:val="24"/>
          <w:highlight w:val="yellow"/>
        </w:rPr>
        <w:t xml:space="preserve">Nowell, B., &amp; Albrecht, K. (2019). A reviewer’s guide to qualitative rigor. </w:t>
      </w:r>
      <w:r>
        <w:rPr>
          <w:b w:val="0"/>
          <w:i w:val="0"/>
        </w:rPr>
      </w:r>
      <w:r>
        <w:rPr>
          <w:b w:val="0"/>
          <w:i w:val="0"/>
          <w:iCs/>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Public Administration Research and Theory, 29</w:t>
      </w:r>
      <w:r>
        <w:rPr>
          <w:rFonts w:ascii="Times New Roman" w:hAnsi="Times New Roman" w:eastAsia="Times New Roman"/>
          <w:b w:val="0"/>
          <w:i w:val="0"/>
          <w:sz w:val="24"/>
        </w:rPr>
        <w:t xml:space="preserve">(2), 348–363. </w:t>
      </w:r>
      <w:hyperlink r:id="rId97">
        <w:r>
          <w:rPr>
            <w:color w:val="0563C1"/>
            <w:u w:val="single"/>
            <w:rFonts w:ascii="Times New Roman" w:hAnsi="Times New Roman"/>
            <w:sz w:val="24"/>
          </w:rPr>
          <w:t xml:space="preserve">https://doi.org/10.1093/jopart/muy052</w:t>
        </w:r>
      </w:hyperlink>
    </w:p>
    <w:p w14:paraId="4F45D267"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Örtenblad, A. (2007). Senge’s many faces: Problem or opportunity?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Learning Organization, 14</w:t>
      </w:r>
      <w:r>
        <w:rPr>
          <w:rFonts w:ascii="Times New Roman" w:hAnsi="Times New Roman" w:eastAsia="Times New Roman"/>
          <w:b/>
          <w:i w:val="0"/>
          <w:sz w:val="24"/>
        </w:rPr>
        <w:t xml:space="preserve">(2), 108–122. </w:t>
      </w:r>
      <w:hyperlink r:id="rId98">
        <w:r>
          <w:rPr>
            <w:color w:val="0563C1"/>
            <w:u w:val="single"/>
            <w:rFonts w:ascii="Times New Roman" w:hAnsi="Times New Roman"/>
            <w:sz w:val="24"/>
            <w:b/>
          </w:rPr>
          <w:t xml:space="preserve">https://doi.org/10.1108/09696470710726989</w:t>
        </w:r>
      </w:hyperlink>
    </w:p>
    <w:p w14:paraId="717D5A0E" w14:textId="77777777" w:rsidR="0028214A"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Park, J., Son, Y., &amp; Angst, C. M. (2023). The value of centralized IT in building resilience during crises: Evidence from U.S. higher education’s transition to emergency remote teaching.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MIS Quarterly, 47</w:t>
      </w:r>
      <w:r>
        <w:rPr>
          <w:rFonts w:ascii="Times New Roman" w:hAnsi="Times New Roman" w:eastAsia="Times New Roman"/>
          <w:b w:val="0"/>
          <w:i w:val="0"/>
          <w:sz w:val="24"/>
        </w:rPr>
        <w:t xml:space="preserve">(1), 451–482. </w:t>
      </w:r>
      <w:hyperlink r:id="rId51">
        <w:r>
          <w:rPr>
            <w:color w:val="0563C1"/>
            <w:u w:val="single"/>
            <w:rFonts w:ascii="Times New Roman" w:hAnsi="Times New Roman"/>
            <w:sz w:val="24"/>
          </w:rPr>
          <w:t xml:space="preserve">https://doi.org/10.25300/MISQ/2022/17265</w:t>
        </w:r>
      </w:hyperlink>
    </w:p>
    <w:p w14:paraId="44A5A16B" w14:textId="2A73B054" w:rsidR="0089165D" w:rsidRDefault="0028214A" w:rsidP="0089165D">
      <w:pPr>
        <w:spacing w:line="480" w:lineRule="auto"/>
        <w:ind w:left="630" w:hanging="630"/>
      </w:pPr>
      <w:r w:rsidRPr="0028214A">
        <w:rPr>
          <w:rFonts w:ascii="Times New Roman" w:hAnsi="Times New Roman" w:eastAsia="Times New Roman"/>
          <w:b w:val="0"/>
          <w:i w:val="0"/>
          <w:sz w:val="24"/>
          <w:highlight w:val="yellow"/>
        </w:rPr>
        <w:t xml:space="preserve">Paulus, T. M. (2023). Using qualitative data analysis software to support digital research workflows. </w:t>
      </w:r>
      <w:r>
        <w:rPr>
          <w:b w:val="0"/>
          <w:i w:val="0"/>
        </w:rPr>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22</w:t>
      </w:r>
      <w:r>
        <w:rPr>
          <w:rFonts w:ascii="Times New Roman" w:hAnsi="Times New Roman" w:eastAsia="Times New Roman"/>
          <w:b w:val="0"/>
          <w:i w:val="0"/>
          <w:sz w:val="24"/>
        </w:rPr>
        <w:t xml:space="preserve">(1), 139–148. </w:t>
      </w:r>
      <w:hyperlink r:id="rId24">
        <w:r>
          <w:rPr>
            <w:color w:val="0563C1"/>
            <w:u w:val="single"/>
            <w:rFonts w:ascii="Times New Roman" w:hAnsi="Times New Roman"/>
            <w:sz w:val="24"/>
          </w:rPr>
          <w:t xml:space="preserve">https://doi.org/10.1177/15344843221138381</w:t>
        </w:r>
      </w:hyperlink>
    </w:p>
    <w:p w14:paraId="5D075B52" w14:textId="4BC3D8E1" w:rsidR="00CC218E" w:rsidRPr="00AC3820" w:rsidRDefault="00CC218E" w:rsidP="0089165D">
      <w:pPr>
        <w:spacing w:line="480" w:lineRule="auto"/>
        <w:ind w:left="630" w:hanging="630"/>
        <w:rPr>
          <w:color w:val="000000" w:themeColor="text1"/>
        </w:rPr>
      </w:pPr>
      <w:r w:rsidRPr="00CC218E">
        <w:rPr>
          <w:rFonts w:ascii="Times New Roman" w:hAnsi="Times New Roman" w:eastAsia="Times New Roman"/>
          <w:b w:val="0"/>
          <w:i w:val="0"/>
          <w:sz w:val="24"/>
          <w:highlight w:val="yellow"/>
        </w:rPr>
        <w:t xml:space="preserve">Percy, W. H., Kostere, K., &amp; Kostere, S. (2015). Generic qualitative research in psychology.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Qualitative Report, 20</w:t>
      </w:r>
      <w:r>
        <w:rPr>
          <w:rFonts w:ascii="Times New Roman" w:hAnsi="Times New Roman" w:eastAsia="Times New Roman"/>
          <w:b w:val="0"/>
          <w:i w:val="0"/>
          <w:sz w:val="24"/>
        </w:rPr>
        <w:t xml:space="preserve">(2), 76–85. </w:t>
      </w:r>
      <w:hyperlink r:id="rId99">
        <w:r>
          <w:rPr>
            <w:color w:val="0563C1"/>
            <w:u w:val="single"/>
            <w:rFonts w:ascii="Times New Roman" w:hAnsi="Times New Roman"/>
            <w:sz w:val="24"/>
          </w:rPr>
          <w:t xml:space="preserve">https://doi.org/10.46743/2160-3715/2015.2097</w:t>
        </w:r>
      </w:hyperlink>
    </w:p>
    <w:p w14:paraId="212E643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Resnik, D. B. (2018). </w:t>
      </w:r>
      <w:r w:rsidRPr="00AA13BF">
        <w:rPr>
          <w:b w:val="0"/>
          <w:i w:val="0"/>
          <w:color w:val="000000" w:themeColor="text1"/>
          <w:highlight w:val="cya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ethics of research with human subjects: Protecting people, advancing science, promoting trust</w:t>
      </w:r>
      <w:r>
        <w:rPr>
          <w:rFonts w:ascii="Times New Roman" w:hAnsi="Times New Roman" w:eastAsia="Times New Roman"/>
          <w:b w:val="0"/>
          <w:i w:val="0"/>
          <w:sz w:val="24"/>
        </w:rPr>
        <w:t xml:space="preserve">. Springer. </w:t>
      </w:r>
      <w:hyperlink r:id="rId25">
        <w:r>
          <w:rPr>
            <w:color w:val="0563C1"/>
            <w:u w:val="single"/>
            <w:rFonts w:ascii="Times New Roman" w:hAnsi="Times New Roman"/>
            <w:sz w:val="24"/>
          </w:rPr>
          <w:t xml:space="preserve">https://doi.org/10.1007/978-3-319-68756-8</w:t>
        </w:r>
      </w:hyperlink>
    </w:p>
    <w:p w14:paraId="0BC7130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Saldaña, J. (2021).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coding manual for qualitative researchers</w:t>
      </w:r>
      <w:r>
        <w:rPr>
          <w:rFonts w:ascii="Times New Roman" w:hAnsi="Times New Roman" w:eastAsia="Times New Roman"/>
          <w:b w:val="0"/>
          <w:i w:val="0"/>
          <w:sz w:val="24"/>
        </w:rPr>
        <w:t xml:space="preserve"> (4th ed.). SAGE.</w:t>
      </w:r>
    </w:p>
    <w:p w14:paraId="29021AD6" w14:textId="77777777" w:rsidR="00FB5178" w:rsidRDefault="0089165D" w:rsidP="00FB5178">
      <w:pPr>
        <w:spacing w:line="480" w:lineRule="auto"/>
        <w:ind w:left="630" w:hanging="630"/>
        <w:rPr>
          <w:color w:val="000000" w:themeColor="text1"/>
        </w:rPr>
      </w:pPr>
      <w:r w:rsidRPr="00974A23">
        <w:rPr>
          <w:rFonts w:ascii="Times New Roman" w:hAnsi="Times New Roman" w:eastAsia="Times New Roman"/>
          <w:b w:val="0"/>
          <w:i w:val="0"/>
          <w:color w:val="000000" w:themeColor="text1"/>
          <w:sz w:val="24"/>
          <w:highlight w:val="yellow"/>
        </w:rPr>
        <w:t xml:space="preserve">Stieb, J. A. (2009). Assessing Freeman’s stakeholder theory.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87</w:t>
      </w:r>
      <w:r>
        <w:rPr>
          <w:rFonts w:ascii="Times New Roman" w:hAnsi="Times New Roman" w:eastAsia="Times New Roman"/>
          <w:b w:val="0"/>
          <w:i w:val="0"/>
          <w:sz w:val="24"/>
        </w:rPr>
        <w:t xml:space="preserve">(3), 401–414. </w:t>
      </w:r>
      <w:hyperlink r:id="rId52">
        <w:r>
          <w:rPr>
            <w:color w:val="0563C1"/>
            <w:u w:val="single"/>
            <w:rFonts w:ascii="Times New Roman" w:hAnsi="Times New Roman"/>
            <w:sz w:val="24"/>
          </w:rPr>
          <w:t xml:space="preserve">https://doi.org/10.1007/s10551-008-9928-4</w:t>
        </w:r>
      </w:hyperlink>
    </w:p>
    <w:p w14:paraId="7879937A" w14:textId="49E67422" w:rsidR="00FB5178" w:rsidRPr="00FB5178" w:rsidRDefault="00FB5178" w:rsidP="00FB5178">
      <w:pPr>
        <w:spacing w:line="480" w:lineRule="auto"/>
        <w:ind w:left="630" w:hanging="630"/>
        <w:rPr>
          <w:color w:val="000000" w:themeColor="text1"/>
        </w:rPr>
      </w:pPr>
      <w:r w:rsidRPr="00FB5178">
        <w:rPr>
          <w:rFonts w:ascii="Times New Roman" w:hAnsi="Times New Roman" w:eastAsia="Times New Roman"/>
          <w:b w:val="0"/>
          <w:i w:val="0"/>
          <w:sz w:val="24"/>
          <w:highlight w:val="cyan"/>
        </w:rPr>
        <w:t xml:space="preserve">Taylor, S. J., &amp; Bogdan, R. (1998).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Introduction to qualitative research methods: A guidebook and resource</w:t>
      </w:r>
      <w:r>
        <w:rPr>
          <w:rFonts w:ascii="Times New Roman" w:hAnsi="Times New Roman" w:eastAsia="Times New Roman"/>
          <w:b w:val="0"/>
          <w:i w:val="0"/>
          <w:sz w:val="24"/>
        </w:rPr>
        <w:t xml:space="preserve"> (3rd ed.). Wiley.</w:t>
      </w:r>
    </w:p>
    <w:p w14:paraId="67C01652" w14:textId="48F119A6"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Tisdell, E. J., Merriam, S. B., &amp; Stuckey-Peyrot, H. L.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research: A guide to design and implementation</w:t>
      </w:r>
      <w:r>
        <w:rPr>
          <w:rFonts w:ascii="Times New Roman" w:hAnsi="Times New Roman" w:eastAsia="Times New Roman"/>
          <w:b w:val="0"/>
          <w:i w:val="0"/>
          <w:sz w:val="24"/>
        </w:rPr>
        <w:t>. John Wiley &amp; Sons.</w:t>
      </w:r>
    </w:p>
    <w:p w14:paraId="4F25266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Tracy, S. J. (2010). Qualitative quality: Eight “big-tent” criteria for excellent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16</w:t>
      </w:r>
      <w:r>
        <w:rPr>
          <w:rFonts w:ascii="Times New Roman" w:hAnsi="Times New Roman" w:eastAsia="Times New Roman"/>
          <w:b w:val="0"/>
          <w:i w:val="0"/>
          <w:sz w:val="24"/>
        </w:rPr>
        <w:t xml:space="preserve">(10), 837–851. </w:t>
      </w:r>
      <w:hyperlink r:id="rId100">
        <w:r>
          <w:rPr>
            <w:color w:val="0563C1"/>
            <w:u w:val="single"/>
            <w:rFonts w:ascii="Times New Roman" w:hAnsi="Times New Roman"/>
            <w:sz w:val="24"/>
          </w:rPr>
          <w:t xml:space="preserve">https://doi.org/10.1177/1077800410383121</w:t>
        </w:r>
      </w:hyperlink>
    </w:p>
    <w:p w14:paraId="5F3FE6E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U.S. Small Business Administration.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Frequently asked questions about small business</w:t>
      </w:r>
      <w:r>
        <w:rPr>
          <w:rFonts w:ascii="Times New Roman" w:hAnsi="Times New Roman" w:eastAsia="Times New Roman"/>
          <w:b w:val="0"/>
          <w:i w:val="0"/>
          <w:sz w:val="24"/>
        </w:rPr>
        <w:t xml:space="preserve">. Office of Advocacy. </w:t>
      </w:r>
      <w:hyperlink r:id="rId26">
        <w:r>
          <w:rPr>
            <w:color w:val="0563C1"/>
            <w:u w:val="single"/>
            <w:rFonts w:ascii="Times New Roman" w:hAnsi="Times New Roman"/>
            <w:sz w:val="24"/>
          </w:rPr>
          <w:t xml:space="preserve">https://advocacy.sba.gov/wp-content/uploads/2026/02/FINAL_FAQsAboutSmallBusiness_2026_012826.pdf</w:t>
        </w:r>
      </w:hyperlink>
    </w:p>
    <w:p>
      <w:pPr>
        <w:spacing w:line="480" w:lineRule="auto"/>
      </w:pPr>
      <w:r>
        <w:rPr>
          <w:rFonts w:ascii="Times New Roman" w:hAnsi="Times New Roman" w:eastAsia="Times New Roman"/>
          <w:b/>
          <w:i w:val="0"/>
          <w:sz w:val="24"/>
        </w:rPr>
        <w:t xml:space="preserve">van der Kamp, M., Tjemkes, B., Duplat, V., &amp; Jehn, K. (2023). On alliance teams: Conceptualization, review, and future research agenda.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Human Relations, 76</w:t>
      </w:r>
      <w:r>
        <w:rPr>
          <w:rFonts w:ascii="Times New Roman" w:hAnsi="Times New Roman" w:eastAsia="Times New Roman"/>
          <w:b/>
          <w:i w:val="0"/>
          <w:sz w:val="24"/>
        </w:rPr>
        <w:t xml:space="preserve">(9), 1382–1413. </w:t>
      </w:r>
      <w:hyperlink r:id="rId55">
        <w:r>
          <w:rPr>
            <w:color w:val="0563C1"/>
            <w:u w:val="single"/>
            <w:rFonts w:ascii="Times New Roman" w:hAnsi="Times New Roman"/>
            <w:sz w:val="24"/>
            <w:b/>
          </w:rPr>
          <w:t xml:space="preserve">https://doi.org/10.1177/00187267221104985</w:t>
        </w:r>
      </w:hyperlink>
    </w:p>
    <w:p w14:paraId="31894A4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de Vaujany, F.-X., Leclercq-Vandelannoitte, A., Aroles, J., Introna, L., &amp; Davidson, S. (2025). Rethinking responsibility in the digital age: A narrative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MIS Quarterly, 49</w:t>
      </w:r>
      <w:r>
        <w:rPr>
          <w:rFonts w:ascii="Times New Roman" w:hAnsi="Times New Roman" w:eastAsia="Times New Roman"/>
          <w:b/>
          <w:i w:val="0"/>
          <w:sz w:val="24"/>
        </w:rPr>
        <w:t>(4), 1295–1318.</w:t>
      </w:r>
    </w:p>
    <w:p w14:paraId="7AF3B8B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Verizon.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2025 data breach investigations report</w:t>
      </w:r>
      <w:r>
        <w:rPr>
          <w:rFonts w:ascii="Times New Roman" w:hAnsi="Times New Roman" w:eastAsia="Times New Roman"/>
          <w:b w:val="0"/>
          <w:i w:val="0"/>
          <w:sz w:val="24"/>
        </w:rPr>
        <w:t xml:space="preserve">. </w:t>
      </w:r>
      <w:hyperlink r:id="rId101">
        <w:r>
          <w:rPr>
            <w:color w:val="0563C1"/>
            <w:u w:val="single"/>
            <w:rFonts w:ascii="Times New Roman" w:hAnsi="Times New Roman"/>
            <w:sz w:val="24"/>
          </w:rPr>
          <w:t xml:space="preserve">https://www.verizon.com/business/resources/reports/dbir/</w:t>
        </w:r>
      </w:hyperlink>
    </w:p>
    <w:p w14:paraId="730261C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Vos, J. (2022). A delicate balance: How structure, creativity and innovation play a role in advancing change.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HCM Sales, Marketing &amp; Alliance Excellence, 21</w:t>
      </w:r>
      <w:r>
        <w:rPr>
          <w:rFonts w:ascii="Times New Roman" w:hAnsi="Times New Roman" w:eastAsia="Times New Roman"/>
          <w:b/>
          <w:i w:val="0"/>
          <w:sz w:val="24"/>
        </w:rPr>
        <w:t>(11), 15–17.</w:t>
      </w:r>
    </w:p>
    <w:p w14:paraId="3D6D0D2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Walker, M.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GQI semi-structured interview guide: Where leverage sits</w:t>
      </w:r>
      <w:r>
        <w:rPr>
          <w:rFonts w:ascii="Times New Roman" w:hAnsi="Times New Roman" w:eastAsia="Times New Roman"/>
          <w:b w:val="0"/>
          <w:i w:val="0"/>
          <w:sz w:val="24"/>
        </w:rPr>
        <w:t xml:space="preserve"> (Instrument ID ITDR-GQI-INT-v0.1.1) [Unpublished research instrument]. Capella University.</w:t>
      </w:r>
    </w:p>
    <w:p w14:paraId="1B9E0AC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Weick, K. E. (1989). Theory construction as disciplined imagination.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14</w:t>
      </w:r>
      <w:r>
        <w:rPr>
          <w:rFonts w:ascii="Times New Roman" w:hAnsi="Times New Roman" w:eastAsia="Times New Roman"/>
          <w:b w:val="0"/>
          <w:i w:val="0"/>
          <w:sz w:val="24"/>
        </w:rPr>
        <w:t xml:space="preserve">(4), 516–531. </w:t>
      </w:r>
      <w:hyperlink r:id="rId59">
        <w:r>
          <w:rPr>
            <w:color w:val="0563C1"/>
            <w:u w:val="single"/>
            <w:rFonts w:ascii="Times New Roman" w:hAnsi="Times New Roman"/>
            <w:sz w:val="24"/>
          </w:rPr>
          <w:t xml:space="preserve">https://doi.org/10.5465/amr.1989.4308376</w:t>
        </w:r>
      </w:hyperlink>
    </w:p>
    <w:p w14:paraId="19112375" w14:textId="77777777" w:rsidR="0089165D" w:rsidRPr="00AC3820" w:rsidRDefault="0089165D" w:rsidP="0089165D">
      <w:pPr>
        <w:spacing w:line="480" w:lineRule="auto"/>
        <w:rPr>
          <w:color w:val="000000" w:themeColor="text1"/>
        </w:rPr>
      </w:pPr>
      <w:r w:rsidRPr="00AC3820">
        <w:rPr>
          <w:rFonts w:ascii="Times New Roman" w:hAnsi="Times New Roman" w:eastAsia="Times New Roman"/>
          <w:b w:val="0"/>
          <w:i w:val="0"/>
          <w:color w:val="000000" w:themeColor="text1"/>
          <w:sz w:val="24"/>
        </w:rPr>
        <w:t xml:space="preserve">Weill, P., &amp; Ross, J. W. (2004).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IT governance: How top performers manage IT decision rights for superior results</w:t>
      </w:r>
      <w:r>
        <w:rPr>
          <w:rFonts w:ascii="Times New Roman" w:hAnsi="Times New Roman" w:eastAsia="Times New Roman"/>
          <w:b w:val="0"/>
          <w:i w:val="0"/>
          <w:sz w:val="24"/>
        </w:rPr>
        <w:t>. Harvard Business School Press.</w:t>
      </w:r>
    </w:p>
    <w:p w14:paraId="4189EFD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Williams, T. A., Gruber, D. A., Sutcliffe, K. M., Shepherd, D. A., &amp; Zhao, E. Y. (2017). Organizational response to adversity: Fusing crisis management and resilience research streams.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Annals, 11</w:t>
      </w:r>
      <w:r>
        <w:rPr>
          <w:rFonts w:ascii="Times New Roman" w:hAnsi="Times New Roman" w:eastAsia="Times New Roman"/>
          <w:b w:val="0"/>
          <w:i w:val="0"/>
          <w:sz w:val="24"/>
        </w:rPr>
        <w:t xml:space="preserve">(2), 733–769. </w:t>
      </w:r>
      <w:hyperlink r:id="rId102">
        <w:r>
          <w:rPr>
            <w:color w:val="0563C1"/>
            <w:u w:val="single"/>
            <w:rFonts w:ascii="Times New Roman" w:hAnsi="Times New Roman"/>
            <w:sz w:val="24"/>
          </w:rPr>
          <w:t xml:space="preserve">https://doi.org/10.5465/annals.2015.0134</w:t>
        </w:r>
      </w:hyperlink>
    </w:p>
    <w:p w14:paraId="56A319A5" w14:textId="106F84CA" w:rsidR="00EB61EE" w:rsidRPr="00AC3820" w:rsidRDefault="0089165D" w:rsidP="00EB61EE">
      <w:pPr>
        <w:spacing w:line="480" w:lineRule="auto"/>
        <w:ind w:left="630" w:hanging="630"/>
        <w:rPr>
          <w:color w:val="000000" w:themeColor="text1"/>
        </w:rPr>
      </w:pPr>
      <w:r w:rsidRPr="00EB61EE">
        <w:rPr>
          <w:rFonts w:ascii="Times New Roman" w:hAnsi="Times New Roman" w:eastAsia="Times New Roman"/>
          <w:b w:val="0"/>
          <w:i w:val="0"/>
          <w:color w:val="000000" w:themeColor="text1"/>
          <w:sz w:val="24"/>
          <w:highlight w:val="cyan"/>
        </w:rPr>
        <w:t xml:space="preserve">Wutich, A., Beresford, M., &amp; Bernard, H. R. (2024). Sample sizes for 10 types of qualitative data analysis: An integrative review, empirical guidance, and next steps.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23</w:t>
      </w:r>
      <w:r>
        <w:rPr>
          <w:rFonts w:ascii="Times New Roman" w:hAnsi="Times New Roman" w:eastAsia="Times New Roman"/>
          <w:b w:val="0"/>
          <w:i w:val="0"/>
          <w:sz w:val="24"/>
        </w:rPr>
        <w:t xml:space="preserve">, 1–23. </w:t>
      </w:r>
      <w:hyperlink r:id="rId103">
        <w:r>
          <w:rPr>
            <w:color w:val="0563C1"/>
            <w:u w:val="single"/>
            <w:rFonts w:ascii="Times New Roman" w:hAnsi="Times New Roman"/>
            <w:sz w:val="24"/>
          </w:rPr>
          <w:t xml:space="preserve">https://doi.org/10.1177/16094069241296206</w:t>
        </w:r>
      </w:hyperlink>
    </w:p>
    <w:p w14:paraId="3C3F438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7E91D1E5" w14:textId="77777777" w:rsidR="00FB5178"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0FC2DCED" w14:textId="1DCA5C71" w:rsidR="00FB5178" w:rsidRPr="006C70C5" w:rsidRDefault="00FB5178" w:rsidP="0089165D">
      <w:pPr>
        <w:spacing w:line="480" w:lineRule="auto"/>
        <w:ind w:left="630" w:hanging="630"/>
        <w:rPr>
          <w:color w:val="000000" w:themeColor="text1"/>
        </w:rPr>
      </w:pPr>
      <w:r w:rsidRPr="00FB5178">
        <w:rPr>
          <w:rFonts w:ascii="Times New Roman" w:hAnsi="Times New Roman" w:eastAsia="Times New Roman"/>
          <w:b w:val="0"/>
          <w:sz w:val="24"/>
          <w:highlight w:val="cyan"/>
        </w:rPr>
      </w:r>
      <w:r/>
      <w:r>
        <w:rPr>
          <w:i/>
          <w:iCs/>
        </w:rPr>
      </w:r>
      <w:r/>
      <w:r>
        <w:rPr>
          <w:i/>
          <w:iCs/>
        </w:rPr>
      </w:r>
      <w:r/>
    </w:p>
    <w:sectPr w:rsidR="00FB5178" w:rsidRPr="006C70C5" w:rsidSect="0019353A">
      <w:headerReference w:type="even" r:id="rId61"/>
      <w:headerReference w:type="default" r:id="rId62"/>
      <w:footerReference w:type="even" r:id="rId63"/>
      <w:footerReference w:type="default" r:id="rId64"/>
      <w:headerReference w:type="first" r:id="rId65"/>
      <w:footerReference w:type="first" r:id="rId66"/>
      <w:pgSz w:w="12240" w:h="15840" w:code="1"/>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c muchnick" w:date="2026-08-24T03:07:00Z" w:initials="mm">
    <w:p w14:paraId="734A10A1" w14:textId="77777777" w:rsidR="00F36A6F" w:rsidRDefault="00F36A6F" w:rsidP="00F36A6F">
      <w:r>
        <w:rPr>
          <w:rStyle w:val="CommentReference"/>
        </w:rPr>
        <w:annotationRef/>
      </w:r>
      <w:r>
        <w:rPr>
          <w:sz w:val="20"/>
          <w:szCs w:val="20"/>
        </w:rPr>
        <w:t>Hi Max – thank you for submitting your Wk 5 assignment!</w:t>
      </w:r>
    </w:p>
    <w:p w14:paraId="7B6CD843" w14:textId="77777777" w:rsidR="00F36A6F" w:rsidRDefault="00F36A6F" w:rsidP="00F36A6F"/>
    <w:p w14:paraId="19B17236" w14:textId="77777777" w:rsidR="00F36A6F" w:rsidRDefault="00F36A6F" w:rsidP="00F36A6F">
      <w:r>
        <w:rPr>
          <w:sz w:val="20"/>
          <w:szCs w:val="20"/>
        </w:rPr>
        <w:t>Good improvements overall. Please see my feedback below and let me know if you have any questions. As before, please be sure to address each comment in full as it pertains to the entire document. I look forward to your Wk 8 assignment. Also as before, please be sure to work off of this document so that my comments stay intact on the document.</w:t>
      </w:r>
    </w:p>
    <w:p w14:paraId="47773C70" w14:textId="77777777" w:rsidR="00F36A6F" w:rsidRDefault="00F36A6F" w:rsidP="00F36A6F"/>
    <w:p w14:paraId="44565EB7" w14:textId="77777777" w:rsidR="00F36A6F" w:rsidRDefault="00F36A6F" w:rsidP="00F36A6F">
      <w:r>
        <w:rPr>
          <w:sz w:val="20"/>
          <w:szCs w:val="20"/>
        </w:rPr>
        <w:t>Regards,</w:t>
      </w:r>
    </w:p>
    <w:p w14:paraId="407C7E01" w14:textId="77777777" w:rsidR="00F36A6F" w:rsidRDefault="00F36A6F" w:rsidP="00F36A6F"/>
    <w:p w14:paraId="66F96227" w14:textId="77777777" w:rsidR="00F36A6F" w:rsidRDefault="00F36A6F" w:rsidP="00F36A6F">
      <w:r>
        <w:rPr>
          <w:sz w:val="20"/>
          <w:szCs w:val="20"/>
        </w:rPr>
        <w:t>Marc</w:t>
      </w:r>
    </w:p>
  </w:comment>
  <w:comment w:id="1" w:author="marc muchnick" w:date="2026-08-02T12:37:00Z" w:initials="mm">
    <w:p w14:paraId="4E700B4D" w14:textId="77777777" w:rsidR="00595C3E" w:rsidRDefault="00595C3E" w:rsidP="00595C3E">
      <w:r>
        <w:rPr>
          <w:rStyle w:val="CommentReference"/>
        </w:rPr>
        <w:annotationRef/>
      </w:r>
      <w:r>
        <w:rPr>
          <w:sz w:val="20"/>
          <w:szCs w:val="20"/>
        </w:rPr>
        <w:t>Need to state your specialization and how project specifically aligns with it.</w:t>
      </w:r>
    </w:p>
  </w:comment>
  <w:comment w:id="2" w:author="marc muchnick" w:date="2026-08-24T09:31:00Z" w:initials="mm">
    <w:p w14:paraId="1DE5A190" w14:textId="77777777" w:rsidR="00D92E80" w:rsidRDefault="00D92E80" w:rsidP="00D92E80">
      <w:r>
        <w:rPr>
          <w:rStyle w:val="CommentReference"/>
        </w:rPr>
        <w:annotationRef/>
      </w:r>
      <w:r>
        <w:rPr>
          <w:sz w:val="20"/>
          <w:szCs w:val="20"/>
        </w:rPr>
        <w:t>same comment.</w:t>
      </w:r>
    </w:p>
  </w:comment>
  <w:comment w:id="3" w:author="marc muchnick" w:date="2026-08-02T12:37:00Z" w:initials="mm">
    <w:p w14:paraId="3B6E7625" w14:textId="77777777" w:rsidR="00595C3E" w:rsidRDefault="00595C3E" w:rsidP="00595C3E">
      <w:r>
        <w:rPr>
          <w:rStyle w:val="CommentReference"/>
        </w:rPr>
        <w:annotationRef/>
      </w:r>
      <w:r>
        <w:rPr>
          <w:sz w:val="20"/>
          <w:szCs w:val="20"/>
        </w:rPr>
        <w:t>source?</w:t>
      </w:r>
    </w:p>
  </w:comment>
  <w:comment w:id="4" w:author="marc muchnick" w:date="2026-08-24T09:31:00Z" w:initials="mm">
    <w:p w14:paraId="5DEE7F37" w14:textId="77777777" w:rsidR="00D92E80" w:rsidRDefault="00D92E80" w:rsidP="00D92E80">
      <w:r>
        <w:rPr>
          <w:rStyle w:val="CommentReference"/>
        </w:rPr>
        <w:annotationRef/>
      </w:r>
      <w:r>
        <w:rPr>
          <w:sz w:val="20"/>
          <w:szCs w:val="20"/>
        </w:rPr>
        <w:t>same comment</w:t>
      </w:r>
    </w:p>
  </w:comment>
  <w:comment w:id="5" w:author="marc muchnick" w:date="2026-08-02T12:38:00Z" w:initials="mm">
    <w:p w14:paraId="17B735DF" w14:textId="77777777" w:rsidR="00595C3E" w:rsidRDefault="00595C3E" w:rsidP="00595C3E">
      <w:r>
        <w:rPr>
          <w:rStyle w:val="CommentReference"/>
        </w:rPr>
        <w:annotationRef/>
      </w:r>
      <w:r>
        <w:rPr>
          <w:sz w:val="20"/>
          <w:szCs w:val="20"/>
        </w:rPr>
        <w:t xml:space="preserve">dated source. Sources need to be from within the last 3-5 years unless seminal or foundational work. </w:t>
      </w:r>
    </w:p>
    <w:p w14:paraId="6A9A69FA" w14:textId="77777777" w:rsidR="00595C3E" w:rsidRDefault="00595C3E" w:rsidP="00595C3E">
      <w:r>
        <w:rPr>
          <w:sz w:val="20"/>
          <w:szCs w:val="20"/>
        </w:rPr>
        <w:t>***Please address throughout the entire document.</w:t>
      </w:r>
    </w:p>
    <w:p w14:paraId="40E07DFA" w14:textId="77777777" w:rsidR="00595C3E" w:rsidRDefault="00595C3E" w:rsidP="00595C3E"/>
  </w:comment>
  <w:comment w:id="6" w:author="marc muchnick" w:date="2026-08-24T09:31:00Z" w:initials="mm">
    <w:p w14:paraId="0E0DB0DC" w14:textId="77777777" w:rsidR="00D92E80" w:rsidRDefault="00D92E80" w:rsidP="00D92E80">
      <w:r>
        <w:rPr>
          <w:rStyle w:val="CommentReference"/>
        </w:rPr>
        <w:annotationRef/>
      </w:r>
      <w:r>
        <w:rPr>
          <w:sz w:val="20"/>
          <w:szCs w:val="20"/>
        </w:rPr>
        <w:t>same comment</w:t>
      </w:r>
    </w:p>
  </w:comment>
  <w:comment w:id="7" w:author="M W" w:date="2026-08-16T11:37:00Z" w:initials="MW">
    <w:p w14:paraId="21E7C82E" w14:textId="77777777" w:rsidR="00570A44" w:rsidRDefault="00570A44" w:rsidP="00570A44">
      <w:r>
        <w:rPr>
          <w:rStyle w:val="CommentReference"/>
        </w:rPr>
        <w:annotationRef/>
      </w:r>
      <w:r>
        <w:rPr>
          <w:sz w:val="20"/>
          <w:szCs w:val="20"/>
        </w:rPr>
        <w:t xml:space="preserve"> REMOVE and change to better word, sentence construct</w:t>
      </w:r>
    </w:p>
  </w:comment>
  <w:comment w:id="8" w:author="M W" w:date="2026-08-16T14:37:00Z" w:initials="MW">
    <w:p w14:paraId="72202B5A" w14:textId="77777777" w:rsidR="00E320E4" w:rsidRDefault="00E320E4" w:rsidP="00E320E4">
      <w:r>
        <w:rPr>
          <w:rStyle w:val="CommentReference"/>
        </w:rPr>
        <w:annotationRef/>
      </w:r>
      <w:r>
        <w:rPr>
          <w:sz w:val="20"/>
          <w:szCs w:val="20"/>
        </w:rPr>
        <w:t xml:space="preserve"> Still not fully happy with this wording, doesnt flow. </w:t>
      </w:r>
    </w:p>
  </w:comment>
  <w:comment w:id="9" w:author="marc muchnick" w:date="2026-08-02T12:42:00Z" w:initials="mm">
    <w:p w14:paraId="0D83FF46" w14:textId="77777777" w:rsidR="00D26D7D" w:rsidRDefault="00D26D7D" w:rsidP="00D26D7D">
      <w:r>
        <w:rPr>
          <w:rStyle w:val="CommentReference"/>
        </w:rPr>
        <w:annotationRef/>
      </w:r>
      <w:r>
        <w:rPr>
          <w:sz w:val="20"/>
          <w:szCs w:val="20"/>
        </w:rPr>
        <w:t>State the term first followed by period then the definition.</w:t>
      </w:r>
    </w:p>
  </w:comment>
  <w:comment w:id="10" w:author="marc muchnick" w:date="2026-08-24T09:33:00Z" w:initials="mm">
    <w:p w14:paraId="275A305A" w14:textId="77777777" w:rsidR="00D92E80" w:rsidRDefault="00D92E80" w:rsidP="00D92E80">
      <w:r>
        <w:rPr>
          <w:rStyle w:val="CommentReference"/>
        </w:rPr>
        <w:annotationRef/>
      </w:r>
      <w:r>
        <w:rPr>
          <w:sz w:val="20"/>
          <w:szCs w:val="20"/>
        </w:rPr>
        <w:t>same comment.</w:t>
      </w:r>
    </w:p>
  </w:comment>
  <w:comment w:id="11" w:author="marc muchnick" w:date="2026-08-24T09:37:00Z" w:initials="mm">
    <w:p w14:paraId="15BA223F" w14:textId="77777777" w:rsidR="006B06AF" w:rsidRDefault="006B06AF" w:rsidP="006B06AF">
      <w:r>
        <w:rPr>
          <w:rStyle w:val="CommentReference"/>
        </w:rPr>
        <w:annotationRef/>
      </w:r>
      <w:r>
        <w:rPr>
          <w:sz w:val="20"/>
          <w:szCs w:val="20"/>
        </w:rPr>
        <w:t>remove - duplicate of previous sentence</w:t>
      </w:r>
    </w:p>
  </w:comment>
  <w:comment w:id="12" w:author="marc muchnick" w:date="2026-08-02T12:45:00Z" w:initials="mm">
    <w:p w14:paraId="61305A72" w14:textId="77777777" w:rsidR="00D26D7D" w:rsidRDefault="00D26D7D" w:rsidP="00D26D7D">
      <w:r>
        <w:rPr>
          <w:rStyle w:val="CommentReference"/>
        </w:rPr>
        <w:annotationRef/>
      </w:r>
      <w:r>
        <w:rPr>
          <w:sz w:val="20"/>
          <w:szCs w:val="20"/>
        </w:rPr>
        <w:t>size of population with source?</w:t>
      </w:r>
    </w:p>
  </w:comment>
  <w:comment w:id="13" w:author="M W" w:date="2026-08-16T13:22:00Z" w:initials="MW">
    <w:p w14:paraId="5D84FEBE" w14:textId="77777777" w:rsidR="00BB1B22" w:rsidRDefault="00BB1B22" w:rsidP="00BB1B22">
      <w:r>
        <w:rPr>
          <w:rStyle w:val="CommentReference"/>
        </w:rPr>
        <w:annotationRef/>
      </w:r>
      <w:hyperlink r:id="rId1" w:history="1">
        <w:r w:rsidRPr="0085242F">
          <w:rPr>
            <w:rStyle w:val="Hyperlink"/>
            <w:sz w:val="20"/>
            <w:szCs w:val="20"/>
          </w:rPr>
          <w:t>https://doi.org/10.3846/jbem.2025.23519</w:t>
        </w:r>
      </w:hyperlink>
      <w:r>
        <w:rPr>
          <w:sz w:val="20"/>
          <w:szCs w:val="20"/>
        </w:rPr>
        <w:t xml:space="preserve"> </w:t>
      </w:r>
    </w:p>
  </w:comment>
  <w:comment w:id="14" w:author="M W" w:date="2026-08-16T14:39:00Z" w:initials="MW">
    <w:p w14:paraId="5955BA26" w14:textId="77777777" w:rsidR="00E320E4" w:rsidRDefault="00E320E4" w:rsidP="00E320E4">
      <w:r>
        <w:rPr>
          <w:rStyle w:val="CommentReference"/>
        </w:rPr>
        <w:annotationRef/>
      </w:r>
      <w:r>
        <w:rPr>
          <w:sz w:val="20"/>
          <w:szCs w:val="20"/>
        </w:rPr>
        <w:t xml:space="preserve">10-200, expansion maybe </w:t>
      </w:r>
    </w:p>
    <w:p w14:paraId="2EF8ADBB" w14:textId="77777777" w:rsidR="00E320E4" w:rsidRDefault="00E320E4" w:rsidP="00E320E4">
      <w:r>
        <w:rPr>
          <w:sz w:val="20"/>
          <w:szCs w:val="20"/>
        </w:rPr>
        <w:t>250</w:t>
      </w:r>
    </w:p>
  </w:comment>
  <w:comment w:id="15" w:author="marc muchnick" w:date="2026-08-24T09:38:00Z" w:initials="mm">
    <w:p w14:paraId="7195C665" w14:textId="77777777" w:rsidR="006B06AF" w:rsidRDefault="006B06AF" w:rsidP="006B06AF">
      <w:r>
        <w:rPr>
          <w:rStyle w:val="CommentReference"/>
        </w:rPr>
        <w:annotationRef/>
      </w:r>
      <w:r>
        <w:rPr>
          <w:sz w:val="20"/>
          <w:szCs w:val="20"/>
        </w:rPr>
        <w:t xml:space="preserve">same comment </w:t>
      </w:r>
    </w:p>
  </w:comment>
  <w:comment w:id="16" w:author="marc muchnick" w:date="2026-08-02T12:44:00Z" w:initials="mm">
    <w:p w14:paraId="170AA35B" w14:textId="77777777" w:rsidR="00D26D7D" w:rsidRDefault="00D26D7D" w:rsidP="00D26D7D">
      <w:r>
        <w:rPr>
          <w:rStyle w:val="CommentReference"/>
        </w:rPr>
        <w:annotationRef/>
      </w:r>
      <w:r>
        <w:rPr>
          <w:sz w:val="20"/>
          <w:szCs w:val="20"/>
        </w:rPr>
        <w:t>15</w:t>
      </w:r>
    </w:p>
  </w:comment>
  <w:comment w:id="17" w:author="M W" w:date="2026-08-16T14:10:00Z" w:initials="MW">
    <w:p w14:paraId="2BED59CC" w14:textId="77777777" w:rsidR="0043707D" w:rsidRDefault="0043707D" w:rsidP="0043707D">
      <w:r>
        <w:rPr>
          <w:rStyle w:val="CommentReference"/>
        </w:rPr>
        <w:annotationRef/>
      </w:r>
      <w:r>
        <w:rPr>
          <w:sz w:val="20"/>
          <w:szCs w:val="20"/>
        </w:rPr>
        <w:t xml:space="preserve"> Updated</w:t>
      </w:r>
    </w:p>
  </w:comment>
  <w:comment w:id="18" w:author="marc muchnick" w:date="2026-08-24T09:39:00Z" w:initials="mm">
    <w:p w14:paraId="1FD7C632" w14:textId="77777777" w:rsidR="006B06AF" w:rsidRDefault="006B06AF" w:rsidP="006B06AF">
      <w:r>
        <w:rPr>
          <w:rStyle w:val="CommentReference"/>
        </w:rPr>
        <w:annotationRef/>
      </w:r>
      <w:r>
        <w:rPr>
          <w:sz w:val="20"/>
          <w:szCs w:val="20"/>
        </w:rPr>
        <w:t>School now is requiring a specific number instead of range - 12 is fine. Please correct throughout document.</w:t>
      </w:r>
    </w:p>
  </w:comment>
  <w:comment w:id="19" w:author="marc muchnick" w:date="2026-08-02T12:47:00Z" w:initials="mm">
    <w:p w14:paraId="0E2988AB" w14:textId="77777777" w:rsidR="00D26D7D" w:rsidRDefault="00D26D7D" w:rsidP="00D26D7D">
      <w:r>
        <w:rPr>
          <w:rStyle w:val="CommentReference"/>
        </w:rPr>
        <w:annotationRef/>
      </w:r>
      <w:r>
        <w:rPr>
          <w:sz w:val="20"/>
          <w:szCs w:val="20"/>
        </w:rPr>
        <w:t>need to discuss theoretical framework and how it informs the project as well here.</w:t>
      </w:r>
    </w:p>
  </w:comment>
  <w:comment w:id="20" w:author="marc muchnick" w:date="2026-08-24T09:43:00Z" w:initials="mm">
    <w:p w14:paraId="188CFFC0" w14:textId="77777777" w:rsidR="00995D09" w:rsidRDefault="00995D09" w:rsidP="00995D09">
      <w:r>
        <w:rPr>
          <w:rStyle w:val="CommentReference"/>
        </w:rPr>
        <w:annotationRef/>
      </w:r>
      <w:r>
        <w:rPr>
          <w:sz w:val="20"/>
          <w:szCs w:val="20"/>
        </w:rPr>
        <w:t>In this section you need to discuss the interview guide development process, including discussion of SME panel review (and why) as well as mock interviews/pilot test (and why). You do not need to complete these activities as part of this course though it is necessary to discuss them as next steps. ***Also need to provide an interview question alignment matrix with four columns from left to right: RQ/interview questions (listed and numbered)/alignment to RQ (insert bullet re: how aligned)/alignment to theoretical framework (insert bullet re: how aligned - also state your theoretical framework). See Project Plan example in courseroom Announcements posted at the beginning of the term.</w:t>
      </w:r>
    </w:p>
    <w:p w14:paraId="4D6A2CA6" w14:textId="77777777" w:rsidR="00995D09" w:rsidRDefault="00995D09" w:rsidP="00995D09"/>
  </w:comment>
  <w:comment w:id="21" w:author="marc muchnick" w:date="2026-08-24T09:42:00Z" w:initials="mm">
    <w:p w14:paraId="3C4652ED" w14:textId="77777777" w:rsidR="00995D09" w:rsidRDefault="00995D09" w:rsidP="00995D09">
      <w:r>
        <w:rPr>
          <w:rStyle w:val="CommentReference"/>
        </w:rPr>
        <w:annotationRef/>
      </w:r>
      <w:r>
        <w:rPr>
          <w:sz w:val="20"/>
          <w:szCs w:val="20"/>
        </w:rPr>
        <w:t>spacing</w:t>
      </w:r>
    </w:p>
  </w:comment>
  <w:comment w:id="22" w:author="marc muchnick" w:date="2026-08-24T19:49:00Z" w:initials="mm">
    <w:p w14:paraId="15856D18" w14:textId="77777777" w:rsidR="00857AF4" w:rsidRDefault="00857AF4" w:rsidP="00857AF4">
      <w:r>
        <w:rPr>
          <w:rStyle w:val="CommentReference"/>
        </w:rPr>
        <w:annotationRef/>
      </w:r>
      <w:r>
        <w:rPr>
          <w:sz w:val="20"/>
          <w:szCs w:val="20"/>
        </w:rPr>
        <w:t>no - interviews only. Please fix throughout document.</w:t>
      </w:r>
    </w:p>
  </w:comment>
  <w:comment w:id="23" w:author="marc muchnick" w:date="2026-08-24T19:50:00Z" w:initials="mm">
    <w:p w14:paraId="1BAF040A" w14:textId="77777777" w:rsidR="00857AF4" w:rsidRDefault="00857AF4" w:rsidP="00857AF4">
      <w:r>
        <w:rPr>
          <w:rStyle w:val="CommentReference"/>
        </w:rPr>
        <w:annotationRef/>
      </w:r>
      <w:r>
        <w:rPr>
          <w:sz w:val="20"/>
          <w:szCs w:val="20"/>
        </w:rPr>
        <w:t>no - interviews only. Please fix throughout document.</w:t>
      </w:r>
    </w:p>
  </w:comment>
  <w:comment w:id="24" w:author="marc muchnick" w:date="2026-08-24T19:50:00Z" w:initials="mm">
    <w:p w14:paraId="489316E2" w14:textId="77777777" w:rsidR="00857AF4" w:rsidRDefault="00857AF4" w:rsidP="00857AF4">
      <w:r>
        <w:rPr>
          <w:rStyle w:val="CommentReference"/>
        </w:rPr>
        <w:annotationRef/>
      </w:r>
      <w:r>
        <w:rPr>
          <w:sz w:val="20"/>
          <w:szCs w:val="20"/>
        </w:rPr>
        <w:t>no - interviews only. Please fix throughout document.</w:t>
      </w:r>
    </w:p>
  </w:comment>
  <w:comment w:id="25" w:author="M W" w:date="2026-08-16T16:58:00Z" w:initials="MW">
    <w:p w14:paraId="35624094" w14:textId="77777777" w:rsidR="00DD2554" w:rsidRDefault="00DD2554" w:rsidP="00DD2554">
      <w:r>
        <w:rPr>
          <w:rStyle w:val="CommentReference"/>
        </w:rPr>
        <w:annotationRef/>
      </w:r>
      <w:r>
        <w:rPr>
          <w:rFonts w:ascii="Arial" w:hAnsi="Arial"/>
          <w:sz w:val="20"/>
          <w:szCs w:val="20"/>
        </w:rPr>
        <w:t xml:space="preserve"> </w:t>
      </w:r>
    </w:p>
  </w:comment>
  <w:comment w:id="26" w:author="marc muchnick" w:date="2026-08-24T09:44:00Z" w:initials="mm">
    <w:p w14:paraId="2E55BF15" w14:textId="77777777" w:rsidR="00995D09" w:rsidRDefault="00995D09" w:rsidP="00995D09">
      <w:r>
        <w:rPr>
          <w:rStyle w:val="CommentReference"/>
        </w:rPr>
        <w:annotationRef/>
      </w:r>
      <w:r>
        <w:rPr>
          <w:sz w:val="20"/>
          <w:szCs w:val="20"/>
        </w:rPr>
        <w:t>no - interviews only. Please fix throughout entire document.</w:t>
      </w:r>
    </w:p>
  </w:comment>
  <w:comment w:id="27" w:author="marc muchnick" w:date="2026-08-24T09:46:00Z" w:initials="mm">
    <w:p w14:paraId="4A57C133" w14:textId="77777777" w:rsidR="00E6017D" w:rsidRDefault="00E6017D" w:rsidP="00E6017D">
      <w:r>
        <w:rPr>
          <w:rStyle w:val="CommentReference"/>
        </w:rPr>
        <w:annotationRef/>
      </w:r>
      <w:r>
        <w:rPr>
          <w:sz w:val="20"/>
          <w:szCs w:val="20"/>
        </w:rPr>
        <w:t>credibility</w:t>
      </w:r>
    </w:p>
  </w:comment>
  <w:comment w:id="28" w:author="M W" w:date="2026-09-05T21:23:00Z" w:initials="MW">
    <w:p w14:paraId="1297950E" w14:textId="77777777" w:rsidR="00BF6248" w:rsidRDefault="00BF6248" w:rsidP="00BF6248">
      <w:r>
        <w:rPr>
          <w:rStyle w:val="CommentReference"/>
        </w:rPr>
        <w:annotationRef/>
      </w:r>
      <w:r>
        <w:rPr>
          <w:sz w:val="20"/>
          <w:szCs w:val="20"/>
        </w:rPr>
        <w:t>Edited word. Adjusted sentence structure. Some</w:t>
      </w:r>
    </w:p>
    <w:p w14:paraId="2C29717C" w14:textId="77777777" w:rsidR="00BF6248" w:rsidRDefault="00BF6248" w:rsidP="00BF6248"/>
  </w:comment>
  <w:comment w:id="29" w:author="M W" w:date="2026-09-06T00:38:00Z" w:initials="MW">
    <w:p w14:paraId="17110248" w14:textId="77777777" w:rsidR="00EB61EE" w:rsidRDefault="00EB61EE" w:rsidP="00EB61EE">
      <w:r>
        <w:rPr>
          <w:rStyle w:val="CommentReference"/>
        </w:rPr>
        <w:annotationRef/>
      </w:r>
      <w:r>
        <w:rPr>
          <w:sz w:val="20"/>
          <w:szCs w:val="20"/>
        </w:rPr>
        <w:t>edited</w:t>
      </w:r>
    </w:p>
    <w:p w14:paraId="02915409" w14:textId="77777777" w:rsidR="00EB61EE" w:rsidRDefault="00EB61EE" w:rsidP="00EB61EE"/>
    <w:p w14:paraId="3EF8E4C9" w14:textId="77777777" w:rsidR="00EB61EE" w:rsidRDefault="00EB61EE" w:rsidP="00EB61EE"/>
  </w:comment>
  <w:comment w:id="30" w:author="marc muchnick" w:date="2026-08-24T09:46:00Z" w:initials="mm">
    <w:p w14:paraId="738951A0" w14:textId="77777777" w:rsidR="00D06C0D" w:rsidRDefault="00D06C0D" w:rsidP="00D06C0D">
      <w:r>
        <w:rPr>
          <w:rStyle w:val="CommentReference"/>
        </w:rPr>
        <w:annotationRef/>
      </w:r>
      <w:r>
        <w:rPr>
          <w:sz w:val="20"/>
          <w:szCs w:val="20"/>
        </w:rPr>
        <w:t>also expert review and pilot test/mock interviews re: interview guide.</w:t>
      </w:r>
    </w:p>
  </w:comment>
  <w:comment w:id="31" w:author="marc muchnick" w:date="2026-08-24T09:47:00Z" w:initials="mm">
    <w:p w14:paraId="6A795FA6" w14:textId="77777777" w:rsidR="00D954B2" w:rsidRDefault="00D954B2" w:rsidP="00D954B2">
      <w:r>
        <w:rPr>
          <w:rStyle w:val="CommentReference"/>
        </w:rPr>
        <w:annotationRef/>
      </w:r>
      <w:r>
        <w:rPr>
          <w:sz w:val="20"/>
          <w:szCs w:val="20"/>
        </w:rPr>
        <w:t>audit</w:t>
      </w:r>
    </w:p>
  </w:comment>
  <w:comment w:id="32" w:author="marc muchnick" w:date="2026-08-24T09:47:00Z" w:initials="mm">
    <w:p w14:paraId="18044054" w14:textId="77777777" w:rsidR="006E44C2" w:rsidRDefault="006E44C2" w:rsidP="006E44C2">
      <w:r>
        <w:rPr>
          <w:rStyle w:val="CommentReference"/>
        </w:rPr>
        <w:annotationRef/>
      </w:r>
      <w:r>
        <w:rPr>
          <w:sz w:val="20"/>
          <w:szCs w:val="20"/>
        </w:rPr>
        <w:t>need to complete.</w:t>
      </w:r>
    </w:p>
  </w:comment>
  <w:comment w:id="33" w:author="M W" w:date="2026-09-05T15:11:00Z" w:initials="MW">
    <w:p w14:paraId="6A090A9E" w14:textId="77777777" w:rsidR="00B5783E" w:rsidRDefault="00B5783E" w:rsidP="00B5783E">
      <w:r>
        <w:rPr>
          <w:rStyle w:val="CommentReference"/>
        </w:rPr>
        <w:annotationRef/>
      </w:r>
      <w:r>
        <w:rPr>
          <w:sz w:val="20"/>
          <w:szCs w:val="20"/>
        </w:rPr>
        <w:t xml:space="preserve"> Completing for input</w:t>
      </w:r>
    </w:p>
    <w:p w14:paraId="1CD31172" w14:textId="77777777" w:rsidR="00B5783E" w:rsidRDefault="00B5783E" w:rsidP="00B5783E"/>
  </w:comment>
  <w:comment w:id="34" w:author="marc muchnick" w:date="2026-08-02T12:47:00Z" w:initials="mm">
    <w:p w14:paraId="6A6CBAD8" w14:textId="77777777" w:rsidR="00D26D7D" w:rsidRDefault="00D26D7D" w:rsidP="00D26D7D">
      <w:r>
        <w:rPr>
          <w:rStyle w:val="CommentReference"/>
        </w:rPr>
        <w:annotationRef/>
      </w:r>
      <w:r>
        <w:rPr>
          <w:sz w:val="20"/>
          <w:szCs w:val="20"/>
        </w:rPr>
        <w:t>need to carefully edit each reference for APA 7th format.</w:t>
      </w:r>
    </w:p>
  </w:comment>
  <w:comment w:id="35" w:author="marc muchnick" w:date="2026-08-24T09:48:00Z" w:initials="mm">
    <w:p w14:paraId="044CCCD0" w14:textId="77777777" w:rsidR="000C2D96" w:rsidRDefault="000C2D96" w:rsidP="000C2D96">
      <w:r>
        <w:rPr>
          <w:rStyle w:val="CommentReference"/>
        </w:rPr>
        <w:annotationRef/>
      </w:r>
      <w:r>
        <w:rPr>
          <w:sz w:val="20"/>
          <w:szCs w:val="20"/>
        </w:rPr>
        <w:t>same comment. Also all dois and URLs need to be hot-linked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6F96227" w15:done="0"/>
  <w15:commentEx w15:paraId="4E700B4D" w15:done="0"/>
  <w15:commentEx w15:paraId="1DE5A190" w15:paraIdParent="4E700B4D" w15:done="0"/>
  <w15:commentEx w15:paraId="3B6E7625" w15:done="0"/>
  <w15:commentEx w15:paraId="5DEE7F37" w15:paraIdParent="3B6E7625" w15:done="0"/>
  <w15:commentEx w15:paraId="40E07DFA" w15:done="0"/>
  <w15:commentEx w15:paraId="0E0DB0DC" w15:paraIdParent="40E07DFA" w15:done="0"/>
  <w15:commentEx w15:paraId="21E7C82E" w15:done="0"/>
  <w15:commentEx w15:paraId="72202B5A" w15:paraIdParent="21E7C82E" w15:done="0"/>
  <w15:commentEx w15:paraId="0D83FF46" w15:done="0"/>
  <w15:commentEx w15:paraId="275A305A" w15:paraIdParent="0D83FF46" w15:done="0"/>
  <w15:commentEx w15:paraId="15BA223F" w15:done="0"/>
  <w15:commentEx w15:paraId="61305A72" w15:done="0"/>
  <w15:commentEx w15:paraId="5D84FEBE" w15:paraIdParent="61305A72" w15:done="0"/>
  <w15:commentEx w15:paraId="2EF8ADBB" w15:paraIdParent="61305A72" w15:done="0"/>
  <w15:commentEx w15:paraId="7195C665" w15:paraIdParent="61305A72" w15:done="0"/>
  <w15:commentEx w15:paraId="170AA35B" w15:done="0"/>
  <w15:commentEx w15:paraId="2BED59CC" w15:paraIdParent="170AA35B" w15:done="0"/>
  <w15:commentEx w15:paraId="1FD7C632" w15:paraIdParent="170AA35B" w15:done="0"/>
  <w15:commentEx w15:paraId="0E2988AB" w15:done="0"/>
  <w15:commentEx w15:paraId="4D6A2CA6" w15:done="0"/>
  <w15:commentEx w15:paraId="3C4652ED" w15:done="0"/>
  <w15:commentEx w15:paraId="15856D18" w15:done="0"/>
  <w15:commentEx w15:paraId="1BAF040A" w15:done="0"/>
  <w15:commentEx w15:paraId="489316E2" w15:done="0"/>
  <w15:commentEx w15:paraId="35624094" w15:done="0"/>
  <w15:commentEx w15:paraId="2E55BF15" w15:done="0"/>
  <w15:commentEx w15:paraId="4A57C133" w15:done="0"/>
  <w15:commentEx w15:paraId="2C29717C" w15:paraIdParent="4A57C133" w15:done="0"/>
  <w15:commentEx w15:paraId="3EF8E4C9" w15:paraIdParent="4A57C133" w15:done="0"/>
  <w15:commentEx w15:paraId="738951A0" w15:done="0"/>
  <w15:commentEx w15:paraId="6A795FA6" w15:done="0"/>
  <w15:commentEx w15:paraId="18044054" w15:done="0"/>
  <w15:commentEx w15:paraId="1CD31172" w15:paraIdParent="18044054" w15:done="0"/>
  <w15:commentEx w15:paraId="6A6CBAD8" w15:done="0"/>
  <w15:commentEx w15:paraId="044CCCD0" w15:paraIdParent="6A6CBA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F8DCE1E" w16cex:dateUtc="2026-08-24T10:07:00Z"/>
  <w16cex:commentExtensible w16cex:durableId="430F2628" w16cex:dateUtc="2026-08-24T16:31:00Z"/>
  <w16cex:commentExtensible w16cex:durableId="615E500B" w16cex:dateUtc="2026-08-24T16:31:00Z"/>
  <w16cex:commentExtensible w16cex:durableId="6F2D0A26" w16cex:dateUtc="2026-08-24T16:31:00Z"/>
  <w16cex:commentExtensible w16cex:durableId="4A31FBFA" w16cex:dateUtc="2026-08-16T15:37:00Z">
    <w16cex:extLst>
      <w16:ext w16:uri="{CE6994B0-6A32-4C9F-8C6B-6E91EDA988CE}">
        <cr:reactions xmlns:cr="http://schemas.microsoft.com/office/comments/2020/reactions">
          <cr:reaction reactionType="1">
            <cr:reactionInfo dateUtc="2026-08-16T18:36:38Z">
              <cr:user userId="2fb1296a58c1b1e7" userProvider="Windows Live" userName="M W"/>
            </cr:reactionInfo>
          </cr:reaction>
        </cr:reactions>
      </w16:ext>
    </w16cex:extLst>
  </w16cex:commentExtensible>
  <w16cex:commentExtensible w16cex:durableId="4491CEFD" w16cex:dateUtc="2026-08-16T18:37:00Z"/>
  <w16cex:commentExtensible w16cex:durableId="4C8153D9">
    <w16cex:extLst>
      <w16:ext w16:uri="{CE6994B0-6A32-4C9F-8C6B-6E91EDA988CE}">
        <cr:reactions xmlns:cr="http://schemas.microsoft.com/office/comments/2020/reactions">
          <cr:reaction reactionType="1">
            <cr:reactionInfo dateUtc="2026-08-16T15:33:47Z">
              <cr:user userId="2fb1296a58c1b1e7" userProvider="Windows Live" userName="M W"/>
            </cr:reactionInfo>
          </cr:reaction>
        </cr:reactions>
      </w16:ext>
    </w16cex:extLst>
  </w16cex:commentExtensible>
  <w16cex:commentExtensible w16cex:durableId="09F873E7" w16cex:dateUtc="2026-08-24T16:33:00Z"/>
  <w16cex:commentExtensible w16cex:durableId="2B64F96A" w16cex:dateUtc="2026-08-24T16:37:00Z"/>
  <w16cex:commentExtensible w16cex:durableId="27CE8253">
    <w16cex:extLst>
      <w16:ext w16:uri="{CE6994B0-6A32-4C9F-8C6B-6E91EDA988CE}">
        <cr:reactions xmlns:cr="http://schemas.microsoft.com/office/comments/2020/reactions">
          <cr:reaction reactionType="1">
            <cr:reactionInfo dateUtc="2026-08-16T17:20:25Z">
              <cr:user userId="2fb1296a58c1b1e7" userProvider="Windows Live" userName="M W"/>
            </cr:reactionInfo>
          </cr:reaction>
        </cr:reactions>
      </w16:ext>
    </w16cex:extLst>
  </w16cex:commentExtensible>
  <w16cex:commentExtensible w16cex:durableId="2A685004" w16cex:dateUtc="2026-08-16T17:22:00Z"/>
  <w16cex:commentExtensible w16cex:durableId="3C0D512A" w16cex:dateUtc="2026-08-16T18:39:00Z"/>
  <w16cex:commentExtensible w16cex:durableId="296D3DF3" w16cex:dateUtc="2026-08-24T16:38:00Z"/>
  <w16cex:commentExtensible w16cex:durableId="375DAC8C">
    <w16cex:extLst>
      <w16:ext w16:uri="{CE6994B0-6A32-4C9F-8C6B-6E91EDA988CE}">
        <cr:reactions xmlns:cr="http://schemas.microsoft.com/office/comments/2020/reactions">
          <cr:reaction reactionType="1">
            <cr:reactionInfo dateUtc="2026-08-16T15:57:19Z">
              <cr:user userId="2fb1296a58c1b1e7" userProvider="Windows Live" userName="M W"/>
            </cr:reactionInfo>
          </cr:reaction>
        </cr:reactions>
      </w16:ext>
    </w16cex:extLst>
  </w16cex:commentExtensible>
  <w16cex:commentExtensible w16cex:durableId="72A1CFA4" w16cex:dateUtc="2026-08-16T18:10:00Z"/>
  <w16cex:commentExtensible w16cex:durableId="63CA1A9E" w16cex:dateUtc="2026-08-24T16:39:00Z"/>
  <w16cex:commentExtensible w16cex:durableId="2658D108" w16cex:dateUtc="2026-08-24T16:43:00Z"/>
  <w16cex:commentExtensible w16cex:durableId="2D8FF603" w16cex:dateUtc="2026-08-24T16:42:00Z"/>
  <w16cex:commentExtensible w16cex:durableId="28B0ECB8" w16cex:dateUtc="2026-08-25T02:49:00Z"/>
  <w16cex:commentExtensible w16cex:durableId="4433C56E" w16cex:dateUtc="2026-08-25T02:50:00Z"/>
  <w16cex:commentExtensible w16cex:durableId="2FD27B32" w16cex:dateUtc="2026-08-25T02:50:00Z"/>
  <w16cex:commentExtensible w16cex:durableId="5FF7F70A" w16cex:dateUtc="2026-08-16T20:58:00Z"/>
  <w16cex:commentExtensible w16cex:durableId="166E9BB9" w16cex:dateUtc="2026-08-24T16:44:00Z"/>
  <w16cex:commentExtensible w16cex:durableId="2FF9D67B" w16cex:dateUtc="2026-08-24T16:46:00Z">
    <w16cex:extLst>
      <w16:ext w16:uri="{CE6994B0-6A32-4C9F-8C6B-6E91EDA988CE}">
        <cr:reactions xmlns:cr="http://schemas.microsoft.com/office/comments/2020/reactions">
          <cr:reaction reactionType="1">
            <cr:reactionInfo dateUtc="2026-09-06T04:37:56Z">
              <cr:user userId="2fb1296a58c1b1e7" userProvider="Windows Live" userName="M W"/>
            </cr:reactionInfo>
          </cr:reaction>
        </cr:reactions>
      </w16:ext>
    </w16cex:extLst>
  </w16cex:commentExtensible>
  <w16cex:commentExtensible w16cex:durableId="40CB7220" w16cex:dateUtc="2026-09-06T01:23:00Z"/>
  <w16cex:commentExtensible w16cex:durableId="15C190A0" w16cex:dateUtc="2026-09-06T04:38:00Z"/>
  <w16cex:commentExtensible w16cex:durableId="25256DC5" w16cex:dateUtc="2026-08-24T16:46:00Z"/>
  <w16cex:commentExtensible w16cex:durableId="142DC138" w16cex:dateUtc="2026-08-24T16:47:00Z"/>
  <w16cex:commentExtensible w16cex:durableId="13F06A5A" w16cex:dateUtc="2026-08-24T16:47:00Z">
    <w16cex:extLst>
      <w16:ext w16:uri="{CE6994B0-6A32-4C9F-8C6B-6E91EDA988CE}">
        <cr:reactions xmlns:cr="http://schemas.microsoft.com/office/comments/2020/reactions">
          <cr:reaction reactionType="1">
            <cr:reactionInfo dateUtc="2026-09-05T19:11:46Z">
              <cr:user userId="2fb1296a58c1b1e7" userProvider="Windows Live" userName="M W"/>
            </cr:reactionInfo>
          </cr:reaction>
        </cr:reactions>
      </w16:ext>
    </w16cex:extLst>
  </w16cex:commentExtensible>
  <w16cex:commentExtensible w16cex:durableId="7A33B66F" w16cex:dateUtc="2026-09-05T19:11:00Z"/>
  <w16cex:commentExtensible w16cex:durableId="1065F867" w16cex:dateUtc="2026-08-24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6F96227" w16cid:durableId="3F8DCE1E"/>
  <w16cid:commentId w16cid:paraId="4E700B4D" w16cid:durableId="256BD7DA"/>
  <w16cid:commentId w16cid:paraId="1DE5A190" w16cid:durableId="430F2628"/>
  <w16cid:commentId w16cid:paraId="3B6E7625" w16cid:durableId="570605D8"/>
  <w16cid:commentId w16cid:paraId="5DEE7F37" w16cid:durableId="615E500B"/>
  <w16cid:commentId w16cid:paraId="40E07DFA" w16cid:durableId="03B98072"/>
  <w16cid:commentId w16cid:paraId="0E0DB0DC" w16cid:durableId="6F2D0A26"/>
  <w16cid:commentId w16cid:paraId="21E7C82E" w16cid:durableId="4A31FBFA"/>
  <w16cid:commentId w16cid:paraId="72202B5A" w16cid:durableId="4491CEFD"/>
  <w16cid:commentId w16cid:paraId="0D83FF46" w16cid:durableId="4C8153D9"/>
  <w16cid:commentId w16cid:paraId="275A305A" w16cid:durableId="09F873E7"/>
  <w16cid:commentId w16cid:paraId="15BA223F" w16cid:durableId="2B64F96A"/>
  <w16cid:commentId w16cid:paraId="61305A72" w16cid:durableId="27CE8253"/>
  <w16cid:commentId w16cid:paraId="5D84FEBE" w16cid:durableId="2A685004"/>
  <w16cid:commentId w16cid:paraId="2EF8ADBB" w16cid:durableId="3C0D512A"/>
  <w16cid:commentId w16cid:paraId="7195C665" w16cid:durableId="296D3DF3"/>
  <w16cid:commentId w16cid:paraId="170AA35B" w16cid:durableId="375DAC8C"/>
  <w16cid:commentId w16cid:paraId="2BED59CC" w16cid:durableId="72A1CFA4"/>
  <w16cid:commentId w16cid:paraId="1FD7C632" w16cid:durableId="63CA1A9E"/>
  <w16cid:commentId w16cid:paraId="0E2988AB" w16cid:durableId="4A3DF833"/>
  <w16cid:commentId w16cid:paraId="4D6A2CA6" w16cid:durableId="2658D108"/>
  <w16cid:commentId w16cid:paraId="3C4652ED" w16cid:durableId="2D8FF603"/>
  <w16cid:commentId w16cid:paraId="15856D18" w16cid:durableId="28B0ECB8"/>
  <w16cid:commentId w16cid:paraId="1BAF040A" w16cid:durableId="4433C56E"/>
  <w16cid:commentId w16cid:paraId="489316E2" w16cid:durableId="2FD27B32"/>
  <w16cid:commentId w16cid:paraId="35624094" w16cid:durableId="5FF7F70A"/>
  <w16cid:commentId w16cid:paraId="2E55BF15" w16cid:durableId="166E9BB9"/>
  <w16cid:commentId w16cid:paraId="4A57C133" w16cid:durableId="2FF9D67B"/>
  <w16cid:commentId w16cid:paraId="2C29717C" w16cid:durableId="40CB7220"/>
  <w16cid:commentId w16cid:paraId="3EF8E4C9" w16cid:durableId="15C190A0"/>
  <w16cid:commentId w16cid:paraId="738951A0" w16cid:durableId="25256DC5"/>
  <w16cid:commentId w16cid:paraId="6A795FA6" w16cid:durableId="142DC138"/>
  <w16cid:commentId w16cid:paraId="18044054" w16cid:durableId="13F06A5A"/>
  <w16cid:commentId w16cid:paraId="1CD31172" w16cid:durableId="7A33B66F"/>
  <w16cid:commentId w16cid:paraId="6A6CBAD8" w16cid:durableId="2BE3F3EA"/>
  <w16cid:commentId w16cid:paraId="044CCCD0" w16cid:durableId="1065F8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FF8E17" w14:textId="77777777" w:rsidR="00990491" w:rsidRDefault="00990491">
      <w:r>
        <w:separator/>
      </w:r>
    </w:p>
  </w:endnote>
  <w:endnote w:type="continuationSeparator" w:id="0">
    <w:p w14:paraId="5B946595" w14:textId="77777777" w:rsidR="00990491" w:rsidRDefault="00990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95EA3" w14:textId="77777777" w:rsidR="000C5620" w:rsidRDefault="000C56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A32F3"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8615C3">
      <w:rPr>
        <w:rStyle w:val="PageNumber"/>
        <w:noProof/>
      </w:rPr>
      <w:t>2</w:t>
    </w:r>
    <w:r w:rsidRPr="009E5038">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8A2B2"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927979">
      <w:rPr>
        <w:rStyle w:val="PageNumber"/>
        <w:noProof/>
      </w:rPr>
      <w:t>1</w:t>
    </w:r>
    <w:r w:rsidRPr="009E5038">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57AB6" w14:textId="77777777" w:rsidR="00990491" w:rsidRDefault="00990491">
      <w:r>
        <w:separator/>
      </w:r>
    </w:p>
  </w:footnote>
  <w:footnote w:type="continuationSeparator" w:id="0">
    <w:p w14:paraId="1CA5A235" w14:textId="77777777" w:rsidR="00990491" w:rsidRDefault="00990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2508FE" w14:textId="2834C027" w:rsidR="000C5620" w:rsidRDefault="000C56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965CC" w14:textId="0ABC68DF" w:rsidR="0019353A" w:rsidRDefault="00D737F0" w:rsidP="0019353A">
    <w:pPr>
      <w:pStyle w:val="Header"/>
      <w:pBdr>
        <w:bottom w:val="single" w:sz="12" w:space="3" w:color="808080"/>
      </w:pBdr>
      <w:tabs>
        <w:tab w:val="clear" w:pos="4320"/>
        <w:tab w:val="clear" w:pos="8640"/>
        <w:tab w:val="right" w:pos="9360"/>
      </w:tabs>
    </w:pPr>
    <w:r w:rsidRPr="00ED3889">
      <w:rPr>
        <w:b/>
        <w:noProof/>
      </w:rPr>
      <w:drawing>
        <wp:inline distT="0" distB="0" distL="0" distR="0" wp14:anchorId="08222436" wp14:editId="20D3D295">
          <wp:extent cx="1854200" cy="393700"/>
          <wp:effectExtent l="0" t="0" r="0" b="0"/>
          <wp:docPr id="1"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19353A">
      <w:tab/>
    </w:r>
    <w:r w:rsidR="00F02D49">
      <w:rPr>
        <w:rStyle w:val="Heading1Char"/>
      </w:rPr>
      <w:t>Project</w:t>
    </w:r>
    <w:r w:rsidR="00F02D49" w:rsidRPr="00F32887">
      <w:rPr>
        <w:rStyle w:val="Heading1Char"/>
      </w:rPr>
      <w:t xml:space="preserve"> </w:t>
    </w:r>
    <w:r w:rsidR="00F32887" w:rsidRPr="00F32887">
      <w:rPr>
        <w:rStyle w:val="Heading1Char"/>
      </w:rPr>
      <w:t>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3D073D" w14:textId="79074D7D" w:rsidR="00B900D2" w:rsidRDefault="00D737F0" w:rsidP="00464746">
    <w:pPr>
      <w:pStyle w:val="Heading1"/>
    </w:pPr>
    <w:r w:rsidRPr="00ED3889">
      <w:rPr>
        <w:rFonts w:ascii="Times New Roman" w:hAnsi="Times New Roman"/>
        <w:b w:val="0"/>
        <w:noProof/>
      </w:rPr>
      <w:drawing>
        <wp:inline distT="0" distB="0" distL="0" distR="0" wp14:anchorId="794262FC" wp14:editId="02DC5AFB">
          <wp:extent cx="1854200" cy="393700"/>
          <wp:effectExtent l="0" t="0" r="0" b="0"/>
          <wp:docPr id="2"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B900D2">
      <w:rPr>
        <w:noProof/>
      </w:rPr>
      <w:t xml:space="preserve">                                      </w:t>
    </w:r>
    <w:r w:rsidR="00F02D49">
      <w:rPr>
        <w:noProof/>
      </w:rPr>
      <w:t xml:space="preserve">     </w:t>
    </w:r>
    <w:r w:rsidR="00F02D49">
      <w:t>Project</w:t>
    </w:r>
    <w:r w:rsidR="00B900D2">
      <w:t xml:space="preserve"> Plan</w:t>
    </w:r>
  </w:p>
  <w:p w14:paraId="624B5718" w14:textId="77777777" w:rsidR="0019353A" w:rsidRDefault="0019353A" w:rsidP="0019353A">
    <w:pPr>
      <w:pStyle w:val="Header"/>
      <w:pBdr>
        <w:bottom w:val="single" w:sz="12" w:space="3" w:color="808080"/>
      </w:pBdr>
      <w:tabs>
        <w:tab w:val="clear" w:pos="4320"/>
        <w:tab w:val="clear" w:pos="8640"/>
        <w:tab w:val="right" w:pos="93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329FE"/>
    <w:multiLevelType w:val="multilevel"/>
    <w:tmpl w:val="5682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27E2C"/>
    <w:multiLevelType w:val="hybridMultilevel"/>
    <w:tmpl w:val="6CC42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06DC8"/>
    <w:multiLevelType w:val="multilevel"/>
    <w:tmpl w:val="C034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715C6"/>
    <w:multiLevelType w:val="hybridMultilevel"/>
    <w:tmpl w:val="FB44E2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B962A9"/>
    <w:multiLevelType w:val="hybridMultilevel"/>
    <w:tmpl w:val="511CF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472177"/>
    <w:multiLevelType w:val="hybridMultilevel"/>
    <w:tmpl w:val="F59E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F93F3A"/>
    <w:multiLevelType w:val="multilevel"/>
    <w:tmpl w:val="194E3E12"/>
    <w:lvl w:ilvl="0">
      <w:start w:val="1"/>
      <w:numFmt w:val="bullet"/>
      <w:pStyle w:val="stylebulleted"/>
      <w:lvlText w:val=""/>
      <w:lvlJc w:val="left"/>
      <w:pPr>
        <w:tabs>
          <w:tab w:val="num" w:pos="360"/>
        </w:tabs>
        <w:ind w:left="360" w:hanging="360"/>
      </w:pPr>
      <w:rPr>
        <w:rFonts w:ascii="Symbol" w:hAnsi="Symbol" w:hint="default"/>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73E84A9A"/>
    <w:multiLevelType w:val="hybridMultilevel"/>
    <w:tmpl w:val="7C123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F264A"/>
    <w:multiLevelType w:val="multilevel"/>
    <w:tmpl w:val="7B96BC6A"/>
    <w:lvl w:ilvl="0">
      <w:start w:val="1"/>
      <w:numFmt w:val="decimal"/>
      <w:pStyle w:val="stylenumbered"/>
      <w:lvlText w:val="%1."/>
      <w:lvlJc w:val="left"/>
      <w:pPr>
        <w:tabs>
          <w:tab w:val="num" w:pos="720"/>
        </w:tabs>
        <w:ind w:left="720" w:hanging="360"/>
      </w:pPr>
      <w:rPr>
        <w:rFonts w:ascii="Arial" w:hAnsi="Arial" w:hint="default"/>
        <w:b w:val="0"/>
        <w:i w:val="0"/>
        <w:color w:val="auto"/>
        <w:sz w:val="22"/>
        <w:szCs w:val="20"/>
        <w:u w:val="none"/>
      </w:rPr>
    </w:lvl>
    <w:lvl w:ilvl="1">
      <w:start w:val="1"/>
      <w:numFmt w:val="bullet"/>
      <w:lvlText w:val=""/>
      <w:lvlJc w:val="left"/>
      <w:pPr>
        <w:tabs>
          <w:tab w:val="num" w:pos="1440"/>
        </w:tabs>
        <w:ind w:left="1440" w:hanging="360"/>
      </w:pPr>
      <w:rPr>
        <w:rFonts w:ascii="Symbol" w:hAnsi="Symbol"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5C5FD7"/>
    <w:multiLevelType w:val="hybridMultilevel"/>
    <w:tmpl w:val="2D384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25930">
    <w:abstractNumId w:val="6"/>
  </w:num>
  <w:num w:numId="2" w16cid:durableId="2022781730">
    <w:abstractNumId w:val="8"/>
  </w:num>
  <w:num w:numId="3" w16cid:durableId="1337074381">
    <w:abstractNumId w:val="7"/>
  </w:num>
  <w:num w:numId="4" w16cid:durableId="1026835310">
    <w:abstractNumId w:val="4"/>
  </w:num>
  <w:num w:numId="5" w16cid:durableId="249194543">
    <w:abstractNumId w:val="1"/>
  </w:num>
  <w:num w:numId="6" w16cid:durableId="429282892">
    <w:abstractNumId w:val="3"/>
  </w:num>
  <w:num w:numId="7" w16cid:durableId="1963918542">
    <w:abstractNumId w:val="9"/>
  </w:num>
  <w:num w:numId="8" w16cid:durableId="232928999">
    <w:abstractNumId w:val="5"/>
  </w:num>
  <w:num w:numId="9" w16cid:durableId="1794668582">
    <w:abstractNumId w:val="0"/>
  </w:num>
  <w:num w:numId="10" w16cid:durableId="11841259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c muchnick">
    <w15:presenceInfo w15:providerId="Windows Live" w15:userId="68cdca564bc9674f"/>
  </w15:person>
  <w15:person w15:author="M W">
    <w15:presenceInfo w15:providerId="Windows Live" w15:userId="2fb1296a58c1b1e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2NTQyMjA2MzEzMTJX0lEKTi0uzszPAykwrAUAFqFPwiwAAAA="/>
  </w:docVars>
  <w:rsids>
    <w:rsidRoot w:val="005B7B81"/>
    <w:rsid w:val="000209A9"/>
    <w:rsid w:val="00060C75"/>
    <w:rsid w:val="00064448"/>
    <w:rsid w:val="00085A33"/>
    <w:rsid w:val="00085F93"/>
    <w:rsid w:val="000A2B25"/>
    <w:rsid w:val="000A2C67"/>
    <w:rsid w:val="000B1F9D"/>
    <w:rsid w:val="000C2D96"/>
    <w:rsid w:val="000C5620"/>
    <w:rsid w:val="000E7013"/>
    <w:rsid w:val="00106231"/>
    <w:rsid w:val="001111D1"/>
    <w:rsid w:val="001130DB"/>
    <w:rsid w:val="001175F6"/>
    <w:rsid w:val="0012191E"/>
    <w:rsid w:val="00123D5B"/>
    <w:rsid w:val="00144EF4"/>
    <w:rsid w:val="00145206"/>
    <w:rsid w:val="00152735"/>
    <w:rsid w:val="00166839"/>
    <w:rsid w:val="00170830"/>
    <w:rsid w:val="00175626"/>
    <w:rsid w:val="00181DB1"/>
    <w:rsid w:val="00191F09"/>
    <w:rsid w:val="0019353A"/>
    <w:rsid w:val="0019525A"/>
    <w:rsid w:val="001A31D2"/>
    <w:rsid w:val="001A4177"/>
    <w:rsid w:val="001B1529"/>
    <w:rsid w:val="001E5A84"/>
    <w:rsid w:val="00202E6F"/>
    <w:rsid w:val="00215499"/>
    <w:rsid w:val="0022491A"/>
    <w:rsid w:val="00227E79"/>
    <w:rsid w:val="00230539"/>
    <w:rsid w:val="00242852"/>
    <w:rsid w:val="00247AE5"/>
    <w:rsid w:val="002601E0"/>
    <w:rsid w:val="00270594"/>
    <w:rsid w:val="0028214A"/>
    <w:rsid w:val="002874EC"/>
    <w:rsid w:val="00295F7A"/>
    <w:rsid w:val="002B3EC0"/>
    <w:rsid w:val="002B3FBC"/>
    <w:rsid w:val="002B52AA"/>
    <w:rsid w:val="002B77EC"/>
    <w:rsid w:val="002E6F1C"/>
    <w:rsid w:val="002F5D66"/>
    <w:rsid w:val="003106F6"/>
    <w:rsid w:val="00320DC6"/>
    <w:rsid w:val="003231E4"/>
    <w:rsid w:val="00331E2D"/>
    <w:rsid w:val="00382E77"/>
    <w:rsid w:val="00392604"/>
    <w:rsid w:val="003957AE"/>
    <w:rsid w:val="003B1FA2"/>
    <w:rsid w:val="003B6396"/>
    <w:rsid w:val="003E4931"/>
    <w:rsid w:val="003F55BF"/>
    <w:rsid w:val="00402F5A"/>
    <w:rsid w:val="004054AE"/>
    <w:rsid w:val="0040634F"/>
    <w:rsid w:val="00410301"/>
    <w:rsid w:val="0043707D"/>
    <w:rsid w:val="00437946"/>
    <w:rsid w:val="00442481"/>
    <w:rsid w:val="00464746"/>
    <w:rsid w:val="004664CF"/>
    <w:rsid w:val="00480DEB"/>
    <w:rsid w:val="00482DF4"/>
    <w:rsid w:val="004A7103"/>
    <w:rsid w:val="004B2AB4"/>
    <w:rsid w:val="004B3856"/>
    <w:rsid w:val="004C1DED"/>
    <w:rsid w:val="004E5957"/>
    <w:rsid w:val="004F1821"/>
    <w:rsid w:val="004F4A7B"/>
    <w:rsid w:val="004F74AF"/>
    <w:rsid w:val="00524F64"/>
    <w:rsid w:val="005328E8"/>
    <w:rsid w:val="00536967"/>
    <w:rsid w:val="00537FD4"/>
    <w:rsid w:val="00567231"/>
    <w:rsid w:val="00570A44"/>
    <w:rsid w:val="00595C3E"/>
    <w:rsid w:val="005B40D6"/>
    <w:rsid w:val="005B46DA"/>
    <w:rsid w:val="005B7B81"/>
    <w:rsid w:val="005C07EF"/>
    <w:rsid w:val="005E0D91"/>
    <w:rsid w:val="005E7687"/>
    <w:rsid w:val="00607A61"/>
    <w:rsid w:val="006106AF"/>
    <w:rsid w:val="00640AA3"/>
    <w:rsid w:val="00666326"/>
    <w:rsid w:val="0067617E"/>
    <w:rsid w:val="00687642"/>
    <w:rsid w:val="00695D92"/>
    <w:rsid w:val="00697B29"/>
    <w:rsid w:val="006B06AF"/>
    <w:rsid w:val="006C0B44"/>
    <w:rsid w:val="006C70C5"/>
    <w:rsid w:val="006E0E3F"/>
    <w:rsid w:val="006E44C2"/>
    <w:rsid w:val="00705317"/>
    <w:rsid w:val="00720AE5"/>
    <w:rsid w:val="00720EFC"/>
    <w:rsid w:val="00734905"/>
    <w:rsid w:val="0073689A"/>
    <w:rsid w:val="0073745A"/>
    <w:rsid w:val="0078284A"/>
    <w:rsid w:val="007868DE"/>
    <w:rsid w:val="00791F76"/>
    <w:rsid w:val="007A693C"/>
    <w:rsid w:val="007B1460"/>
    <w:rsid w:val="007C0764"/>
    <w:rsid w:val="007C27F5"/>
    <w:rsid w:val="007C6C25"/>
    <w:rsid w:val="007D1DA6"/>
    <w:rsid w:val="00825B29"/>
    <w:rsid w:val="008529C6"/>
    <w:rsid w:val="00857AF4"/>
    <w:rsid w:val="00861114"/>
    <w:rsid w:val="008615C3"/>
    <w:rsid w:val="008808E5"/>
    <w:rsid w:val="0089165D"/>
    <w:rsid w:val="00891FB6"/>
    <w:rsid w:val="008965F6"/>
    <w:rsid w:val="008C1B5E"/>
    <w:rsid w:val="008E793E"/>
    <w:rsid w:val="00927979"/>
    <w:rsid w:val="0094178A"/>
    <w:rsid w:val="00954DD7"/>
    <w:rsid w:val="0097416C"/>
    <w:rsid w:val="0097450F"/>
    <w:rsid w:val="00974A23"/>
    <w:rsid w:val="00982976"/>
    <w:rsid w:val="00990491"/>
    <w:rsid w:val="00990CE5"/>
    <w:rsid w:val="00995D09"/>
    <w:rsid w:val="00996595"/>
    <w:rsid w:val="009A08F8"/>
    <w:rsid w:val="009E0769"/>
    <w:rsid w:val="009E40DF"/>
    <w:rsid w:val="009E65FA"/>
    <w:rsid w:val="009F77DC"/>
    <w:rsid w:val="00A16E1D"/>
    <w:rsid w:val="00A16ECD"/>
    <w:rsid w:val="00A41367"/>
    <w:rsid w:val="00A41DAF"/>
    <w:rsid w:val="00A7120A"/>
    <w:rsid w:val="00AA13BF"/>
    <w:rsid w:val="00AB4E8B"/>
    <w:rsid w:val="00AC0630"/>
    <w:rsid w:val="00AC37A0"/>
    <w:rsid w:val="00AC3820"/>
    <w:rsid w:val="00AD3765"/>
    <w:rsid w:val="00AE2749"/>
    <w:rsid w:val="00B051AD"/>
    <w:rsid w:val="00B12AEE"/>
    <w:rsid w:val="00B13089"/>
    <w:rsid w:val="00B33F2E"/>
    <w:rsid w:val="00B341F2"/>
    <w:rsid w:val="00B5783E"/>
    <w:rsid w:val="00B64032"/>
    <w:rsid w:val="00B824A1"/>
    <w:rsid w:val="00B874CC"/>
    <w:rsid w:val="00B900D2"/>
    <w:rsid w:val="00B93CA5"/>
    <w:rsid w:val="00B96AE3"/>
    <w:rsid w:val="00BA0818"/>
    <w:rsid w:val="00BB1B22"/>
    <w:rsid w:val="00BB3A81"/>
    <w:rsid w:val="00BE2C53"/>
    <w:rsid w:val="00BF5ECF"/>
    <w:rsid w:val="00BF6248"/>
    <w:rsid w:val="00C17561"/>
    <w:rsid w:val="00C56A74"/>
    <w:rsid w:val="00C601A3"/>
    <w:rsid w:val="00C626CC"/>
    <w:rsid w:val="00C63FDE"/>
    <w:rsid w:val="00C8439A"/>
    <w:rsid w:val="00C87E10"/>
    <w:rsid w:val="00C91A6C"/>
    <w:rsid w:val="00C9264C"/>
    <w:rsid w:val="00C92BAE"/>
    <w:rsid w:val="00CA40D3"/>
    <w:rsid w:val="00CC218E"/>
    <w:rsid w:val="00CD6674"/>
    <w:rsid w:val="00CF1C12"/>
    <w:rsid w:val="00CF5F34"/>
    <w:rsid w:val="00D00934"/>
    <w:rsid w:val="00D04E02"/>
    <w:rsid w:val="00D06C0D"/>
    <w:rsid w:val="00D13A65"/>
    <w:rsid w:val="00D141C0"/>
    <w:rsid w:val="00D16B15"/>
    <w:rsid w:val="00D26D7D"/>
    <w:rsid w:val="00D43857"/>
    <w:rsid w:val="00D505B2"/>
    <w:rsid w:val="00D6305A"/>
    <w:rsid w:val="00D737F0"/>
    <w:rsid w:val="00D73EE2"/>
    <w:rsid w:val="00D75DF9"/>
    <w:rsid w:val="00D92E80"/>
    <w:rsid w:val="00D944AC"/>
    <w:rsid w:val="00D9465E"/>
    <w:rsid w:val="00D954B2"/>
    <w:rsid w:val="00D95A66"/>
    <w:rsid w:val="00D9774E"/>
    <w:rsid w:val="00DA02DF"/>
    <w:rsid w:val="00DB7ECC"/>
    <w:rsid w:val="00DC3916"/>
    <w:rsid w:val="00DD2554"/>
    <w:rsid w:val="00DD7FBE"/>
    <w:rsid w:val="00DE29C6"/>
    <w:rsid w:val="00E26A16"/>
    <w:rsid w:val="00E320E4"/>
    <w:rsid w:val="00E330FA"/>
    <w:rsid w:val="00E35752"/>
    <w:rsid w:val="00E432C2"/>
    <w:rsid w:val="00E43461"/>
    <w:rsid w:val="00E5476D"/>
    <w:rsid w:val="00E56BF8"/>
    <w:rsid w:val="00E6017D"/>
    <w:rsid w:val="00E65F99"/>
    <w:rsid w:val="00E6662C"/>
    <w:rsid w:val="00E76FF5"/>
    <w:rsid w:val="00E8413B"/>
    <w:rsid w:val="00EA3DFD"/>
    <w:rsid w:val="00EA434C"/>
    <w:rsid w:val="00EB40C0"/>
    <w:rsid w:val="00EB4677"/>
    <w:rsid w:val="00EB61EE"/>
    <w:rsid w:val="00EC580B"/>
    <w:rsid w:val="00ED3889"/>
    <w:rsid w:val="00F0144F"/>
    <w:rsid w:val="00F02D49"/>
    <w:rsid w:val="00F07F52"/>
    <w:rsid w:val="00F262B1"/>
    <w:rsid w:val="00F32887"/>
    <w:rsid w:val="00F36A6F"/>
    <w:rsid w:val="00F4245E"/>
    <w:rsid w:val="00F75B74"/>
    <w:rsid w:val="00F770BC"/>
    <w:rsid w:val="00F83B07"/>
    <w:rsid w:val="00F96084"/>
    <w:rsid w:val="00F96425"/>
    <w:rsid w:val="00FA7944"/>
    <w:rsid w:val="00FB17F9"/>
    <w:rsid w:val="00FB5178"/>
    <w:rsid w:val="00FC3204"/>
    <w:rsid w:val="00FC4C49"/>
    <w:rsid w:val="00FE5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239AAD"/>
  <w15:chartTrackingRefBased/>
  <w15:docId w15:val="{76C0A5F8-BAE8-BB4C-B0D0-BE046A09C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uiPriority="0"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178"/>
    <w:rPr>
      <w:rFonts w:ascii="Times New Roman" w:hAnsi="Times New Roman"/>
      <w:sz w:val="24"/>
      <w:szCs w:val="24"/>
    </w:rPr>
  </w:style>
  <w:style w:type="paragraph" w:styleId="Heading1">
    <w:name w:val="heading 1"/>
    <w:next w:val="Normal"/>
    <w:link w:val="Heading1Char"/>
    <w:qFormat/>
    <w:rsid w:val="00382E77"/>
    <w:pPr>
      <w:pageBreakBefore/>
      <w:spacing w:before="240" w:after="120"/>
      <w:outlineLvl w:val="0"/>
    </w:pPr>
    <w:rPr>
      <w:b/>
      <w:sz w:val="36"/>
      <w:szCs w:val="18"/>
    </w:rPr>
  </w:style>
  <w:style w:type="paragraph" w:styleId="Heading2">
    <w:name w:val="heading 2"/>
    <w:next w:val="Normal"/>
    <w:link w:val="Heading2Char"/>
    <w:qFormat/>
    <w:rsid w:val="00382E77"/>
    <w:pPr>
      <w:spacing w:before="360" w:after="60"/>
      <w:outlineLvl w:val="1"/>
    </w:pPr>
    <w:rPr>
      <w:rFonts w:cs="Arial"/>
      <w:b/>
      <w:bCs/>
      <w:color w:val="000000"/>
      <w:sz w:val="32"/>
      <w:szCs w:val="32"/>
    </w:rPr>
  </w:style>
  <w:style w:type="paragraph" w:styleId="Heading3">
    <w:name w:val="heading 3"/>
    <w:basedOn w:val="Normal"/>
    <w:next w:val="Normal"/>
    <w:link w:val="Heading3Char"/>
    <w:qFormat/>
    <w:rsid w:val="00382E77"/>
    <w:pPr>
      <w:keepNext/>
      <w:spacing w:before="240" w:after="60"/>
      <w:outlineLvl w:val="2"/>
    </w:pPr>
    <w:rPr>
      <w:rFonts w:cs="Arial"/>
      <w:b/>
      <w:bCs/>
      <w:sz w:val="28"/>
      <w:szCs w:val="26"/>
    </w:rPr>
  </w:style>
  <w:style w:type="paragraph" w:styleId="Heading4">
    <w:name w:val="heading 4"/>
    <w:basedOn w:val="Normal"/>
    <w:next w:val="Normal"/>
    <w:link w:val="Heading4Char"/>
    <w:qFormat/>
    <w:rsid w:val="00382E77"/>
    <w:pPr>
      <w:keepNext/>
      <w:spacing w:before="240" w:after="60"/>
      <w:outlineLvl w:val="3"/>
    </w:pPr>
    <w:rPr>
      <w:b/>
      <w:bCs/>
      <w:szCs w:val="28"/>
    </w:rPr>
  </w:style>
  <w:style w:type="paragraph" w:styleId="Heading5">
    <w:name w:val="heading 5"/>
    <w:basedOn w:val="Normal"/>
    <w:next w:val="Normal"/>
    <w:link w:val="Heading5Char"/>
    <w:qFormat/>
    <w:rsid w:val="00382E77"/>
    <w:pPr>
      <w:spacing w:before="240" w:after="60"/>
      <w:outlineLvl w:val="4"/>
    </w:pPr>
    <w:rPr>
      <w:b/>
      <w:bCs/>
      <w:iCs/>
      <w:szCs w:val="26"/>
    </w:rPr>
  </w:style>
  <w:style w:type="paragraph" w:styleId="Heading6">
    <w:name w:val="heading 6"/>
    <w:aliases w:val="apaindent"/>
    <w:basedOn w:val="Normal"/>
    <w:next w:val="Normal"/>
    <w:link w:val="Heading6Char"/>
    <w:qFormat/>
    <w:rsid w:val="00382E77"/>
    <w:pPr>
      <w:spacing w:before="120" w:after="60"/>
      <w:ind w:left="720" w:hanging="720"/>
      <w:outlineLvl w:val="5"/>
    </w:pPr>
    <w:rPr>
      <w:bCs/>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B341F2"/>
    <w:pPr>
      <w:spacing w:before="360"/>
      <w:ind w:left="720"/>
    </w:pPr>
    <w:rPr>
      <w:rFonts w:ascii="Arial" w:hAnsi="Arial" w:cs="Arial"/>
      <w:b/>
      <w:bCs/>
    </w:rPr>
  </w:style>
  <w:style w:type="paragraph" w:styleId="Header">
    <w:name w:val="header"/>
    <w:basedOn w:val="Normal"/>
    <w:rsid w:val="005B7B81"/>
    <w:pPr>
      <w:tabs>
        <w:tab w:val="center" w:pos="4320"/>
        <w:tab w:val="right" w:pos="8640"/>
      </w:tabs>
    </w:pPr>
  </w:style>
  <w:style w:type="paragraph" w:styleId="Footer">
    <w:name w:val="footer"/>
    <w:basedOn w:val="Normal"/>
    <w:rsid w:val="005B7B81"/>
    <w:pPr>
      <w:tabs>
        <w:tab w:val="center" w:pos="4320"/>
        <w:tab w:val="right" w:pos="8640"/>
      </w:tabs>
    </w:pPr>
  </w:style>
  <w:style w:type="paragraph" w:customStyle="1" w:styleId="HeaderTitle">
    <w:name w:val="HeaderTitle"/>
    <w:basedOn w:val="Normal"/>
    <w:rsid w:val="005B7B81"/>
    <w:pPr>
      <w:jc w:val="right"/>
    </w:pPr>
    <w:rPr>
      <w:rFonts w:cs="Arial"/>
      <w:b/>
      <w:color w:val="808080"/>
      <w:sz w:val="28"/>
    </w:rPr>
  </w:style>
  <w:style w:type="character" w:styleId="PageNumber">
    <w:name w:val="page number"/>
    <w:rsid w:val="005B7B81"/>
    <w:rPr>
      <w:rFonts w:ascii="Arial" w:hAnsi="Arial"/>
      <w:sz w:val="18"/>
    </w:rPr>
  </w:style>
  <w:style w:type="character" w:customStyle="1" w:styleId="Heading3Char">
    <w:name w:val="Heading 3 Char"/>
    <w:link w:val="Heading3"/>
    <w:rsid w:val="00382E77"/>
    <w:rPr>
      <w:rFonts w:ascii="Arial" w:hAnsi="Arial" w:cs="Arial"/>
      <w:b/>
      <w:bCs/>
      <w:sz w:val="28"/>
      <w:szCs w:val="26"/>
      <w:lang w:val="en-US" w:eastAsia="en-US" w:bidi="ar-SA"/>
    </w:rPr>
  </w:style>
  <w:style w:type="paragraph" w:customStyle="1" w:styleId="Body">
    <w:name w:val="Body"/>
    <w:basedOn w:val="Normal"/>
    <w:rsid w:val="00DD7FBE"/>
    <w:rPr>
      <w:rFonts w:cs="Courier New"/>
      <w:sz w:val="22"/>
      <w:szCs w:val="20"/>
    </w:rPr>
  </w:style>
  <w:style w:type="paragraph" w:styleId="BalloonText">
    <w:name w:val="Balloon Text"/>
    <w:basedOn w:val="Normal"/>
    <w:link w:val="BalloonTextChar"/>
    <w:uiPriority w:val="99"/>
    <w:semiHidden/>
    <w:unhideWhenUsed/>
    <w:rsid w:val="00382E77"/>
    <w:rPr>
      <w:rFonts w:ascii="Tahoma" w:hAnsi="Tahoma" w:cs="Tahoma"/>
      <w:sz w:val="16"/>
      <w:szCs w:val="16"/>
    </w:rPr>
  </w:style>
  <w:style w:type="character" w:customStyle="1" w:styleId="BalloonTextChar">
    <w:name w:val="Balloon Text Char"/>
    <w:link w:val="BalloonText"/>
    <w:uiPriority w:val="99"/>
    <w:semiHidden/>
    <w:rsid w:val="00382E77"/>
    <w:rPr>
      <w:rFonts w:ascii="Tahoma" w:hAnsi="Tahoma" w:cs="Tahoma"/>
      <w:sz w:val="16"/>
      <w:szCs w:val="16"/>
    </w:rPr>
  </w:style>
  <w:style w:type="character" w:customStyle="1" w:styleId="Heading1Char">
    <w:name w:val="Heading 1 Char"/>
    <w:link w:val="Heading1"/>
    <w:rsid w:val="00382E77"/>
    <w:rPr>
      <w:b/>
      <w:sz w:val="36"/>
      <w:szCs w:val="18"/>
      <w:lang w:val="en-US" w:eastAsia="en-US" w:bidi="ar-SA"/>
    </w:rPr>
  </w:style>
  <w:style w:type="character" w:customStyle="1" w:styleId="Heading2Char">
    <w:name w:val="Heading 2 Char"/>
    <w:link w:val="Heading2"/>
    <w:rsid w:val="00382E77"/>
    <w:rPr>
      <w:rFonts w:cs="Arial"/>
      <w:b/>
      <w:bCs/>
      <w:color w:val="000000"/>
      <w:sz w:val="32"/>
      <w:szCs w:val="32"/>
      <w:lang w:val="en-US" w:eastAsia="en-US" w:bidi="ar-SA"/>
    </w:rPr>
  </w:style>
  <w:style w:type="character" w:customStyle="1" w:styleId="Heading4Char">
    <w:name w:val="Heading 4 Char"/>
    <w:link w:val="Heading4"/>
    <w:rsid w:val="00382E77"/>
    <w:rPr>
      <w:b/>
      <w:bCs/>
      <w:sz w:val="24"/>
      <w:szCs w:val="28"/>
    </w:rPr>
  </w:style>
  <w:style w:type="character" w:customStyle="1" w:styleId="Heading5Char">
    <w:name w:val="Heading 5 Char"/>
    <w:link w:val="Heading5"/>
    <w:rsid w:val="00382E77"/>
    <w:rPr>
      <w:b/>
      <w:bCs/>
      <w:iCs/>
      <w:szCs w:val="26"/>
    </w:rPr>
  </w:style>
  <w:style w:type="character" w:customStyle="1" w:styleId="Heading6Char">
    <w:name w:val="Heading 6 Char"/>
    <w:aliases w:val="apaindent Char"/>
    <w:link w:val="Heading6"/>
    <w:rsid w:val="00382E77"/>
    <w:rPr>
      <w:bCs/>
    </w:rPr>
  </w:style>
  <w:style w:type="paragraph" w:customStyle="1" w:styleId="stylebulleted">
    <w:name w:val="style bulleted"/>
    <w:basedOn w:val="BodyText"/>
    <w:qFormat/>
    <w:rsid w:val="00242852"/>
    <w:pPr>
      <w:numPr>
        <w:numId w:val="1"/>
      </w:numPr>
      <w:ind w:left="720"/>
    </w:pPr>
  </w:style>
  <w:style w:type="paragraph" w:customStyle="1" w:styleId="BodyText">
    <w:name w:val="BodyText"/>
    <w:link w:val="BodyTextChar"/>
    <w:qFormat/>
    <w:rsid w:val="00C63FDE"/>
    <w:pPr>
      <w:spacing w:before="120" w:after="60"/>
    </w:pPr>
    <w:rPr>
      <w:sz w:val="22"/>
      <w:szCs w:val="24"/>
    </w:rPr>
  </w:style>
  <w:style w:type="character" w:customStyle="1" w:styleId="BodyTextChar">
    <w:name w:val="BodyText Char"/>
    <w:link w:val="BodyText"/>
    <w:rsid w:val="00C63FDE"/>
    <w:rPr>
      <w:sz w:val="22"/>
      <w:szCs w:val="24"/>
    </w:rPr>
  </w:style>
  <w:style w:type="paragraph" w:customStyle="1" w:styleId="stylenumbered">
    <w:name w:val="style numbered"/>
    <w:basedOn w:val="BodyText"/>
    <w:link w:val="stylenumberedChar"/>
    <w:qFormat/>
    <w:rsid w:val="00382E77"/>
    <w:pPr>
      <w:numPr>
        <w:numId w:val="2"/>
      </w:numPr>
    </w:pPr>
  </w:style>
  <w:style w:type="character" w:customStyle="1" w:styleId="stylenumberedChar">
    <w:name w:val="style numbered Char"/>
    <w:link w:val="stylenumbered"/>
    <w:rsid w:val="00996595"/>
    <w:rPr>
      <w:sz w:val="22"/>
      <w:szCs w:val="24"/>
    </w:rPr>
  </w:style>
  <w:style w:type="table" w:styleId="TableGrid">
    <w:name w:val="Table Grid"/>
    <w:basedOn w:val="TableNormal"/>
    <w:uiPriority w:val="59"/>
    <w:rsid w:val="00331E2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1E2D"/>
    <w:pPr>
      <w:spacing w:after="200" w:line="276" w:lineRule="auto"/>
      <w:ind w:left="720"/>
      <w:contextualSpacing/>
    </w:pPr>
    <w:rPr>
      <w:rFonts w:ascii="Calibri" w:eastAsia="Calibri" w:hAnsi="Calibri"/>
      <w:szCs w:val="22"/>
    </w:rPr>
  </w:style>
  <w:style w:type="character" w:styleId="Emphasis">
    <w:name w:val="Emphasis"/>
    <w:uiPriority w:val="20"/>
    <w:qFormat/>
    <w:rsid w:val="00331E2D"/>
    <w:rPr>
      <w:i/>
      <w:iCs/>
    </w:rPr>
  </w:style>
  <w:style w:type="character" w:customStyle="1" w:styleId="plan">
    <w:name w:val="plan"/>
    <w:basedOn w:val="DefaultParagraphFont"/>
    <w:rsid w:val="004C1DED"/>
  </w:style>
  <w:style w:type="character" w:styleId="Strong">
    <w:name w:val="Strong"/>
    <w:uiPriority w:val="22"/>
    <w:qFormat/>
    <w:rsid w:val="008529C6"/>
    <w:rPr>
      <w:b/>
      <w:bCs/>
    </w:rPr>
  </w:style>
  <w:style w:type="character" w:customStyle="1" w:styleId="css-1f2ahkg-view">
    <w:name w:val="css-1f2ahkg-view"/>
    <w:basedOn w:val="DefaultParagraphFont"/>
    <w:rsid w:val="008529C6"/>
  </w:style>
  <w:style w:type="character" w:styleId="CommentReference">
    <w:name w:val="annotation reference"/>
    <w:uiPriority w:val="99"/>
    <w:semiHidden/>
    <w:unhideWhenUsed/>
    <w:rsid w:val="008529C6"/>
    <w:rPr>
      <w:sz w:val="16"/>
      <w:szCs w:val="16"/>
    </w:rPr>
  </w:style>
  <w:style w:type="character" w:styleId="Hyperlink">
    <w:name w:val="Hyperlink"/>
    <w:uiPriority w:val="99"/>
    <w:unhideWhenUsed/>
    <w:rsid w:val="006106AF"/>
    <w:rPr>
      <w:color w:val="0563C1"/>
      <w:u w:val="single"/>
    </w:rPr>
  </w:style>
  <w:style w:type="paragraph" w:styleId="NormalWeb">
    <w:name w:val="Normal (Web)"/>
    <w:basedOn w:val="Normal"/>
    <w:uiPriority w:val="99"/>
    <w:unhideWhenUsed/>
    <w:rsid w:val="006106AF"/>
    <w:pPr>
      <w:spacing w:before="100" w:beforeAutospacing="1" w:after="100" w:afterAutospacing="1"/>
    </w:pPr>
  </w:style>
  <w:style w:type="character" w:customStyle="1" w:styleId="author">
    <w:name w:val="author"/>
    <w:basedOn w:val="DefaultParagraphFont"/>
    <w:rsid w:val="006106AF"/>
  </w:style>
  <w:style w:type="character" w:customStyle="1" w:styleId="pubyear">
    <w:name w:val="pubyear"/>
    <w:basedOn w:val="DefaultParagraphFont"/>
    <w:rsid w:val="006106AF"/>
  </w:style>
  <w:style w:type="character" w:customStyle="1" w:styleId="articletitle">
    <w:name w:val="articletitle"/>
    <w:basedOn w:val="DefaultParagraphFont"/>
    <w:rsid w:val="006106AF"/>
  </w:style>
  <w:style w:type="character" w:customStyle="1" w:styleId="vol">
    <w:name w:val="vol"/>
    <w:basedOn w:val="DefaultParagraphFont"/>
    <w:rsid w:val="006106AF"/>
  </w:style>
  <w:style w:type="character" w:styleId="FollowedHyperlink">
    <w:name w:val="FollowedHyperlink"/>
    <w:uiPriority w:val="99"/>
    <w:semiHidden/>
    <w:unhideWhenUsed/>
    <w:rsid w:val="00C87E10"/>
    <w:rPr>
      <w:color w:val="96607D"/>
      <w:u w:val="single"/>
    </w:rPr>
  </w:style>
  <w:style w:type="paragraph" w:styleId="CommentText">
    <w:name w:val="annotation text"/>
    <w:basedOn w:val="Normal"/>
    <w:link w:val="CommentTextChar"/>
    <w:uiPriority w:val="99"/>
    <w:semiHidden/>
    <w:unhideWhenUsed/>
    <w:rsid w:val="00595C3E"/>
    <w:rPr>
      <w:sz w:val="20"/>
      <w:szCs w:val="20"/>
    </w:rPr>
  </w:style>
  <w:style w:type="character" w:customStyle="1" w:styleId="CommentTextChar">
    <w:name w:val="Comment Text Char"/>
    <w:basedOn w:val="DefaultParagraphFont"/>
    <w:link w:val="CommentText"/>
    <w:uiPriority w:val="99"/>
    <w:semiHidden/>
    <w:rsid w:val="00595C3E"/>
  </w:style>
  <w:style w:type="paragraph" w:styleId="CommentSubject">
    <w:name w:val="annotation subject"/>
    <w:basedOn w:val="CommentText"/>
    <w:next w:val="CommentText"/>
    <w:link w:val="CommentSubjectChar"/>
    <w:uiPriority w:val="99"/>
    <w:semiHidden/>
    <w:unhideWhenUsed/>
    <w:rsid w:val="00595C3E"/>
    <w:rPr>
      <w:b/>
      <w:bCs/>
    </w:rPr>
  </w:style>
  <w:style w:type="character" w:customStyle="1" w:styleId="CommentSubjectChar">
    <w:name w:val="Comment Subject Char"/>
    <w:link w:val="CommentSubject"/>
    <w:uiPriority w:val="99"/>
    <w:semiHidden/>
    <w:rsid w:val="00595C3E"/>
    <w:rPr>
      <w:b/>
      <w:bCs/>
    </w:rPr>
  </w:style>
  <w:style w:type="character" w:styleId="UnresolvedMention">
    <w:name w:val="Unresolved Mention"/>
    <w:basedOn w:val="DefaultParagraphFont"/>
    <w:uiPriority w:val="99"/>
    <w:semiHidden/>
    <w:unhideWhenUsed/>
    <w:rsid w:val="00BB1B22"/>
    <w:rPr>
      <w:color w:val="605E5C"/>
      <w:shd w:val="clear" w:color="auto" w:fill="E1DFDD"/>
    </w:rPr>
  </w:style>
  <w:style w:type="character" w:customStyle="1" w:styleId="ng-star-inserted">
    <w:name w:val="ng-star-inserted"/>
    <w:basedOn w:val="DefaultParagraphFont"/>
    <w:rsid w:val="0073745A"/>
  </w:style>
  <w:style w:type="paragraph" w:customStyle="1" w:styleId="ui-markdownparagraph">
    <w:name w:val="ui-markdown__paragraph"/>
    <w:basedOn w:val="Normal"/>
    <w:rsid w:val="00B5783E"/>
    <w:pPr>
      <w:spacing w:before="100" w:beforeAutospacing="1" w:after="100" w:afterAutospacing="1"/>
    </w:pPr>
  </w:style>
  <w:style w:type="paragraph" w:customStyle="1" w:styleId="pdq2pgselectionanchorcontainer">
    <w:name w:val="pdq2pg_selectionanchorcontainer"/>
    <w:basedOn w:val="Normal"/>
    <w:rsid w:val="00C91A6C"/>
    <w:pPr>
      <w:spacing w:before="100" w:beforeAutospacing="1" w:after="100" w:afterAutospacing="1"/>
    </w:pPr>
  </w:style>
  <w:style w:type="paragraph" w:customStyle="1" w:styleId="p1">
    <w:name w:val="p1"/>
    <w:basedOn w:val="Normal"/>
    <w:rsid w:val="00567231"/>
    <w:rPr>
      <w:color w:val="000000"/>
      <w:sz w:val="18"/>
      <w:szCs w:val="18"/>
    </w:rPr>
  </w:style>
  <w:style w:type="character" w:styleId="HTMLCode">
    <w:name w:val="HTML Code"/>
    <w:basedOn w:val="DefaultParagraphFont"/>
    <w:uiPriority w:val="99"/>
    <w:semiHidden/>
    <w:unhideWhenUsed/>
    <w:rsid w:val="00DE29C6"/>
    <w:rPr>
      <w:rFonts w:ascii="Courier New" w:eastAsia="Times New Roman" w:hAnsi="Courier New" w:cs="Courier New"/>
      <w:sz w:val="20"/>
      <w:szCs w:val="20"/>
    </w:rPr>
  </w:style>
  <w:style w:type="paragraph" w:customStyle="1" w:styleId="ng-binding">
    <w:name w:val="ng-binding"/>
    <w:basedOn w:val="Normal"/>
    <w:rsid w:val="00FB517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9544802">
      <w:bodyDiv w:val="1"/>
      <w:marLeft w:val="0"/>
      <w:marRight w:val="0"/>
      <w:marTop w:val="0"/>
      <w:marBottom w:val="0"/>
      <w:divBdr>
        <w:top w:val="none" w:sz="0" w:space="0" w:color="auto"/>
        <w:left w:val="none" w:sz="0" w:space="0" w:color="auto"/>
        <w:bottom w:val="none" w:sz="0" w:space="0" w:color="auto"/>
        <w:right w:val="none" w:sz="0" w:space="0" w:color="auto"/>
      </w:divBdr>
    </w:div>
    <w:div w:id="1030956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1" Type="http://schemas.openxmlformats.org/officeDocument/2006/relationships/hyperlink" Target="https://doi.org/10.3846/jbem.2025.23519" TargetMode="External"/></Relationships>
</file>

<file path=word/_rels/document.xml.rels><?xml version='1.0' encoding='UTF-8' standalone='yes'?>
<Relationships xmlns="http://schemas.openxmlformats.org/package/2006/relationships"><Relationship Id="rId21" Type="http://schemas.openxmlformats.org/officeDocument/2006/relationships/hyperlink" Target="https://doi.org/10.1007/s10551-015-2805-z" TargetMode="External"/><Relationship Id="rId47" Type="http://schemas.openxmlformats.org/officeDocument/2006/relationships/hyperlink" Target="https://doi.org/10.1029/2020GH000251" TargetMode="External"/><Relationship Id="rId63" Type="http://schemas.openxmlformats.org/officeDocument/2006/relationships/footer" Target="footer1.xm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5840/beq200818214" TargetMode="External"/><Relationship Id="rId11" Type="http://schemas.openxmlformats.org/officeDocument/2006/relationships/comments" Target="comments.xml"/><Relationship Id="rId32" Type="http://schemas.openxmlformats.org/officeDocument/2006/relationships/hyperlink" Target="https://doi.org/10.5590/JOSC.2018.10.1.02" TargetMode="External"/><Relationship Id="rId40" Type="http://schemas.openxmlformats.org/officeDocument/2006/relationships/hyperlink" Target="https://doi.org/10.1287/mnsc.2023.04147" TargetMode="External"/><Relationship Id="rId66"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doi.org/10.1136/emj.2007.050641" TargetMode="External"/><Relationship Id="rId14" Type="http://schemas.microsoft.com/office/2018/08/relationships/commentsExtensible" Target="commentsExtensible.xml"/><Relationship Id="rId27" Type="http://schemas.openxmlformats.org/officeDocument/2006/relationships/hyperlink" Target="https://doi.org/10.5840/pom20098310" TargetMode="External"/><Relationship Id="rId43" Type="http://schemas.openxmlformats.org/officeDocument/2006/relationships/hyperlink" Target="https://doi.org/10.1097/MS9.0000000000001959" TargetMode="External"/><Relationship Id="rId64" Type="http://schemas.openxmlformats.org/officeDocument/2006/relationships/footer" Target="footer2.xm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25300/MISQ/2022/17265"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doi.org/10.1080/2159676X.2019.1628806" TargetMode="External"/><Relationship Id="rId59" Type="http://schemas.openxmlformats.org/officeDocument/2006/relationships/hyperlink" Target="https://doi.org/10.5465/amr.1989.4308376" TargetMode="External"/><Relationship Id="rId67" Type="http://schemas.openxmlformats.org/officeDocument/2006/relationships/fontTable" Target="fontTable.xm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doi.org/10.1007/s10551-018-4012-1" TargetMode="External"/><Relationship Id="rId36" Type="http://schemas.openxmlformats.org/officeDocument/2006/relationships/hyperlink" Target="https://doi.org/10.1177/160940691401300119" TargetMode="External"/><Relationship Id="rId10" Type="http://schemas.openxmlformats.org/officeDocument/2006/relationships/endnotes" Target="endnotes.xml"/><Relationship Id="rId44" Type="http://schemas.openxmlformats.org/officeDocument/2006/relationships/hyperlink" Target="https://doi.org/10.3390/businesses5010002" TargetMode="External"/><Relationship Id="rId52" Type="http://schemas.openxmlformats.org/officeDocument/2006/relationships/hyperlink" Target="https://doi.org/10.1007/s10551-008-9928-4" TargetMode="External"/><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doi.org/10.1177/160940690300200201" TargetMode="External"/><Relationship Id="rId39" Type="http://schemas.openxmlformats.org/officeDocument/2006/relationships/hyperlink" Target="https://doi.org/10.1108/IJCMA-09-2019-0172" TargetMode="External"/><Relationship Id="rId55" Type="http://schemas.openxmlformats.org/officeDocument/2006/relationships/hyperlink" Target="https://doi.org/10.1177/00187267221104985" TargetMode="External"/><Relationship Id="rId70" Type="http://schemas.openxmlformats.org/officeDocument/2006/relationships/hyperlink" Target="https://doi.org/10.1177/0007650318773750" TargetMode="External"/><Relationship Id="rId71" Type="http://schemas.openxmlformats.org/officeDocument/2006/relationships/hyperlink" Target="https://doi.org/10.5465/256973" TargetMode="External"/><Relationship Id="rId72" Type="http://schemas.openxmlformats.org/officeDocument/2006/relationships/hyperlink" Target="https://doi.org/10.1080/07421222.2023.2301178" TargetMode="External"/><Relationship Id="rId73" Type="http://schemas.openxmlformats.org/officeDocument/2006/relationships/hyperlink" Target="https://doi.org/10.1177/1468794105056924" TargetMode="External"/><Relationship Id="rId74" Type="http://schemas.openxmlformats.org/officeDocument/2006/relationships/hyperlink" Target="https://doi.org/10.34190/jbrm.18.2.008" TargetMode="External"/><Relationship Id="rId75" Type="http://schemas.openxmlformats.org/officeDocument/2006/relationships/hyperlink" Target="https://doi.org/10.1207/s15430421tip3903_2" TargetMode="External"/><Relationship Id="rId76" Type="http://schemas.openxmlformats.org/officeDocument/2006/relationships/hyperlink" Target="https://doi.org/10.5465/amr.1995.9503271992" TargetMode="External"/><Relationship Id="rId77" Type="http://schemas.openxmlformats.org/officeDocument/2006/relationships/hyperlink" Target="https://doi.org/10.5465/amj.2021.0103" TargetMode="External"/><Relationship Id="rId78" Type="http://schemas.openxmlformats.org/officeDocument/2006/relationships/hyperlink" Target="https://doi.org/10.3846/jbem.2025.23519" TargetMode="External"/><Relationship Id="rId79" Type="http://schemas.openxmlformats.org/officeDocument/2006/relationships/hyperlink" Target="https://www.ic3.gov/AnnualReport/Reports/2024_IC3Report.pdf" TargetMode="External"/><Relationship Id="rId80" Type="http://schemas.openxmlformats.org/officeDocument/2006/relationships/hyperlink" Target="https://doi.org/10.1177/160940690600500107" TargetMode="External"/><Relationship Id="rId81" Type="http://schemas.openxmlformats.org/officeDocument/2006/relationships/hyperlink" Target="https://doi.org/10.1037/h0061470" TargetMode="External"/><Relationship Id="rId82" Type="http://schemas.openxmlformats.org/officeDocument/2006/relationships/hyperlink" Target="https://doi.org/10.1007/BF00383045" TargetMode="External"/><Relationship Id="rId83" Type="http://schemas.openxmlformats.org/officeDocument/2006/relationships/hyperlink" Target="https://doi.org/10.1007/s10551-007-9517-y" TargetMode="External"/><Relationship Id="rId84" Type="http://schemas.openxmlformats.org/officeDocument/2006/relationships/hyperlink" Target="https://doi.org/10.1287/orsc.1040.0066" TargetMode="External"/><Relationship Id="rId85" Type="http://schemas.openxmlformats.org/officeDocument/2006/relationships/hyperlink" Target="https://doi.org/10.1002/sd.2840" TargetMode="External"/><Relationship Id="rId86" Type="http://schemas.openxmlformats.org/officeDocument/2006/relationships/hyperlink" Target="https://doi.org/10.1177/1525822X05279903" TargetMode="External"/><Relationship Id="rId87" Type="http://schemas.openxmlformats.org/officeDocument/2006/relationships/hyperlink" Target="https://doi.org/10.1111/ssqu.12328" TargetMode="External"/><Relationship Id="rId88" Type="http://schemas.openxmlformats.org/officeDocument/2006/relationships/hyperlink" Target="https://doi.org/10.1177/1050651908320362" TargetMode="External"/><Relationship Id="rId89" Type="http://schemas.openxmlformats.org/officeDocument/2006/relationships/hyperlink" Target="https://doi.org/10.1080/13814788.2017.1375092" TargetMode="External"/><Relationship Id="rId90" Type="http://schemas.openxmlformats.org/officeDocument/2006/relationships/hyperlink" Target="https://doi.org/10.1177/1534484320903890" TargetMode="External"/><Relationship Id="rId91" Type="http://schemas.openxmlformats.org/officeDocument/2006/relationships/hyperlink" Target="https://doi.org/10.1177/1049732315617444" TargetMode="External"/><Relationship Id="rId92" Type="http://schemas.openxmlformats.org/officeDocument/2006/relationships/hyperlink" Target="https://doi.org/10.5465/amr.1997.9711022105" TargetMode="External"/><Relationship Id="rId93" Type="http://schemas.openxmlformats.org/officeDocument/2006/relationships/hyperlink" Target="https://doi.org/10.1016/j.ijdrr.2016.10.017" TargetMode="External"/><Relationship Id="rId94" Type="http://schemas.openxmlformats.org/officeDocument/2006/relationships/hyperlink" Target="https://doi.org/10.1177/16094069241229777" TargetMode="External"/><Relationship Id="rId95" Type="http://schemas.openxmlformats.org/officeDocument/2006/relationships/hyperlink" Target="https://www.hhs.gov/ohrp/regulations-and-policy/belmont-report/index.html" TargetMode="External"/><Relationship Id="rId96" Type="http://schemas.openxmlformats.org/officeDocument/2006/relationships/hyperlink" Target="https://doi.org/10.1177/1609406917733847" TargetMode="External"/><Relationship Id="rId97" Type="http://schemas.openxmlformats.org/officeDocument/2006/relationships/hyperlink" Target="https://doi.org/10.1093/jopart/muy052" TargetMode="External"/><Relationship Id="rId98" Type="http://schemas.openxmlformats.org/officeDocument/2006/relationships/hyperlink" Target="https://doi.org/10.1108/09696470710726989" TargetMode="External"/><Relationship Id="rId99" Type="http://schemas.openxmlformats.org/officeDocument/2006/relationships/hyperlink" Target="https://doi.org/10.46743/2160-3715/2015.2097" TargetMode="External"/><Relationship Id="rId100" Type="http://schemas.openxmlformats.org/officeDocument/2006/relationships/hyperlink" Target="https://doi.org/10.1177/1077800410383121" TargetMode="External"/><Relationship Id="rId101" Type="http://schemas.openxmlformats.org/officeDocument/2006/relationships/hyperlink" Target="https://www.verizon.com/business/resources/reports/dbir/" TargetMode="External"/><Relationship Id="rId102" Type="http://schemas.openxmlformats.org/officeDocument/2006/relationships/hyperlink" Target="https://doi.org/10.5465/annals.2015.0134" TargetMode="External"/><Relationship Id="rId103" Type="http://schemas.openxmlformats.org/officeDocument/2006/relationships/hyperlink" Target="https://doi.org/10.1177/16094069241296206" TargetMode="External"/><Relationship Id="rId15" Type="http://schemas.openxmlformats.org/officeDocument/2006/relationships/hyperlink" Target="https://doi.org/10.1177/1094670504266138" TargetMode="External"/><Relationship Id="rId20" Type="http://schemas.openxmlformats.org/officeDocument/2006/relationships/hyperlink" Target="https://doi.org/10.1371/journal.pone.0232076" TargetMode="External"/><Relationship Id="rId22" Type="http://schemas.openxmlformats.org/officeDocument/2006/relationships/hyperlink" Target="https://doi.org/10.1177/1049732315588501" TargetMode="External"/><Relationship Id="rId24" Type="http://schemas.openxmlformats.org/officeDocument/2006/relationships/hyperlink" Target="https://doi.org/10.1177/15344843221138381" TargetMode="External"/><Relationship Id="rId25" Type="http://schemas.openxmlformats.org/officeDocument/2006/relationships/hyperlink" Target="https://doi.org/10.1007/978-3-319-68756-8" TargetMode="External"/><Relationship Id="rId26" Type="http://schemas.openxmlformats.org/officeDocument/2006/relationships/hyperlink" Target="https://advocacy.sba.gov/wp-content/uploads/2026/02/FINAL_FAQsAboutSmallBusiness_2026_012826.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82B78626A37144CAC7F94D59A0419AC" ma:contentTypeVersion="77" ma:contentTypeDescription="Upload a new document." ma:contentTypeScope="" ma:versionID="cca50783a6c14b040ca0fdbef5d2acbb">
  <xsd:schema xmlns:xsd="http://www.w3.org/2001/XMLSchema" xmlns:xs="http://www.w3.org/2001/XMLSchema" xmlns:p="http://schemas.microsoft.com/office/2006/metadata/properties" xmlns:ns1="http://schemas.microsoft.com/sharepoint/v3" xmlns:ns2="46D0C8FD-6622-4DA9-9CBF-9ACEA4AD9EE9" xmlns:ns3="46d0c8fd-6622-4da9-9cbf-9acea4ad9ee9" targetNamespace="http://schemas.microsoft.com/office/2006/metadata/properties" ma:root="true" ma:fieldsID="42c18218afb46ccb9a67cb31c3a8360c" ns1:_="" ns2:_="" ns3:_="">
    <xsd:import namespace="http://schemas.microsoft.com/sharepoint/v3"/>
    <xsd:import namespace="46D0C8FD-6622-4DA9-9CBF-9ACEA4AD9EE9"/>
    <xsd:import namespace="46d0c8fd-6622-4da9-9cbf-9acea4ad9ee9"/>
    <xsd:element name="properties">
      <xsd:complexType>
        <xsd:sequence>
          <xsd:element name="documentManagement">
            <xsd:complexType>
              <xsd:all>
                <xsd:element ref="ns2:Title_x0020__x0028_with_x0020_link_x0020_to_x0020_document_x0029_" minOccurs="0"/>
                <xsd:element ref="ns2:Current_x0020_Doc_x0020_Owner" minOccurs="0"/>
                <xsd:element ref="ns2:Doc_x0020_Team" minOccurs="0"/>
                <xsd:element ref="ns2:Doc_x0020_Status" minOccurs="0"/>
                <xsd:element ref="ns2:Maintenance_x0020_Notes" minOccurs="0"/>
                <xsd:element ref="ns3:LinkID" minOccurs="0"/>
                <xsd:element ref="ns2:Description0" minOccurs="0"/>
                <xsd:element ref="ns2:School_x002d_Specific_x0020_Resources" minOccurs="0"/>
                <xsd:element ref="ns2:Keyword" minOccurs="0"/>
                <xsd:element ref="ns3:Add_x0020_to_x0020_Home_x0020_Page_x003f_"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3" nillable="true" ma:displayName="Scheduling Start Date" ma:description="" ma:hidden="true" ma:internalName="PublishingStartDate">
      <xsd:simpleType>
        <xsd:restriction base="dms:Unknown"/>
      </xsd:simpleType>
    </xsd:element>
    <xsd:element name="PublishingExpirationDate" ma:index="14"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Title_x0020__x0028_with_x0020_link_x0020_to_x0020_document_x0029_" ma:index="1" nillable="true" ma:displayName="Doc Title (with link)" ma:description="Instructions:&#10;• Important: In the Name row at the top, delete any information that was auto-filled by SharePoint. Then, type the filename up to the file extension.&#10;• Next, copy the following URL into the *Type the Web address* box: https://share.capella.edu/functional/opux/CCD/DE/Documents/&#10;• Add your document's filename and extension to the end of this URL. &#10;• Type the doc title into the *Type the description* box." ma:format="Hyperlink" ma:internalName="Title_x0020__x0028_with_x0020_link_x0020_to_x0020_document_x0029_">
      <xsd:complexType>
        <xsd:complexContent>
          <xsd:extension base="dms:URL">
            <xsd:sequence>
              <xsd:element name="Url" type="dms:ValidUrl" minOccurs="0" nillable="true"/>
              <xsd:element name="Description" type="xsd:string" nillable="true"/>
            </xsd:sequence>
          </xsd:extension>
        </xsd:complexContent>
      </xsd:complexType>
    </xsd:element>
    <xsd:element name="Current_x0020_Doc_x0020_Owner" ma:index="2" nillable="true" ma:displayName="Owner" ma:default="_Select your name" ma:description="The doc owner is the person who created the doc or most recently updated it." ma:format="Dropdown" ma:internalName="Current_x0020_Doc_x0020_Owner">
      <xsd:simpleType>
        <xsd:restriction base="dms:Choice">
          <xsd:enumeration value="_Select your name"/>
          <xsd:enumeration value="Andrew"/>
          <xsd:enumeration value="Ann K."/>
          <xsd:enumeration value="Anne L."/>
          <xsd:enumeration value="Brent"/>
          <xsd:enumeration value="Jeff"/>
          <xsd:enumeration value="Keri"/>
          <xsd:enumeration value="Rachel"/>
          <xsd:enumeration value="Tanya"/>
          <xsd:enumeration value="Wendy"/>
          <xsd:enumeration value="Samantha"/>
          <xsd:enumeration value="All Team"/>
        </xsd:restriction>
      </xsd:simpleType>
    </xsd:element>
    <xsd:element name="Doc_x0020_Team" ma:index="3" nillable="true" ma:displayName="Team" ma:description="Doc Team" ma:format="Dropdown" ma:internalName="Doc_x0020_Team" ma:readOnly="false">
      <xsd:simpleType>
        <xsd:restriction base="dms:Choice">
          <xsd:enumeration value="Team 1"/>
          <xsd:enumeration value="Team 2"/>
          <xsd:enumeration value="Team 3"/>
          <xsd:enumeration value="Supervisor"/>
        </xsd:restriction>
      </xsd:simpleType>
    </xsd:element>
    <xsd:element name="Doc_x0020_Status" ma:index="4" nillable="true" ma:displayName="Doc Status" ma:default="_" ma:format="RadioButtons" ma:internalName="Doc_x0020_Status" ma:readOnly="false">
      <xsd:simpleType>
        <xsd:restriction base="dms:Choice">
          <xsd:enumeration value="_"/>
          <xsd:enumeration value="Up to date."/>
          <xsd:enumeration value="Continuous maintenance."/>
          <xsd:enumeration value="Under construction."/>
          <xsd:enumeration value="To be archived."/>
          <xsd:enumeration value="Update is needed."/>
          <xsd:enumeration value="Update is pending."/>
        </xsd:restriction>
      </xsd:simpleType>
    </xsd:element>
    <xsd:element name="Maintenance_x0020_Notes" ma:index="5" nillable="true" ma:displayName="Maintenance Notes" ma:internalName="Maintenance_x0020_Notes" ma:readOnly="false">
      <xsd:simpleType>
        <xsd:restriction base="dms:Note">
          <xsd:maxLength value="255"/>
        </xsd:restriction>
      </xsd:simpleType>
    </xsd:element>
    <xsd:element name="Description0" ma:index="7" nillable="true" ma:displayName="Doc Description" ma:internalName="Description0" ma:readOnly="false">
      <xsd:simpleType>
        <xsd:restriction base="dms:Note">
          <xsd:maxLength value="255"/>
        </xsd:restriction>
      </xsd:simpleType>
    </xsd:element>
    <xsd:element name="School_x002d_Specific_x0020_Resources" ma:index="8" nillable="true" ma:displayName="Category" ma:description="Select the folder in which you want this link to appear." ma:internalName="School_x002d_Specific_x0020_Resources">
      <xsd:complexType>
        <xsd:complexContent>
          <xsd:extension base="dms:MultiChoice">
            <xsd:sequence>
              <xsd:element name="Value" maxOccurs="unbounded" minOccurs="0" nillable="true">
                <xsd:simpleType>
                  <xsd:restriction base="dms:Choice">
                    <xsd:enumeration value="Processes and Practices"/>
                    <xsd:enumeration value="Standards, Styles, and Templates"/>
                    <xsd:enumeration value="Special Course Elements"/>
                    <xsd:enumeration value="Course Materials and Media"/>
                    <xsd:enumeration value="Celeste"/>
                  </xsd:restriction>
                </xsd:simpleType>
              </xsd:element>
            </xsd:sequence>
          </xsd:extension>
        </xsd:complexContent>
      </xsd:complexType>
    </xsd:element>
    <xsd:element name="Keyword" ma:index="9" nillable="true" ma:displayName="Subcategory" ma:description="Identify the subcategory this resource should appear under." ma:internalName="Keyword" ma:readOnly="false">
      <xsd:complexType>
        <xsd:complexContent>
          <xsd:extension base="dms:MultiChoice">
            <xsd:sequence>
              <xsd:element name="Value" maxOccurs="unbounded" minOccurs="0" nillable="true">
                <xsd:simpleType>
                  <xsd:restriction base="dms:Choice">
                    <xsd:enumeration value="ADA"/>
                    <xsd:enumeration value="APA"/>
                    <xsd:enumeration value="Business Practices"/>
                    <xsd:enumeration value="Course Files"/>
                    <xsd:enumeration value="Course Materials"/>
                    <xsd:enumeration value="Forms"/>
                    <xsd:enumeration value="Inauthentic Content/Copyright"/>
                    <xsd:enumeration value="Knowledge Maintenance"/>
                    <xsd:enumeration value="Matrices and Checklists"/>
                    <xsd:enumeration value="Media"/>
                    <xsd:enumeration value="Minors"/>
                    <xsd:enumeration value="Processes, Workflow, and Tracking"/>
                    <xsd:enumeration value="QA"/>
                    <xsd:enumeration value="Quizzes"/>
                    <xsd:enumeration value="School-and Curriculum-based Elements"/>
                    <xsd:enumeration value="Standards"/>
                    <xsd:enumeration value="Styles"/>
                    <xsd:enumeration value="Technology-based Elements"/>
                    <xsd:enumeration value="Templates"/>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LinkID" ma:index="6" nillable="true" ma:displayName="LinkID" ma:default="0" ma:description="" ma:internalName="LinkID">
      <xsd:simpleType>
        <xsd:restriction base="dms:Number"/>
      </xsd:simpleType>
    </xsd:element>
    <xsd:element name="Add_x0020_to_x0020_Home_x0020_Page_x003f_" ma:index="10" nillable="true" ma:displayName="Add to Home Page?" ma:default="0" ma:description="Click to have this document included as one of our most frequently used." ma:internalName="Add_x0020_to_x0020_Home_x0020_Page_x003f_" ma:readOnly="fals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displayName="Leave This Space Empty"/>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CC7528-D252-41FE-A787-42CA4C1918AF}">
  <ds:schemaRefs>
    <ds:schemaRef ds:uri="http://schemas.microsoft.com/office/2006/metadata/longProperties"/>
  </ds:schemaRefs>
</ds:datastoreItem>
</file>

<file path=customXml/itemProps2.xml><?xml version="1.0" encoding="utf-8"?>
<ds:datastoreItem xmlns:ds="http://schemas.openxmlformats.org/officeDocument/2006/customXml" ds:itemID="{14EF6F46-23D2-4A1A-A566-F90C9DEF8288}">
  <ds:schemaRefs>
    <ds:schemaRef ds:uri="http://schemas.microsoft.com/sharepoint/v3/contenttype/forms"/>
  </ds:schemaRefs>
</ds:datastoreItem>
</file>

<file path=customXml/itemProps3.xml><?xml version="1.0" encoding="utf-8"?>
<ds:datastoreItem xmlns:ds="http://schemas.openxmlformats.org/officeDocument/2006/customXml" ds:itemID="{8404849A-4D74-492E-95A7-DC26ADC9FD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6D0C8FD-6622-4DA9-9CBF-9ACEA4AD9EE9"/>
    <ds:schemaRef ds:uri="46d0c8fd-6622-4da9-9cbf-9acea4ad9e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2AFEF4-0BDD-41CA-8A0F-0F5A25EE3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10042</Words>
  <Characters>65275</Characters>
  <Application>Microsoft Office Word</Application>
  <DocSecurity>0</DocSecurity>
  <Lines>1279</Lines>
  <Paragraphs>523</Paragraphs>
  <ScaleCrop>false</ScaleCrop>
  <HeadingPairs>
    <vt:vector size="2" baseType="variant">
      <vt:variant>
        <vt:lpstr>Title</vt:lpstr>
      </vt:variant>
      <vt:variant>
        <vt:i4>1</vt:i4>
      </vt:variant>
    </vt:vector>
  </HeadingPairs>
  <TitlesOfParts>
    <vt:vector size="1" baseType="lpstr">
      <vt:lpstr/>
    </vt:vector>
  </TitlesOfParts>
  <Company>Capella Education Company</Company>
  <LinksUpToDate>false</LinksUpToDate>
  <CharactersWithSpaces>74794</CharactersWithSpaces>
  <SharedDoc>false</SharedDoc>
  <HLinks>
    <vt:vector size="240" baseType="variant">
      <vt:variant>
        <vt:i4>5439571</vt:i4>
      </vt:variant>
      <vt:variant>
        <vt:i4>114</vt:i4>
      </vt:variant>
      <vt:variant>
        <vt:i4>0</vt:i4>
      </vt:variant>
      <vt:variant>
        <vt:i4>5</vt:i4>
      </vt:variant>
      <vt:variant>
        <vt:lpwstr>https://doi.org/10.5465/amr.1989.4308376</vt:lpwstr>
      </vt:variant>
      <vt:variant>
        <vt:lpwstr/>
      </vt:variant>
      <vt:variant>
        <vt:i4>6619232</vt:i4>
      </vt:variant>
      <vt:variant>
        <vt:i4>111</vt:i4>
      </vt:variant>
      <vt:variant>
        <vt:i4>0</vt:i4>
      </vt:variant>
      <vt:variant>
        <vt:i4>5</vt:i4>
      </vt:variant>
      <vt:variant>
        <vt:lpwstr>https://research-ebsco-com.library.capella.edu/linkprocessor/plink?id=64ea6eaa-cac0-3a22-8336-55c3f6626a14</vt:lpwstr>
      </vt:variant>
      <vt:variant>
        <vt:lpwstr/>
      </vt:variant>
      <vt:variant>
        <vt:i4>6684721</vt:i4>
      </vt:variant>
      <vt:variant>
        <vt:i4>108</vt:i4>
      </vt:variant>
      <vt:variant>
        <vt:i4>0</vt:i4>
      </vt:variant>
      <vt:variant>
        <vt:i4>5</vt:i4>
      </vt:variant>
      <vt:variant>
        <vt:lpwstr>https://cnrs.hal.science/hal-04962366v1</vt:lpwstr>
      </vt:variant>
      <vt:variant>
        <vt:lpwstr/>
      </vt:variant>
      <vt:variant>
        <vt:i4>1441878</vt:i4>
      </vt:variant>
      <vt:variant>
        <vt:i4>105</vt:i4>
      </vt:variant>
      <vt:variant>
        <vt:i4>0</vt:i4>
      </vt:variant>
      <vt:variant>
        <vt:i4>5</vt:i4>
      </vt:variant>
      <vt:variant>
        <vt:lpwstr>https://doi.org/10.1177/00187267221104985</vt:lpwstr>
      </vt:variant>
      <vt:variant>
        <vt:lpwstr/>
      </vt:variant>
      <vt:variant>
        <vt:i4>7274537</vt:i4>
      </vt:variant>
      <vt:variant>
        <vt:i4>102</vt:i4>
      </vt:variant>
      <vt:variant>
        <vt:i4>0</vt:i4>
      </vt:variant>
      <vt:variant>
        <vt:i4>5</vt:i4>
      </vt:variant>
      <vt:variant>
        <vt:lpwstr>https://doi-org.library.capella.edu/10.1002/9781118901731.iecrm0016</vt:lpwstr>
      </vt:variant>
      <vt:variant>
        <vt:lpwstr/>
      </vt:variant>
      <vt:variant>
        <vt:i4>1179742</vt:i4>
      </vt:variant>
      <vt:variant>
        <vt:i4>99</vt:i4>
      </vt:variant>
      <vt:variant>
        <vt:i4>0</vt:i4>
      </vt:variant>
      <vt:variant>
        <vt:i4>5</vt:i4>
      </vt:variant>
      <vt:variant>
        <vt:lpwstr>https://doi.org/10.1177/07417136251356470</vt:lpwstr>
      </vt:variant>
      <vt:variant>
        <vt:lpwstr/>
      </vt:variant>
      <vt:variant>
        <vt:i4>524314</vt:i4>
      </vt:variant>
      <vt:variant>
        <vt:i4>96</vt:i4>
      </vt:variant>
      <vt:variant>
        <vt:i4>0</vt:i4>
      </vt:variant>
      <vt:variant>
        <vt:i4>5</vt:i4>
      </vt:variant>
      <vt:variant>
        <vt:lpwstr>https://doi.org/10.1007/s10551-008-9928-4</vt:lpwstr>
      </vt:variant>
      <vt:variant>
        <vt:lpwstr/>
      </vt:variant>
      <vt:variant>
        <vt:i4>589894</vt:i4>
      </vt:variant>
      <vt:variant>
        <vt:i4>93</vt:i4>
      </vt:variant>
      <vt:variant>
        <vt:i4>0</vt:i4>
      </vt:variant>
      <vt:variant>
        <vt:i4>5</vt:i4>
      </vt:variant>
      <vt:variant>
        <vt:lpwstr>https://doi.org/10.25300/MISQ/2022/17265</vt:lpwstr>
      </vt:variant>
      <vt:variant>
        <vt:lpwstr/>
      </vt:variant>
      <vt:variant>
        <vt:i4>196701</vt:i4>
      </vt:variant>
      <vt:variant>
        <vt:i4>90</vt:i4>
      </vt:variant>
      <vt:variant>
        <vt:i4>0</vt:i4>
      </vt:variant>
      <vt:variant>
        <vt:i4>5</vt:i4>
      </vt:variant>
      <vt:variant>
        <vt:lpwstr>https://10.1108/09696470710726989</vt:lpwstr>
      </vt:variant>
      <vt:variant>
        <vt:lpwstr/>
      </vt:variant>
      <vt:variant>
        <vt:i4>589891</vt:i4>
      </vt:variant>
      <vt:variant>
        <vt:i4>87</vt:i4>
      </vt:variant>
      <vt:variant>
        <vt:i4>0</vt:i4>
      </vt:variant>
      <vt:variant>
        <vt:i4>5</vt:i4>
      </vt:variant>
      <vt:variant>
        <vt:lpwstr>https://doi-org.library.capella.edu/10.1093/jopart/muy052</vt:lpwstr>
      </vt:variant>
      <vt:variant>
        <vt:lpwstr/>
      </vt:variant>
      <vt:variant>
        <vt:i4>4849665</vt:i4>
      </vt:variant>
      <vt:variant>
        <vt:i4>84</vt:i4>
      </vt:variant>
      <vt:variant>
        <vt:i4>0</vt:i4>
      </vt:variant>
      <vt:variant>
        <vt:i4>5</vt:i4>
      </vt:variant>
      <vt:variant>
        <vt:lpwstr>https://doi.org/10.1029/2020GH000251</vt:lpwstr>
      </vt:variant>
      <vt:variant>
        <vt:lpwstr/>
      </vt:variant>
      <vt:variant>
        <vt:i4>5111857</vt:i4>
      </vt:variant>
      <vt:variant>
        <vt:i4>81</vt:i4>
      </vt:variant>
      <vt:variant>
        <vt:i4>0</vt:i4>
      </vt:variant>
      <vt:variant>
        <vt:i4>5</vt:i4>
      </vt:variant>
      <vt:variant>
        <vt:lpwstr>https://www.nist.gov/publications/nist-cybersecurity-framework-csf-20?utm_source=openai</vt:lpwstr>
      </vt:variant>
      <vt:variant>
        <vt:lpwstr/>
      </vt:variant>
      <vt:variant>
        <vt:i4>5308420</vt:i4>
      </vt:variant>
      <vt:variant>
        <vt:i4>78</vt:i4>
      </vt:variant>
      <vt:variant>
        <vt:i4>0</vt:i4>
      </vt:variant>
      <vt:variant>
        <vt:i4>5</vt:i4>
      </vt:variant>
      <vt:variant>
        <vt:lpwstr>https://doi.org/10.3390/businesses5010002</vt:lpwstr>
      </vt:variant>
      <vt:variant>
        <vt:lpwstr/>
      </vt:variant>
      <vt:variant>
        <vt:i4>2097249</vt:i4>
      </vt:variant>
      <vt:variant>
        <vt:i4>75</vt:i4>
      </vt:variant>
      <vt:variant>
        <vt:i4>0</vt:i4>
      </vt:variant>
      <vt:variant>
        <vt:i4>5</vt:i4>
      </vt:variant>
      <vt:variant>
        <vt:lpwstr>https://doi.org/10.2307/259247</vt:lpwstr>
      </vt:variant>
      <vt:variant>
        <vt:lpwstr/>
      </vt:variant>
      <vt:variant>
        <vt:i4>6094923</vt:i4>
      </vt:variant>
      <vt:variant>
        <vt:i4>72</vt:i4>
      </vt:variant>
      <vt:variant>
        <vt:i4>0</vt:i4>
      </vt:variant>
      <vt:variant>
        <vt:i4>5</vt:i4>
      </vt:variant>
      <vt:variant>
        <vt:lpwstr>https://doi-org.library.capella.edu/10.1177/1403494815621181</vt:lpwstr>
      </vt:variant>
      <vt:variant>
        <vt:lpwstr/>
      </vt:variant>
      <vt:variant>
        <vt:i4>3670125</vt:i4>
      </vt:variant>
      <vt:variant>
        <vt:i4>69</vt:i4>
      </vt:variant>
      <vt:variant>
        <vt:i4>0</vt:i4>
      </vt:variant>
      <vt:variant>
        <vt:i4>5</vt:i4>
      </vt:variant>
      <vt:variant>
        <vt:lpwstr>https://doi.org/10.1287/mnsc.2023.04147</vt:lpwstr>
      </vt:variant>
      <vt:variant>
        <vt:lpwstr/>
      </vt:variant>
      <vt:variant>
        <vt:i4>2949163</vt:i4>
      </vt:variant>
      <vt:variant>
        <vt:i4>66</vt:i4>
      </vt:variant>
      <vt:variant>
        <vt:i4>0</vt:i4>
      </vt:variant>
      <vt:variant>
        <vt:i4>5</vt:i4>
      </vt:variant>
      <vt:variant>
        <vt:lpwstr>https://doi.org/10.1108/IJCMA-09-2019-0172</vt:lpwstr>
      </vt:variant>
      <vt:variant>
        <vt:lpwstr/>
      </vt:variant>
      <vt:variant>
        <vt:i4>3211364</vt:i4>
      </vt:variant>
      <vt:variant>
        <vt:i4>63</vt:i4>
      </vt:variant>
      <vt:variant>
        <vt:i4>0</vt:i4>
      </vt:variant>
      <vt:variant>
        <vt:i4>5</vt:i4>
      </vt:variant>
      <vt:variant>
        <vt:lpwstr>https://doi-org.library.capella.edu/10.1002/nha3.20251</vt:lpwstr>
      </vt:variant>
      <vt:variant>
        <vt:lpwstr/>
      </vt:variant>
      <vt:variant>
        <vt:i4>5963842</vt:i4>
      </vt:variant>
      <vt:variant>
        <vt:i4>60</vt:i4>
      </vt:variant>
      <vt:variant>
        <vt:i4>0</vt:i4>
      </vt:variant>
      <vt:variant>
        <vt:i4>5</vt:i4>
      </vt:variant>
      <vt:variant>
        <vt:lpwstr>https://doi-org.library.capella.edu/10.1177/1050651908320362</vt:lpwstr>
      </vt:variant>
      <vt:variant>
        <vt:lpwstr/>
      </vt:variant>
      <vt:variant>
        <vt:i4>6684782</vt:i4>
      </vt:variant>
      <vt:variant>
        <vt:i4>57</vt:i4>
      </vt:variant>
      <vt:variant>
        <vt:i4>0</vt:i4>
      </vt:variant>
      <vt:variant>
        <vt:i4>5</vt:i4>
      </vt:variant>
      <vt:variant>
        <vt:lpwstr>https://doi-org.library.capella.edu/10.1111/ssqu.12328</vt:lpwstr>
      </vt:variant>
      <vt:variant>
        <vt:lpwstr/>
      </vt:variant>
      <vt:variant>
        <vt:i4>3080300</vt:i4>
      </vt:variant>
      <vt:variant>
        <vt:i4>54</vt:i4>
      </vt:variant>
      <vt:variant>
        <vt:i4>0</vt:i4>
      </vt:variant>
      <vt:variant>
        <vt:i4>5</vt:i4>
      </vt:variant>
      <vt:variant>
        <vt:lpwstr>https://doi.org/10.1177/160940691401300119</vt:lpwstr>
      </vt:variant>
      <vt:variant>
        <vt:lpwstr/>
      </vt:variant>
      <vt:variant>
        <vt:i4>1966150</vt:i4>
      </vt:variant>
      <vt:variant>
        <vt:i4>51</vt:i4>
      </vt:variant>
      <vt:variant>
        <vt:i4>0</vt:i4>
      </vt:variant>
      <vt:variant>
        <vt:i4>5</vt:i4>
      </vt:variant>
      <vt:variant>
        <vt:lpwstr>https://doi-org.library.capella.edu/10.1177/1525822X05279903</vt:lpwstr>
      </vt:variant>
      <vt:variant>
        <vt:lpwstr/>
      </vt:variant>
      <vt:variant>
        <vt:i4>3735589</vt:i4>
      </vt:variant>
      <vt:variant>
        <vt:i4>48</vt:i4>
      </vt:variant>
      <vt:variant>
        <vt:i4>0</vt:i4>
      </vt:variant>
      <vt:variant>
        <vt:i4>5</vt:i4>
      </vt:variant>
      <vt:variant>
        <vt:lpwstr>https://doi-org.library.capella.edu/10.1002/sd.2840</vt:lpwstr>
      </vt:variant>
      <vt:variant>
        <vt:lpwstr/>
      </vt:variant>
      <vt:variant>
        <vt:i4>917585</vt:i4>
      </vt:variant>
      <vt:variant>
        <vt:i4>45</vt:i4>
      </vt:variant>
      <vt:variant>
        <vt:i4>0</vt:i4>
      </vt:variant>
      <vt:variant>
        <vt:i4>5</vt:i4>
      </vt:variant>
      <vt:variant>
        <vt:lpwstr>https://doi.org/10.5590/JOSC.2018.10.1.02</vt:lpwstr>
      </vt:variant>
      <vt:variant>
        <vt:lpwstr/>
      </vt:variant>
      <vt:variant>
        <vt:i4>3866734</vt:i4>
      </vt:variant>
      <vt:variant>
        <vt:i4>42</vt:i4>
      </vt:variant>
      <vt:variant>
        <vt:i4>0</vt:i4>
      </vt:variant>
      <vt:variant>
        <vt:i4>5</vt:i4>
      </vt:variant>
      <vt:variant>
        <vt:lpwstr>https://10.1287/orsc.1040.0066</vt:lpwstr>
      </vt:variant>
      <vt:variant>
        <vt:lpwstr/>
      </vt:variant>
      <vt:variant>
        <vt:i4>1572892</vt:i4>
      </vt:variant>
      <vt:variant>
        <vt:i4>39</vt:i4>
      </vt:variant>
      <vt:variant>
        <vt:i4>0</vt:i4>
      </vt:variant>
      <vt:variant>
        <vt:i4>5</vt:i4>
      </vt:variant>
      <vt:variant>
        <vt:lpwstr>https://10.1007/s10551-007-9517-y</vt:lpwstr>
      </vt:variant>
      <vt:variant>
        <vt:lpwstr/>
      </vt:variant>
      <vt:variant>
        <vt:i4>786456</vt:i4>
      </vt:variant>
      <vt:variant>
        <vt:i4>36</vt:i4>
      </vt:variant>
      <vt:variant>
        <vt:i4>0</vt:i4>
      </vt:variant>
      <vt:variant>
        <vt:i4>5</vt:i4>
      </vt:variant>
      <vt:variant>
        <vt:lpwstr>https://capella.alma.exlibrisgroup.com/openurl/01CAPELLA_INST/01CAPELLA_INST:Services?genre=article&amp;atitle=Values+And+The+Foundations+Of+Strategic+Management%253A+JBE&amp;author=Freeman%252C+R+Edward%253BGilbert%252C+Daniel+R%252C+Jr%253BHartman%252C+Edwin&amp;volume=7&amp;issue=11&amp;spage=821&amp;date=1988-11-01&amp;rft.btitle=&amp;rft.jtitle=Journal+of+Business+Ethics&amp;issn=0167-4544&amp;isbn=&amp;sid=ProQ%253Aabiglobal_00438427</vt:lpwstr>
      </vt:variant>
      <vt:variant>
        <vt:lpwstr/>
      </vt:variant>
      <vt:variant>
        <vt:i4>3014704</vt:i4>
      </vt:variant>
      <vt:variant>
        <vt:i4>33</vt:i4>
      </vt:variant>
      <vt:variant>
        <vt:i4>0</vt:i4>
      </vt:variant>
      <vt:variant>
        <vt:i4>5</vt:i4>
      </vt:variant>
      <vt:variant>
        <vt:lpwstr>https://www.proquest.com/scholarly-journals/values-foundations-strategic-management/docview/198089072/se-2?accountid=27965</vt:lpwstr>
      </vt:variant>
      <vt:variant>
        <vt:lpwstr/>
      </vt:variant>
      <vt:variant>
        <vt:i4>7798901</vt:i4>
      </vt:variant>
      <vt:variant>
        <vt:i4>30</vt:i4>
      </vt:variant>
      <vt:variant>
        <vt:i4>0</vt:i4>
      </vt:variant>
      <vt:variant>
        <vt:i4>5</vt:i4>
      </vt:variant>
      <vt:variant>
        <vt:lpwstr>https://doi.org/10.5840/pom20098310</vt:lpwstr>
      </vt:variant>
      <vt:variant>
        <vt:lpwstr/>
      </vt:variant>
      <vt:variant>
        <vt:i4>1572892</vt:i4>
      </vt:variant>
      <vt:variant>
        <vt:i4>27</vt:i4>
      </vt:variant>
      <vt:variant>
        <vt:i4>0</vt:i4>
      </vt:variant>
      <vt:variant>
        <vt:i4>5</vt:i4>
      </vt:variant>
      <vt:variant>
        <vt:lpwstr>https://10.1007/s10551-007-9517-y</vt:lpwstr>
      </vt:variant>
      <vt:variant>
        <vt:lpwstr/>
      </vt:variant>
      <vt:variant>
        <vt:i4>3866734</vt:i4>
      </vt:variant>
      <vt:variant>
        <vt:i4>24</vt:i4>
      </vt:variant>
      <vt:variant>
        <vt:i4>0</vt:i4>
      </vt:variant>
      <vt:variant>
        <vt:i4>5</vt:i4>
      </vt:variant>
      <vt:variant>
        <vt:lpwstr>https://10.1287/orsc.1040.0066</vt:lpwstr>
      </vt:variant>
      <vt:variant>
        <vt:lpwstr/>
      </vt:variant>
      <vt:variant>
        <vt:i4>8323179</vt:i4>
      </vt:variant>
      <vt:variant>
        <vt:i4>21</vt:i4>
      </vt:variant>
      <vt:variant>
        <vt:i4>0</vt:i4>
      </vt:variant>
      <vt:variant>
        <vt:i4>5</vt:i4>
      </vt:variant>
      <vt:variant>
        <vt:lpwstr>https://www.proquest.com/legacydocview/EBC/3420430?accountid=27965</vt:lpwstr>
      </vt:variant>
      <vt:variant>
        <vt:lpwstr/>
      </vt:variant>
      <vt:variant>
        <vt:i4>393240</vt:i4>
      </vt:variant>
      <vt:variant>
        <vt:i4>18</vt:i4>
      </vt:variant>
      <vt:variant>
        <vt:i4>0</vt:i4>
      </vt:variant>
      <vt:variant>
        <vt:i4>5</vt:i4>
      </vt:variant>
      <vt:variant>
        <vt:lpwstr>https://doi.org/10.1007/s10551-018-4012-1</vt:lpwstr>
      </vt:variant>
      <vt:variant>
        <vt:lpwstr/>
      </vt:variant>
      <vt:variant>
        <vt:i4>786455</vt:i4>
      </vt:variant>
      <vt:variant>
        <vt:i4>15</vt:i4>
      </vt:variant>
      <vt:variant>
        <vt:i4>0</vt:i4>
      </vt:variant>
      <vt:variant>
        <vt:i4>5</vt:i4>
      </vt:variant>
      <vt:variant>
        <vt:lpwstr>https://doi.org/10.1007/s10551-015-2805-z</vt:lpwstr>
      </vt:variant>
      <vt:variant>
        <vt:lpwstr/>
      </vt:variant>
      <vt:variant>
        <vt:i4>1704018</vt:i4>
      </vt:variant>
      <vt:variant>
        <vt:i4>12</vt:i4>
      </vt:variant>
      <vt:variant>
        <vt:i4>0</vt:i4>
      </vt:variant>
      <vt:variant>
        <vt:i4>5</vt:i4>
      </vt:variant>
      <vt:variant>
        <vt:lpwstr>https://doi.org/10.1177/08903344231176453</vt:lpwstr>
      </vt:variant>
      <vt:variant>
        <vt:lpwstr/>
      </vt:variant>
      <vt:variant>
        <vt:i4>6291581</vt:i4>
      </vt:variant>
      <vt:variant>
        <vt:i4>9</vt:i4>
      </vt:variant>
      <vt:variant>
        <vt:i4>0</vt:i4>
      </vt:variant>
      <vt:variant>
        <vt:i4>5</vt:i4>
      </vt:variant>
      <vt:variant>
        <vt:lpwstr>https://doi.org/10.1136/emj.2007.050641</vt:lpwstr>
      </vt:variant>
      <vt:variant>
        <vt:lpwstr/>
      </vt:variant>
      <vt:variant>
        <vt:i4>2228333</vt:i4>
      </vt:variant>
      <vt:variant>
        <vt:i4>6</vt:i4>
      </vt:variant>
      <vt:variant>
        <vt:i4>0</vt:i4>
      </vt:variant>
      <vt:variant>
        <vt:i4>5</vt:i4>
      </vt:variant>
      <vt:variant>
        <vt:lpwstr>https://doi.org/10.1177/160940690300200201</vt:lpwstr>
      </vt:variant>
      <vt:variant>
        <vt:lpwstr/>
      </vt:variant>
      <vt:variant>
        <vt:i4>4390976</vt:i4>
      </vt:variant>
      <vt:variant>
        <vt:i4>3</vt:i4>
      </vt:variant>
      <vt:variant>
        <vt:i4>0</vt:i4>
      </vt:variant>
      <vt:variant>
        <vt:i4>5</vt:i4>
      </vt:variant>
      <vt:variant>
        <vt:lpwstr>https://doi.org/10.5840/beq200818214</vt:lpwstr>
      </vt:variant>
      <vt:variant>
        <vt:lpwstr/>
      </vt:variant>
      <vt:variant>
        <vt:i4>262154</vt:i4>
      </vt:variant>
      <vt:variant>
        <vt:i4>0</vt:i4>
      </vt:variant>
      <vt:variant>
        <vt:i4>0</vt:i4>
      </vt:variant>
      <vt:variant>
        <vt:i4>5</vt:i4>
      </vt:variant>
      <vt:variant>
        <vt:lpwstr>https://www.researchgate.net/publication/378330555_Improving_Threat_Mitigation_Through_a_Cybersecurity_Risk_Management_Framework_A_Computational_Design_Science_Approach</vt:lpwstr>
      </vt:variant>
      <vt:variant>
        <vt:lpwstr/>
      </vt:variant>
      <vt:variant>
        <vt:i4>3539063</vt:i4>
      </vt:variant>
      <vt:variant>
        <vt:i4>0</vt:i4>
      </vt:variant>
      <vt:variant>
        <vt:i4>0</vt:i4>
      </vt:variant>
      <vt:variant>
        <vt:i4>5</vt:i4>
      </vt:variant>
      <vt:variant>
        <vt:lpwstr>https://doi.org/10.3846/jbem.2025.23519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tleffler</dc:creator>
  <cp:keywords/>
  <cp:lastModifiedBy>M W</cp:lastModifiedBy>
  <cp:revision>2</cp:revision>
  <cp:lastPrinted>2004-11-23T16:45:00Z</cp:lastPrinted>
  <dcterms:created xsi:type="dcterms:W3CDTF">2026-09-06T14:20:00Z</dcterms:created>
  <dcterms:modified xsi:type="dcterms:W3CDTF">2026-09-06T14:20:00Z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Leffler, Tanya</vt:lpwstr>
  </property>
  <property fmtid="{D5CDD505-2E9C-101B-9397-08002B2CF9AE}" pid="3" name="Celeste">
    <vt:lpwstr>0</vt:lpwstr>
  </property>
  <property fmtid="{D5CDD505-2E9C-101B-9397-08002B2CF9AE}" pid="4" name="Department Info">
    <vt:lpwstr>0</vt:lpwstr>
  </property>
  <property fmtid="{D5CDD505-2E9C-101B-9397-08002B2CF9AE}" pid="5" name="The Editor Role">
    <vt:lpwstr>0</vt:lpwstr>
  </property>
  <property fmtid="{D5CDD505-2E9C-101B-9397-08002B2CF9AE}" pid="6" name="Editricks">
    <vt:lpwstr>0</vt:lpwstr>
  </property>
  <property fmtid="{D5CDD505-2E9C-101B-9397-08002B2CF9AE}" pid="7" name="Forms">
    <vt:lpwstr>1</vt:lpwstr>
  </property>
  <property fmtid="{D5CDD505-2E9C-101B-9397-08002B2CF9AE}" pid="8" name="Guidance">
    <vt:lpwstr>0</vt:lpwstr>
  </property>
  <property fmtid="{D5CDD505-2E9C-101B-9397-08002B2CF9AE}" pid="9" name="Standardized Language">
    <vt:lpwstr>0</vt:lpwstr>
  </property>
  <property fmtid="{D5CDD505-2E9C-101B-9397-08002B2CF9AE}" pid="10" name="Tool Instructions">
    <vt:lpwstr>0</vt:lpwstr>
  </property>
  <property fmtid="{D5CDD505-2E9C-101B-9397-08002B2CF9AE}" pid="11" name="Sub-page">
    <vt:lpwstr>;#Styles, Formatting, and Templates;#</vt:lpwstr>
  </property>
  <property fmtid="{D5CDD505-2E9C-101B-9397-08002B2CF9AE}" pid="12" name="ePortfolio">
    <vt:lpwstr>0</vt:lpwstr>
  </property>
  <property fmtid="{D5CDD505-2E9C-101B-9397-08002B2CF9AE}" pid="13" name="Media">
    <vt:lpwstr>0</vt:lpwstr>
  </property>
  <property fmtid="{D5CDD505-2E9C-101B-9397-08002B2CF9AE}" pid="14" name="Minors">
    <vt:lpwstr>0</vt:lpwstr>
  </property>
  <property fmtid="{D5CDD505-2E9C-101B-9397-08002B2CF9AE}" pid="15" name="Meetings Docs">
    <vt:lpwstr>0</vt:lpwstr>
  </property>
  <property fmtid="{D5CDD505-2E9C-101B-9397-08002B2CF9AE}" pid="16" name="New/Revised">
    <vt:lpwstr>0</vt:lpwstr>
  </property>
  <property fmtid="{D5CDD505-2E9C-101B-9397-08002B2CF9AE}" pid="17" name="Parts of the Course Test">
    <vt:lpwstr/>
  </property>
  <property fmtid="{D5CDD505-2E9C-101B-9397-08002B2CF9AE}" pid="18" name="Date Uploaded to Toolbox">
    <vt:lpwstr>2010-07-29T00:00:00Z</vt:lpwstr>
  </property>
  <property fmtid="{D5CDD505-2E9C-101B-9397-08002B2CF9AE}" pid="19" name="Creating Links">
    <vt:lpwstr>0</vt:lpwstr>
  </property>
  <property fmtid="{D5CDD505-2E9C-101B-9397-08002B2CF9AE}" pid="20" name="Dreamweaver">
    <vt:lpwstr>0</vt:lpwstr>
  </property>
  <property fmtid="{D5CDD505-2E9C-101B-9397-08002B2CF9AE}" pid="21" name="Checklist">
    <vt:lpwstr>0</vt:lpwstr>
  </property>
  <property fmtid="{D5CDD505-2E9C-101B-9397-08002B2CF9AE}" pid="22" name="Technologies">
    <vt:lpwstr>0</vt:lpwstr>
  </property>
  <property fmtid="{D5CDD505-2E9C-101B-9397-08002B2CF9AE}" pid="23" name="VitalSource">
    <vt:lpwstr>0</vt:lpwstr>
  </property>
  <property fmtid="{D5CDD505-2E9C-101B-9397-08002B2CF9AE}" pid="24" name="The DERG">
    <vt:lpwstr>0</vt:lpwstr>
  </property>
  <property fmtid="{D5CDD505-2E9C-101B-9397-08002B2CF9AE}" pid="25" name="Styles and Standards Column">
    <vt:lpwstr/>
  </property>
  <property fmtid="{D5CDD505-2E9C-101B-9397-08002B2CF9AE}" pid="26" name="Web Pages">
    <vt:lpwstr>0</vt:lpwstr>
  </property>
  <property fmtid="{D5CDD505-2E9C-101B-9397-08002B2CF9AE}" pid="27" name="SafeAssign">
    <vt:lpwstr>0</vt:lpwstr>
  </property>
  <property fmtid="{D5CDD505-2E9C-101B-9397-08002B2CF9AE}" pid="28" name="Styles and Formatting">
    <vt:lpwstr>1</vt:lpwstr>
  </property>
  <property fmtid="{D5CDD505-2E9C-101B-9397-08002B2CF9AE}" pid="29" name="VSS">
    <vt:lpwstr>0</vt:lpwstr>
  </property>
  <property fmtid="{D5CDD505-2E9C-101B-9397-08002B2CF9AE}" pid="30" name="EmailTo">
    <vt:lpwstr/>
  </property>
  <property fmtid="{D5CDD505-2E9C-101B-9397-08002B2CF9AE}" pid="31" name="EmailSender">
    <vt:lpwstr/>
  </property>
  <property fmtid="{D5CDD505-2E9C-101B-9397-08002B2CF9AE}" pid="32" name="EmailFrom">
    <vt:lpwstr/>
  </property>
  <property fmtid="{D5CDD505-2E9C-101B-9397-08002B2CF9AE}" pid="33" name="Filename_test">
    <vt:lpwstr/>
  </property>
  <property fmtid="{D5CDD505-2E9C-101B-9397-08002B2CF9AE}" pid="34" name="EmailSubject">
    <vt:lpwstr/>
  </property>
  <property fmtid="{D5CDD505-2E9C-101B-9397-08002B2CF9AE}" pid="35" name="EmailCc">
    <vt:lpwstr/>
  </property>
  <property fmtid="{D5CDD505-2E9C-101B-9397-08002B2CF9AE}" pid="36" name="Filename">
    <vt:lpwstr/>
  </property>
  <property fmtid="{D5CDD505-2E9C-101B-9397-08002B2CF9AE}" pid="37" name="Order">
    <vt:lpwstr>17400.0000000000</vt:lpwstr>
  </property>
  <property fmtid="{D5CDD505-2E9C-101B-9397-08002B2CF9AE}" pid="38" name="Doc Title with Link WIP">
    <vt:lpwstr>https://collaborate.capella.edu/nextgen/ngl1/editor_toolbox/All%20Documents/course_file_template_portrait.doc</vt:lpwstr>
  </property>
  <property fmtid="{D5CDD505-2E9C-101B-9397-08002B2CF9AE}" pid="39" name="ContentType">
    <vt:lpwstr>Document</vt:lpwstr>
  </property>
  <property fmtid="{D5CDD505-2E9C-101B-9397-08002B2CF9AE}" pid="40" name="Doc Status">
    <vt:lpwstr>Up to date.</vt:lpwstr>
  </property>
  <property fmtid="{D5CDD505-2E9C-101B-9397-08002B2CF9AE}" pid="41" name="Current Doc Owner">
    <vt:lpwstr>Tanya</vt:lpwstr>
  </property>
  <property fmtid="{D5CDD505-2E9C-101B-9397-08002B2CF9AE}" pid="42" name="Doc Team">
    <vt:lpwstr>Team 1</vt:lpwstr>
  </property>
  <property fmtid="{D5CDD505-2E9C-101B-9397-08002B2CF9AE}" pid="43" name="Choose Category (Left Nav)">
    <vt:lpwstr>;#Styles and Standards;#Celeste New and Revised;#Non-Celeste New and Revised;#</vt:lpwstr>
  </property>
  <property fmtid="{D5CDD505-2E9C-101B-9397-08002B2CF9AE}" pid="44" name="Archive This Doc">
    <vt:lpwstr>0</vt:lpwstr>
  </property>
  <property fmtid="{D5CDD505-2E9C-101B-9397-08002B2CF9AE}" pid="45" name="Title (with link to document)">
    <vt:lpwstr>https://share.capella.edu/functional/opux/CCD/DE/Documents/course_files_template_portrait.doc, Course Files Template (Portrait)</vt:lpwstr>
  </property>
  <property fmtid="{D5CDD505-2E9C-101B-9397-08002B2CF9AE}" pid="46" name="Description0">
    <vt:lpwstr>With placeholder text only.</vt:lpwstr>
  </property>
  <property fmtid="{D5CDD505-2E9C-101B-9397-08002B2CF9AE}" pid="47" name="Maintenance Notes">
    <vt:lpwstr>ATLAS--N/A</vt:lpwstr>
  </property>
  <property fmtid="{D5CDD505-2E9C-101B-9397-08002B2CF9AE}" pid="48" name="School-Specific Resources">
    <vt:lpwstr>;#Standards, Styles, and Templates;#</vt:lpwstr>
  </property>
  <property fmtid="{D5CDD505-2E9C-101B-9397-08002B2CF9AE}" pid="49" name="Add to Home Page?">
    <vt:lpwstr>0</vt:lpwstr>
  </property>
  <property fmtid="{D5CDD505-2E9C-101B-9397-08002B2CF9AE}" pid="50" name="Keyword">
    <vt:lpwstr>;#Templates;#</vt:lpwstr>
  </property>
  <property fmtid="{D5CDD505-2E9C-101B-9397-08002B2CF9AE}" pid="51" name="WorkflowChangePath">
    <vt:lpwstr>a908e54d-bb11-4491-974d-87c7c5b26495,24;</vt:lpwstr>
  </property>
  <property fmtid="{D5CDD505-2E9C-101B-9397-08002B2CF9AE}" pid="52" name="LinkID">
    <vt:lpwstr>103.000000000000</vt:lpwstr>
  </property>
  <property fmtid="{D5CDD505-2E9C-101B-9397-08002B2CF9AE}" pid="53" name="source_item_id">
    <vt:lpwstr>18</vt:lpwstr>
  </property>
  <property fmtid="{D5CDD505-2E9C-101B-9397-08002B2CF9AE}" pid="54" name="PublishingExpirationDate">
    <vt:lpwstr/>
  </property>
  <property fmtid="{D5CDD505-2E9C-101B-9397-08002B2CF9AE}" pid="55" name="PublishingStartDate">
    <vt:lpwstr/>
  </property>
</Properties>
</file>