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4045AF" w14:textId="77777777" w:rsidR="00B900D2" w:rsidRPr="006C70C5" w:rsidRDefault="00B900D2" w:rsidP="002601E0">
      <w:pPr>
        <w:rPr>
          <w:color w:val="000000" w:themeColor="text1"/>
        </w:rPr>
      </w:pPr>
    </w:p>
    <w:p w14:paraId="10BE42D7" w14:textId="33C3A9A5" w:rsidR="00E432C2" w:rsidRPr="00CF1C12" w:rsidRDefault="00E432C2" w:rsidP="00E432C2">
      <w:pPr>
        <w:pStyle w:val="Body"/>
        <w:rPr>
          <w:color w:val="000000" w:themeColor="text1"/>
          <w:highlight w:val="cyan"/>
        </w:rPr>
      </w:pPr>
      <w:commentRangeStart w:id="0"/>
      <w:r w:rsidRPr="00CF1C12">
        <w:rPr>
          <w:color w:val="000000" w:themeColor="text1"/>
          <w:highlight w:val="cyan"/>
        </w:rPr>
        <w:t>Name</w:t>
      </w:r>
      <w:commentRangeEnd w:id="0"/>
      <w:r w:rsidR="00F36A6F" w:rsidRPr="00CF1C12">
        <w:rPr>
          <w:rStyle w:val="CommentReference"/>
          <w:color w:val="000000" w:themeColor="text1"/>
          <w:sz w:val="22"/>
          <w:szCs w:val="20"/>
          <w:highlight w:val="cyan"/>
        </w:rPr>
        <w:commentReference w:id="0"/>
      </w:r>
      <w:r w:rsidRPr="00CF1C12">
        <w:rPr>
          <w:color w:val="000000" w:themeColor="text1"/>
          <w:highlight w:val="cyan"/>
        </w:rPr>
        <w:t>:</w:t>
      </w:r>
      <w:r w:rsidR="004C1DED" w:rsidRPr="00CF1C12">
        <w:rPr>
          <w:color w:val="000000" w:themeColor="text1"/>
          <w:highlight w:val="cyan"/>
        </w:rPr>
        <w:t xml:space="preserve"> </w:t>
      </w:r>
      <w:r w:rsidR="00CF1C12" w:rsidRPr="00CF1C12">
        <w:rPr>
          <w:color w:val="000000" w:themeColor="text1"/>
          <w:highlight w:val="cyan"/>
        </w:rPr>
        <w:t>XX</w:t>
      </w:r>
    </w:p>
    <w:p w14:paraId="6E16DF23" w14:textId="55E7CD77" w:rsidR="00E432C2" w:rsidRPr="00CF1C12" w:rsidRDefault="00E432C2" w:rsidP="00E432C2">
      <w:pPr>
        <w:pStyle w:val="Body"/>
        <w:rPr>
          <w:color w:val="000000" w:themeColor="text1"/>
          <w:highlight w:val="cyan"/>
        </w:rPr>
      </w:pPr>
      <w:r w:rsidRPr="00CF1C12">
        <w:rPr>
          <w:color w:val="000000" w:themeColor="text1"/>
          <w:highlight w:val="cyan"/>
        </w:rPr>
        <w:t>Learner ID:</w:t>
      </w:r>
      <w:r w:rsidR="004C1DED" w:rsidRPr="00CF1C12">
        <w:rPr>
          <w:color w:val="000000" w:themeColor="text1"/>
          <w:highlight w:val="cyan"/>
        </w:rPr>
        <w:t xml:space="preserve"> </w:t>
      </w:r>
      <w:r w:rsidR="00CF1C12" w:rsidRPr="00CF1C12">
        <w:rPr>
          <w:color w:val="000000" w:themeColor="text1"/>
          <w:highlight w:val="cyan"/>
        </w:rPr>
        <w:t>XX</w:t>
      </w:r>
    </w:p>
    <w:p w14:paraId="7E7B21EB" w14:textId="0AF1515E" w:rsidR="00E432C2" w:rsidRPr="00AC3820" w:rsidRDefault="00E432C2" w:rsidP="00E432C2">
      <w:pPr>
        <w:pStyle w:val="Body"/>
        <w:rPr>
          <w:color w:val="000000" w:themeColor="text1"/>
        </w:rPr>
      </w:pPr>
      <w:r w:rsidRPr="00CF1C12">
        <w:rPr>
          <w:color w:val="000000" w:themeColor="text1"/>
          <w:highlight w:val="cyan"/>
        </w:rPr>
        <w:t>Learner Email Address:</w:t>
      </w:r>
      <w:r w:rsidR="00CF1C12" w:rsidRPr="00CF1C12">
        <w:rPr>
          <w:color w:val="000000" w:themeColor="text1"/>
          <w:highlight w:val="cyan"/>
        </w:rPr>
        <w:t xml:space="preserve"> XX</w:t>
      </w:r>
    </w:p>
    <w:p w14:paraId="54D13D44" w14:textId="77777777" w:rsidR="00E432C2" w:rsidRPr="00AC3820" w:rsidRDefault="00E432C2" w:rsidP="00E432C2">
      <w:pPr>
        <w:pStyle w:val="Body"/>
        <w:rPr>
          <w:color w:val="000000" w:themeColor="text1"/>
        </w:rPr>
      </w:pPr>
      <w:r w:rsidRPr="00AC3820">
        <w:rPr>
          <w:color w:val="000000" w:themeColor="text1"/>
        </w:rPr>
        <w:t>School:</w:t>
      </w:r>
      <w:r w:rsidR="004C1DED" w:rsidRPr="00AC3820">
        <w:rPr>
          <w:color w:val="000000" w:themeColor="text1"/>
        </w:rPr>
        <w:t xml:space="preserve"> Doctoral in Business Management</w:t>
      </w:r>
    </w:p>
    <w:p w14:paraId="7A282E25" w14:textId="77777777" w:rsidR="00E432C2" w:rsidRPr="00AC3820" w:rsidRDefault="00E432C2" w:rsidP="00E432C2">
      <w:pPr>
        <w:pStyle w:val="Body"/>
        <w:rPr>
          <w:color w:val="000000" w:themeColor="text1"/>
        </w:rPr>
      </w:pPr>
      <w:r w:rsidRPr="00AC3820">
        <w:rPr>
          <w:color w:val="000000" w:themeColor="text1"/>
        </w:rPr>
        <w:t>Program/Specialization:</w:t>
      </w:r>
      <w:r w:rsidR="004C1DED" w:rsidRPr="00AC3820">
        <w:rPr>
          <w:color w:val="000000" w:themeColor="text1"/>
        </w:rPr>
        <w:t xml:space="preserve"> </w:t>
      </w:r>
      <w:r w:rsidR="004C1DED" w:rsidRPr="00AC3820">
        <w:rPr>
          <w:rStyle w:val="plan"/>
          <w:color w:val="000000" w:themeColor="text1"/>
        </w:rPr>
        <w:t>Information Technology Management</w:t>
      </w:r>
    </w:p>
    <w:p w14:paraId="727F367A" w14:textId="77777777" w:rsidR="00E432C2" w:rsidRPr="00AC3820" w:rsidRDefault="00E432C2" w:rsidP="00E432C2">
      <w:pPr>
        <w:pStyle w:val="Body"/>
        <w:rPr>
          <w:color w:val="000000" w:themeColor="text1"/>
        </w:rPr>
      </w:pPr>
      <w:r w:rsidRPr="00AC3820">
        <w:rPr>
          <w:color w:val="000000" w:themeColor="text1"/>
        </w:rPr>
        <w:t>Type of project (e.g., dissertation, capstone, etc.):</w:t>
      </w:r>
      <w:r w:rsidR="004C1DED" w:rsidRPr="00AC3820">
        <w:rPr>
          <w:color w:val="000000" w:themeColor="text1"/>
        </w:rPr>
        <w:t xml:space="preserve"> ITDRPaaS Dissertation</w:t>
      </w:r>
    </w:p>
    <w:p w14:paraId="1559DBE3" w14:textId="77777777" w:rsidR="00E26A16" w:rsidRPr="00AC3820" w:rsidRDefault="00E26A16" w:rsidP="00E432C2">
      <w:pPr>
        <w:pStyle w:val="Body"/>
        <w:rPr>
          <w:color w:val="000000" w:themeColor="text1"/>
        </w:rPr>
      </w:pPr>
      <w:r w:rsidRPr="00AC3820">
        <w:rPr>
          <w:color w:val="000000" w:themeColor="text1"/>
        </w:rPr>
        <w:t>Methodology – Quantitative or Qualitative:</w:t>
      </w:r>
      <w:r w:rsidR="004C1DED" w:rsidRPr="00AC3820">
        <w:rPr>
          <w:color w:val="000000" w:themeColor="text1"/>
        </w:rPr>
        <w:t xml:space="preserve"> Qualitative</w:t>
      </w:r>
    </w:p>
    <w:p w14:paraId="335546CB" w14:textId="77777777" w:rsidR="00E432C2" w:rsidRPr="00AC3820" w:rsidRDefault="00E432C2" w:rsidP="00E432C2">
      <w:pPr>
        <w:pStyle w:val="Body"/>
        <w:rPr>
          <w:color w:val="000000" w:themeColor="text1"/>
        </w:rPr>
      </w:pPr>
      <w:r w:rsidRPr="00AC3820">
        <w:rPr>
          <w:color w:val="000000" w:themeColor="text1"/>
        </w:rPr>
        <w:t>Quarter/Year of V8927completion:</w:t>
      </w:r>
      <w:r w:rsidR="004C1DED" w:rsidRPr="00AC3820">
        <w:rPr>
          <w:color w:val="000000" w:themeColor="text1"/>
        </w:rPr>
        <w:t xml:space="preserve"> Summer 2026</w:t>
      </w:r>
    </w:p>
    <w:p w14:paraId="69899D7B" w14:textId="77777777" w:rsidR="00B900D2" w:rsidRPr="00AC3820" w:rsidRDefault="00B900D2" w:rsidP="002601E0">
      <w:pPr>
        <w:rPr>
          <w:color w:val="000000" w:themeColor="text1"/>
        </w:rPr>
      </w:pPr>
    </w:p>
    <w:p w14:paraId="5F6B5950" w14:textId="77777777" w:rsidR="00B900D2" w:rsidRPr="00AC3820" w:rsidRDefault="00F02D49" w:rsidP="00B900D2">
      <w:pPr>
        <w:pStyle w:val="Heading2"/>
        <w:rPr>
          <w:color w:val="000000" w:themeColor="text1"/>
        </w:rPr>
      </w:pPr>
      <w:r w:rsidRPr="00AC3820">
        <w:rPr>
          <w:color w:val="000000" w:themeColor="text1"/>
        </w:rPr>
        <w:t xml:space="preserve">Project </w:t>
      </w:r>
      <w:r w:rsidR="00B900D2" w:rsidRPr="00AC3820">
        <w:rPr>
          <w:color w:val="000000" w:themeColor="text1"/>
        </w:rPr>
        <w:t>topic</w:t>
      </w:r>
    </w:p>
    <w:p w14:paraId="344E45E7" w14:textId="77777777" w:rsidR="00B900D2" w:rsidRPr="00AC3820" w:rsidRDefault="00B900D2" w:rsidP="00891FB6">
      <w:pPr>
        <w:pStyle w:val="Body"/>
        <w:shd w:val="clear" w:color="auto" w:fill="E7E6E6"/>
        <w:rPr>
          <w:i/>
          <w:iCs/>
          <w:color w:val="000000" w:themeColor="text1"/>
        </w:rPr>
      </w:pPr>
      <w:r w:rsidRPr="00AC3820">
        <w:rPr>
          <w:i/>
          <w:iCs/>
          <w:color w:val="000000" w:themeColor="text1"/>
        </w:rPr>
        <w:t>Topic proposal is grounded in a problem and aligned with program of study.</w:t>
      </w:r>
    </w:p>
    <w:p w14:paraId="39DC81B7" w14:textId="77777777" w:rsidR="008529C6" w:rsidRPr="00AC3820" w:rsidRDefault="008529C6" w:rsidP="008529C6">
      <w:pPr>
        <w:pStyle w:val="Body"/>
        <w:spacing w:line="480" w:lineRule="auto"/>
        <w:rPr>
          <w:rStyle w:val="css-1f2ahkg-view"/>
          <w:rFonts w:cs="Times New Roman"/>
          <w:color w:val="000000" w:themeColor="text1"/>
          <w:szCs w:val="24"/>
        </w:rPr>
      </w:pPr>
    </w:p>
    <w:p w14:paraId="5B69184E" w14:textId="77777777" w:rsidR="008529C6" w:rsidRPr="00AC3820" w:rsidRDefault="008529C6" w:rsidP="008529C6">
      <w:pPr>
        <w:pStyle w:val="Body"/>
        <w:spacing w:line="480" w:lineRule="auto"/>
        <w:rPr>
          <w:rFonts w:cs="Times New Roman"/>
          <w:color w:val="000000" w:themeColor="text1"/>
          <w:sz w:val="24"/>
          <w:szCs w:val="24"/>
        </w:rPr>
      </w:pPr>
      <w:r w:rsidRPr="00AC3820">
        <w:rPr>
          <w:rStyle w:val="css-1f2ahkg-view"/>
          <w:rFonts w:cs="Times New Roman"/>
          <w:color w:val="000000" w:themeColor="text1"/>
          <w:sz w:val="24"/>
          <w:szCs w:val="24"/>
        </w:rPr>
        <w:t xml:space="preserve">The topic for the proposed study is </w:t>
      </w:r>
      <w:r w:rsidRPr="00AC3820">
        <w:rPr>
          <w:rStyle w:val="Strong"/>
          <w:rFonts w:cs="Times New Roman"/>
          <w:b w:val="0"/>
          <w:bCs w:val="0"/>
          <w:color w:val="000000" w:themeColor="text1"/>
          <w:sz w:val="24"/>
          <w:szCs w:val="24"/>
        </w:rPr>
        <w:t>Stakeholder-Salience Governance of ITDRPaaS in SMEs: via Aligning IT Strategy and Decision Rights Governance.</w:t>
      </w:r>
    </w:p>
    <w:p w14:paraId="69D64578" w14:textId="77777777" w:rsidR="00215499" w:rsidRPr="00AC3820" w:rsidRDefault="00215499" w:rsidP="00215499">
      <w:pPr>
        <w:pStyle w:val="Heading5"/>
        <w:rPr>
          <w:color w:val="000000" w:themeColor="text1"/>
        </w:rPr>
      </w:pPr>
      <w:commentRangeStart w:id="1"/>
      <w:commentRangeStart w:id="2"/>
      <w:r w:rsidRPr="00AC3820">
        <w:rPr>
          <w:color w:val="000000" w:themeColor="text1"/>
        </w:rPr>
        <w:t>Alignment to the Program of Study</w:t>
      </w:r>
      <w:commentRangeEnd w:id="1"/>
      <w:r w:rsidR="00595C3E" w:rsidRPr="00AC3820">
        <w:rPr>
          <w:rStyle w:val="CommentReference"/>
          <w:color w:val="000000" w:themeColor="text1"/>
          <w:sz w:val="24"/>
          <w:szCs w:val="26"/>
        </w:rPr>
        <w:commentReference w:id="1"/>
      </w:r>
      <w:commentRangeEnd w:id="2"/>
      <w:r w:rsidR="00D92E80" w:rsidRPr="00AC3820">
        <w:rPr>
          <w:rStyle w:val="CommentReference"/>
          <w:color w:val="000000" w:themeColor="text1"/>
          <w:sz w:val="24"/>
          <w:szCs w:val="26"/>
        </w:rPr>
        <w:commentReference w:id="2"/>
      </w:r>
    </w:p>
    <w:p w14:paraId="5C340454" w14:textId="77777777" w:rsidR="00215499" w:rsidRPr="00AC3820" w:rsidRDefault="00215499" w:rsidP="00215499">
      <w:pPr>
        <w:pStyle w:val="Body"/>
        <w:rPr>
          <w:i/>
          <w:iCs/>
          <w:color w:val="000000" w:themeColor="text1"/>
        </w:rPr>
      </w:pPr>
      <w:r w:rsidRPr="00AC3820">
        <w:rPr>
          <w:i/>
          <w:iCs/>
          <w:color w:val="000000" w:themeColor="text1"/>
        </w:rPr>
        <w:t xml:space="preserve">Presents an introduction to a clear topic proposal grounded in a problem within the program, project, and topic. Suggested length 1 paragraph. </w:t>
      </w:r>
    </w:p>
    <w:p w14:paraId="5296EE65" w14:textId="77777777" w:rsidR="008529C6" w:rsidRPr="00AC3820" w:rsidRDefault="008529C6" w:rsidP="00215499">
      <w:pPr>
        <w:pStyle w:val="Body"/>
        <w:rPr>
          <w:i/>
          <w:iCs/>
          <w:color w:val="000000" w:themeColor="text1"/>
        </w:rPr>
      </w:pPr>
    </w:p>
    <w:p w14:paraId="03447768" w14:textId="77777777" w:rsidR="008529C6" w:rsidRPr="00AC3820" w:rsidRDefault="008529C6" w:rsidP="008529C6">
      <w:pPr>
        <w:spacing w:line="480" w:lineRule="auto"/>
        <w:ind w:firstLine="720"/>
        <w:rPr>
          <w:strike/>
          <w:color w:val="000000" w:themeColor="text1"/>
        </w:rPr>
      </w:pPr>
      <w:r w:rsidRPr="00AC3820">
        <w:rPr>
          <w:rFonts w:ascii="Times New Roman" w:hAnsi="Times New Roman" w:eastAsia="Times New Roman"/>
          <w:color w:val="000000" w:themeColor="text1"/>
          <w:sz w:val="24"/>
        </w:rPr>
        <w:t>This study is undertaken in the Doctor of Philosophy in Business Management program with a specialization in Information Technology Management. That specialization advances the theory and practice of leading information-technology strategic planning and management in complex environments. It requires examination of collaborative relationships among IT and other organizational leaders, strategies that integrate technological arrangements with changing business needs, and the ethical and legal issues that shape IT management so that practical solutions can be developed for real-world problems that arise as organizations compete (Capella University, 2024). The proposed project specifically aligns with that specialization because the object of study is not a technical restore script. It is an IT-management governance problem: how U.S. small- and medium-enterprise (SME) IT and network managers handle competing recovery claims, allocate decision rights, escalate contested choices, and defend restoration when disaster recovery is delivered on an external platform (ITDRPaaS).</w:t>
      </w:r>
      <w:r w:rsidRPr="00AC3820">
        <w:rPr>
          <w:rStyle w:val="Strong"/>
          <w:b w:val="0"/>
          <w:bCs w:val="0"/>
          <w:color w:val="000000" w:themeColor="text1"/>
        </w:rPr>
      </w:r>
      <w:r w:rsidRPr="00AC3820">
        <w:rPr>
          <w:rStyle w:val="Strong"/>
          <w:color w:val="000000" w:themeColor="text1"/>
        </w:rPr>
      </w:r>
      <w:r w:rsidRPr="00AC3820">
        <w:rPr>
          <w:color w:val="000000" w:themeColor="text1"/>
        </w:rPr>
      </w:r>
      <w:r w:rsidRPr="00AC3820">
        <w:rPr>
          <w:color w:val="000000" w:themeColor="text1"/>
        </w:rPr>
      </w:r>
    </w:p>
    <w:p w14:paraId="74A574AB" w14:textId="4F04C42A" w:rsidR="008529C6" w:rsidRPr="00AC3820" w:rsidRDefault="008529C6" w:rsidP="008529C6">
      <w:pPr>
        <w:spacing w:line="480" w:lineRule="auto"/>
        <w:ind w:firstLine="720"/>
        <w:rPr>
          <w:strike/>
          <w:color w:val="000000" w:themeColor="text1"/>
        </w:rPr>
      </w:pPr>
      <w:r w:rsidRPr="00AC3820">
        <w:rPr>
          <w:rFonts w:ascii="Times New Roman" w:hAnsi="Times New Roman" w:eastAsia="Times New Roman"/>
          <w:color w:val="000000" w:themeColor="text1"/>
          <w:sz w:val="24"/>
        </w:rPr>
        <w:t>Value-creation stakeholder theory supplies the needed foundation construct. Distinctive stakeholder work describes human actors cooperatively engaged in value creation and trade and treats many tensions between stakeholder management and strategic-technical objectives as differences of narrative rather than mutually exclusive tasks (Freeman et al., 2020). In an ITDRPaaS incident those actors include executives, customers, providers, regulators, and the IT managers who must decide whose claim moves restore order. Stakeholder-salience theory then supplies the middle-range attention mechanism: power, legitimacy, and urgency shape whose claims count (Mitchell et al., 1997). A generic qualitative inquiry is appropriate because it examines managers’ accounts of named recovery events, governance decisions, escalation pathways, and recoverability-assurance practices (Caelli et al., 2003; Kahlke, 2014). The project therefore advances the Information Technology Management specialization by explaining how IT leaders translate competing stakeholder claims into enforceable recovery authority and defensible proof when recovery is outsourced.</w:t>
      </w:r>
      <w:r w:rsidRPr="008C1B5E">
        <w:rPr>
          <w:color w:val="000000" w:themeColor="text1"/>
          <w:highlight w:val="cyan"/>
        </w:rPr>
      </w:r>
      <w:r w:rsidRPr="00AC3820">
        <w:rPr>
          <w:color w:val="000000" w:themeColor="text1"/>
        </w:rPr>
      </w:r>
      <w:r w:rsidR="008C1B5E">
        <w:rPr>
          <w:color w:val="000000" w:themeColor="text1"/>
        </w:rPr>
      </w:r>
      <w:r w:rsidRPr="00AC3820">
        <w:rPr>
          <w:color w:val="000000" w:themeColor="text1"/>
        </w:rPr>
      </w:r>
    </w:p>
    <w:p w14:paraId="0A79C48E" w14:textId="77777777" w:rsidR="00C92BAE" w:rsidRPr="00AC3820" w:rsidRDefault="00F02D49" w:rsidP="00B900D2">
      <w:pPr>
        <w:pStyle w:val="Heading2"/>
        <w:rPr>
          <w:color w:val="000000" w:themeColor="text1"/>
        </w:rPr>
      </w:pPr>
      <w:r w:rsidRPr="00AC3820">
        <w:rPr>
          <w:color w:val="000000" w:themeColor="text1"/>
        </w:rPr>
        <w:t xml:space="preserve">Project </w:t>
      </w:r>
      <w:r w:rsidR="00B900D2" w:rsidRPr="00AC3820">
        <w:rPr>
          <w:color w:val="000000" w:themeColor="text1"/>
        </w:rPr>
        <w:t>Problem</w:t>
      </w:r>
    </w:p>
    <w:p w14:paraId="7C762C5C" w14:textId="77777777" w:rsidR="00B900D2" w:rsidRPr="00AC3820" w:rsidRDefault="00B900D2" w:rsidP="00891FB6">
      <w:pPr>
        <w:pStyle w:val="Body"/>
        <w:shd w:val="clear" w:color="auto" w:fill="E7E6E6"/>
        <w:rPr>
          <w:i/>
          <w:iCs/>
          <w:color w:val="000000" w:themeColor="text1"/>
        </w:rPr>
      </w:pPr>
      <w:r w:rsidRPr="00AC3820">
        <w:rPr>
          <w:i/>
          <w:iCs/>
          <w:color w:val="000000" w:themeColor="text1"/>
        </w:rPr>
        <w:t>Clearly stated problem aligns with program, reflects literature ga</w:t>
      </w:r>
      <w:r w:rsidR="00EC580B" w:rsidRPr="00AC3820">
        <w:rPr>
          <w:i/>
          <w:iCs/>
          <w:color w:val="000000" w:themeColor="text1"/>
        </w:rPr>
        <w:t>p or practice issue</w:t>
      </w:r>
      <w:r w:rsidRPr="00AC3820">
        <w:rPr>
          <w:i/>
          <w:iCs/>
          <w:color w:val="000000" w:themeColor="text1"/>
        </w:rPr>
        <w:t xml:space="preserve">, and identifies population of interest. </w:t>
      </w:r>
    </w:p>
    <w:p w14:paraId="5C90CF23" w14:textId="77777777" w:rsidR="00B900D2" w:rsidRPr="00AC3820" w:rsidRDefault="00B900D2" w:rsidP="00215499">
      <w:pPr>
        <w:pStyle w:val="Heading5"/>
        <w:rPr>
          <w:color w:val="000000" w:themeColor="text1"/>
        </w:rPr>
      </w:pPr>
      <w:r w:rsidRPr="00AC3820">
        <w:rPr>
          <w:color w:val="000000" w:themeColor="text1"/>
        </w:rPr>
        <w:t>Problem to be Addressed</w:t>
      </w:r>
    </w:p>
    <w:p w14:paraId="3A676C60" w14:textId="77777777" w:rsidR="00215499" w:rsidRPr="00AC3820" w:rsidRDefault="00B900D2" w:rsidP="00215499">
      <w:pPr>
        <w:pStyle w:val="Body"/>
        <w:rPr>
          <w:i/>
          <w:iCs/>
          <w:color w:val="000000" w:themeColor="text1"/>
        </w:rPr>
      </w:pPr>
      <w:r w:rsidRPr="00AC3820">
        <w:rPr>
          <w:i/>
          <w:iCs/>
          <w:color w:val="000000" w:themeColor="text1"/>
        </w:rPr>
        <w:t xml:space="preserve">Describe a general and specific problem that is clearly defined and aligned with the program, including what the problem is, who is experiencing the problem, where the problem exists, </w:t>
      </w:r>
      <w:r w:rsidR="00CA40D3" w:rsidRPr="00AC3820">
        <w:rPr>
          <w:i/>
          <w:iCs/>
          <w:color w:val="000000" w:themeColor="text1"/>
        </w:rPr>
        <w:t xml:space="preserve">and </w:t>
      </w:r>
      <w:r w:rsidRPr="00AC3820">
        <w:rPr>
          <w:i/>
          <w:iCs/>
          <w:color w:val="000000" w:themeColor="text1"/>
        </w:rPr>
        <w:t xml:space="preserve">the professional/organizational context. </w:t>
      </w:r>
      <w:r w:rsidR="00215499" w:rsidRPr="00AC3820">
        <w:rPr>
          <w:i/>
          <w:iCs/>
          <w:color w:val="000000" w:themeColor="text1"/>
        </w:rPr>
        <w:t xml:space="preserve">Suggested length 1paragraph. </w:t>
      </w:r>
    </w:p>
    <w:p w14:paraId="2CB55F9D" w14:textId="79A6890E" w:rsidR="008529C6" w:rsidRPr="00AC3820" w:rsidRDefault="008529C6" w:rsidP="008529C6">
      <w:pPr>
        <w:pStyle w:val="Heading5"/>
        <w:spacing w:line="480" w:lineRule="auto"/>
        <w:ind w:firstLine="720"/>
        <w:rPr>
          <w:b w:val="0"/>
          <w:bCs w:val="0"/>
          <w:color w:val="000000" w:themeColor="text1"/>
          <w:szCs w:val="24"/>
        </w:rPr>
      </w:pPr>
      <w:r w:rsidRPr="00AC3820">
        <w:rPr>
          <w:rFonts w:ascii="Times New Roman" w:hAnsi="Times New Roman" w:eastAsia="Times New Roman"/>
          <w:b w:val="0"/>
          <w:bCs w:val="0"/>
          <w:color w:val="000000" w:themeColor="text1"/>
          <w:sz w:val="24"/>
          <w:szCs w:val="24"/>
        </w:rPr>
        <w:t>The general problem is that many U.S. small and medium-sized enterprises (SMEs) suffer avoidable organizational harm during cyber disruptions because they fail to consistently translate IT Disaster Recovery as a Service (ITDRPaaS) capabilities into governed, auditable, and defensible recoverability assurance (Federal Bureau of Investigation, 2024; Verizon, 2025). This inconsistency is particularly pronounced when decision authority is fragmented and oversight is applied inconsistently under pressure (Lowry et al., 2025; Park et al., 2023). Consequently, these disruptions lead to prolonged system downtime, uneven or slow recovery processes, compromised data integrity, and a diminished ability to demonstrate that restoration actions meet acceptable operational and risk thresholds during crisis conditions (Lowry et al., 2025; Park et al., 2023). This issue is most acutely felt by IT and network managers within U.S. SMEs, who bear responsibility for recovery while coordinating across internal teams and external service providers in environments where stakeholder priorities are often in flux (Molete et al., 2025). Furthermore, existing governance arrangements frequently fail to establish clear decision rights, accountability structures, or time-sensitive escalation pathways (Mitchell et al., 1997; Park et al., 2023). Despite increasing scholarship on IT centralization, resilience, and cybersecurity oversight, research remains limited on how U.S. SME IT and network managers operationalize disaster-recovery governance in practice when shifting stakeholder priorities undermine decision rights, escalation pathways, and standards for defensible recoverability assurance (Lowry et al., 2025; Park et al., 2023).</w:t>
      </w:r>
      <w:commentRangeStart w:id="3"/>
      <w:commentRangeStart w:id="4"/>
      <w:r w:rsidRPr="00AC3820">
        <w:rPr>
          <w:b w:val="0"/>
          <w:bCs w:val="0"/>
          <w:color w:val="000000" w:themeColor="text1"/>
          <w:szCs w:val="24"/>
        </w:rPr>
      </w:r>
      <w:commentRangeEnd w:id="3"/>
      <w:r w:rsidR="00595C3E" w:rsidRPr="00AC3820">
        <w:rPr>
          <w:rStyle w:val="CommentReference"/>
          <w:b w:val="0"/>
          <w:bCs w:val="0"/>
          <w:color w:val="000000" w:themeColor="text1"/>
          <w:sz w:val="24"/>
          <w:szCs w:val="24"/>
        </w:rPr>
      </w:r>
      <w:commentRangeEnd w:id="4"/>
      <w:r w:rsidR="00D92E80" w:rsidRPr="00AC3820">
        <w:rPr>
          <w:rStyle w:val="CommentReference"/>
          <w:b w:val="0"/>
          <w:bCs w:val="0"/>
          <w:color w:val="000000" w:themeColor="text1"/>
          <w:sz w:val="24"/>
          <w:szCs w:val="24"/>
        </w:rPr>
      </w:r>
      <w:r w:rsidRPr="00AC3820">
        <w:rPr>
          <w:b w:val="0"/>
          <w:bCs w:val="0"/>
          <w:color w:val="000000" w:themeColor="text1"/>
          <w:szCs w:val="24"/>
        </w:rPr>
      </w:r>
      <w:r w:rsidRPr="00AC3820">
        <w:rPr>
          <w:b w:val="0"/>
          <w:bCs w:val="0"/>
          <w:color w:val="000000" w:themeColor="text1"/>
          <w:szCs w:val="24"/>
        </w:rPr>
      </w:r>
      <w:r w:rsidRPr="00C17561">
        <w:rPr>
          <w:b w:val="0"/>
          <w:bCs w:val="0"/>
          <w:color w:val="000000" w:themeColor="text1"/>
          <w:szCs w:val="24"/>
          <w:highlight w:val="cyan"/>
        </w:rPr>
      </w:r>
      <w:r w:rsidRPr="00AC3820">
        <w:rPr>
          <w:b w:val="0"/>
          <w:bCs w:val="0"/>
          <w:color w:val="000000" w:themeColor="text1"/>
          <w:szCs w:val="24"/>
        </w:rPr>
      </w:r>
      <w:r w:rsidRPr="008C1B5E">
        <w:rPr>
          <w:b w:val="0"/>
          <w:bCs w:val="0"/>
          <w:color w:val="000000" w:themeColor="text1"/>
          <w:szCs w:val="24"/>
          <w:highlight w:val="cyan"/>
        </w:rPr>
      </w:r>
      <w:r w:rsidRPr="00AC3820">
        <w:rPr>
          <w:b w:val="0"/>
          <w:bCs w:val="0"/>
          <w:color w:val="000000" w:themeColor="text1"/>
          <w:szCs w:val="24"/>
        </w:rPr>
      </w:r>
    </w:p>
    <w:p w14:paraId="4521E17A" w14:textId="77777777" w:rsidR="008529C6" w:rsidRPr="00AC3820" w:rsidRDefault="008529C6" w:rsidP="008529C6">
      <w:pPr>
        <w:pStyle w:val="Heading5"/>
        <w:spacing w:line="480" w:lineRule="auto"/>
        <w:ind w:firstLine="720"/>
        <w:rPr>
          <w:b w:val="0"/>
          <w:bCs w:val="0"/>
          <w:color w:val="000000" w:themeColor="text1"/>
          <w:szCs w:val="24"/>
        </w:rPr>
      </w:pPr>
      <w:r w:rsidRPr="00AC3820">
        <w:rPr>
          <w:rFonts w:ascii="Times New Roman" w:hAnsi="Times New Roman" w:eastAsia="Times New Roman"/>
          <w:b w:val="0"/>
          <w:bCs w:val="0"/>
          <w:color w:val="000000" w:themeColor="text1"/>
          <w:sz w:val="24"/>
          <w:szCs w:val="24"/>
        </w:rPr>
        <w:t>The specific problem is that many U.S. SMEs do not proactively establish an operational disaster-recovery capability characterized by clearly defined decision rights, escalation pathways, and evidentiary standards prior to a disruption (Lowry et al., 2025; Park et al., 2023). Instead, recovery efforts are often undertaken reactively, increasing exposure to data-integrity failures, inconsistent restoration actions, and poorly defensible recovery outcomes when urgent decisions bypass established governance controls (Lowry et al., 2025). In SMEs using ITDRPaaS, shifts in stakeholder salience—power, legitimacy, and urgency—can disrupt established priorities during incidents (Mitchell et al., 1997). This disruption may destabilize decision-making authority, complicate escalation, and alter the criteria used to assess adequate proof of recoverability (Donaldson &amp; Preston, 1995; Freeman et al., 2020; Mitchell et al., 1997). Consequently, restoration priorities and thresholds for recovery proof may be renegotiated mid-incident, producing governance inconsistencies, disputes over what qualifies as good-enough recovery, and uneven recovery performance across SME environments (Dorobantu et al., 2024; Lowry et al., 2025).</w:t>
      </w:r>
      <w:r w:rsidRPr="008C1B5E">
        <w:rPr>
          <w:b w:val="0"/>
          <w:bCs w:val="0"/>
          <w:color w:val="000000" w:themeColor="text1"/>
          <w:szCs w:val="24"/>
          <w:highlight w:val="cyan"/>
        </w:rPr>
      </w:r>
      <w:r w:rsidRPr="00AC3820">
        <w:rPr>
          <w:b w:val="0"/>
          <w:bCs w:val="0"/>
          <w:color w:val="000000" w:themeColor="text1"/>
          <w:szCs w:val="24"/>
        </w:rPr>
      </w:r>
      <w:commentRangeStart w:id="5"/>
      <w:commentRangeStart w:id="6"/>
      <w:r w:rsidRPr="00AC3820">
        <w:rPr>
          <w:b w:val="0"/>
          <w:bCs w:val="0"/>
          <w:color w:val="000000" w:themeColor="text1"/>
          <w:szCs w:val="24"/>
        </w:rPr>
      </w:r>
      <w:commentRangeEnd w:id="5"/>
      <w:r w:rsidR="00595C3E" w:rsidRPr="00AC3820">
        <w:rPr>
          <w:rStyle w:val="CommentReference"/>
          <w:b w:val="0"/>
          <w:bCs w:val="0"/>
          <w:color w:val="000000" w:themeColor="text1"/>
          <w:sz w:val="24"/>
          <w:szCs w:val="24"/>
        </w:rPr>
      </w:r>
      <w:commentRangeEnd w:id="6"/>
      <w:r w:rsidR="00D92E80" w:rsidRPr="00AC3820">
        <w:rPr>
          <w:rStyle w:val="CommentReference"/>
          <w:b w:val="0"/>
          <w:bCs w:val="0"/>
          <w:color w:val="000000" w:themeColor="text1"/>
          <w:sz w:val="24"/>
          <w:szCs w:val="24"/>
        </w:rPr>
      </w:r>
      <w:r w:rsidRPr="00AC3820">
        <w:rPr>
          <w:b w:val="0"/>
          <w:bCs w:val="0"/>
          <w:color w:val="000000" w:themeColor="text1"/>
          <w:szCs w:val="24"/>
        </w:rPr>
      </w:r>
      <w:r w:rsidRPr="00AC3820">
        <w:rPr>
          <w:b w:val="0"/>
          <w:bCs w:val="0"/>
          <w:color w:val="000000" w:themeColor="text1"/>
          <w:szCs w:val="24"/>
        </w:rPr>
      </w:r>
      <w:r w:rsidRPr="008C1B5E">
        <w:rPr>
          <w:b w:val="0"/>
          <w:bCs w:val="0"/>
          <w:color w:val="000000" w:themeColor="text1"/>
          <w:szCs w:val="24"/>
          <w:highlight w:val="cyan"/>
        </w:rPr>
      </w:r>
    </w:p>
    <w:p w14:paraId="3FD3DE30" w14:textId="77777777" w:rsidR="00060C75" w:rsidRPr="00AC3820" w:rsidRDefault="00982976" w:rsidP="00215499">
      <w:pPr>
        <w:pStyle w:val="Heading5"/>
        <w:rPr>
          <w:color w:val="000000" w:themeColor="text1"/>
        </w:rPr>
      </w:pPr>
      <w:r w:rsidRPr="00AC3820">
        <w:rPr>
          <w:color w:val="000000" w:themeColor="text1"/>
        </w:rPr>
        <w:t>Gap</w:t>
      </w:r>
    </w:p>
    <w:p w14:paraId="3DFF9B40" w14:textId="77777777" w:rsidR="00215499" w:rsidRPr="00AC3820" w:rsidRDefault="00982976" w:rsidP="00215499">
      <w:pPr>
        <w:pStyle w:val="Body"/>
        <w:rPr>
          <w:i/>
          <w:iCs/>
          <w:color w:val="000000" w:themeColor="text1"/>
        </w:rPr>
      </w:pPr>
      <w:r w:rsidRPr="00AC3820">
        <w:rPr>
          <w:i/>
          <w:iCs/>
          <w:color w:val="000000" w:themeColor="text1"/>
        </w:rPr>
        <w:t xml:space="preserve">Present an analysis of a gap in alignment with the problem and placed within the program. Addresses the broader questions of “who cares” and “why now”. </w:t>
      </w:r>
      <w:r w:rsidR="00215499" w:rsidRPr="00AC3820">
        <w:rPr>
          <w:i/>
          <w:iCs/>
          <w:color w:val="000000" w:themeColor="text1"/>
        </w:rPr>
        <w:t xml:space="preserve">Suggested length 1 paragraph. </w:t>
      </w:r>
    </w:p>
    <w:p w14:paraId="11F3A87D" w14:textId="77777777" w:rsidR="008808E5" w:rsidRPr="00AC3820" w:rsidRDefault="008808E5" w:rsidP="008808E5">
      <w:pPr>
        <w:rPr>
          <w:color w:val="000000" w:themeColor="text1"/>
        </w:rPr>
      </w:pPr>
    </w:p>
    <w:p w14:paraId="4B938CC4" w14:textId="4D3BD1E7" w:rsidR="00064448" w:rsidRPr="00AC3820" w:rsidRDefault="00064448" w:rsidP="00064448">
      <w:pPr>
        <w:spacing w:line="480" w:lineRule="auto"/>
        <w:ind w:firstLine="720"/>
        <w:rPr>
          <w:color w:val="000000" w:themeColor="text1"/>
        </w:rPr>
      </w:pPr>
      <w:r w:rsidRPr="00AC3820">
        <w:rPr>
          <w:rFonts w:ascii="Times New Roman" w:hAnsi="Times New Roman" w:eastAsia="Times New Roman"/>
          <w:color w:val="000000" w:themeColor="text1"/>
          <w:sz w:val="24"/>
        </w:rPr>
        <w:t>Stakeholder theory provides the overarching frame that organizations create and protect value by managing competing stakeholder claims and sustaining legitimacy (Donaldson &amp; Preston, 1995; Freeman et al., 2004). Freeman et al. (2020) update that frame as value-creation stakeholder theory: managers and other actors cooperatively create and trade value, and apparent tensions between stakeholder management and strategic-technical tasks are often differences of narrative rather than mutually exclusive jobs. The literature does not yet explain how that claim-management work is enacted inside SME ITDRPaaS governance when cyber disruption forces time-critical recovery choices (Freeman et al., 2020; Lowry et al., 2025). Within that frame, stakeholder-salience theory specifies the attention mechanism: power, legitimacy, and urgency determine whose claims count during incidents (Mitchell et al., 1997). Research remains limited on how SME IT managers translate those salience shifts into decision rights, escalation pathways, and evidence standards that make recoverability assurance defensible to stakeholders (Lowry et al., 2025; Mitchell et al., 1997). This gap matters to SME IT managers and the stakeholder groups that depend on their services because unclear authority and contested proof can yield inconsistent recovery and disputed restoration legitimacy (Donaldson &amp; Preston, 1995; Lowry et al., 2025). It matters now because stakeholder evaluations and legitimacy judgments move rapidly in contemporary information environments (Dorobantu et al., 2024). This study therefore addresses a program-aligned Information Technology Management gap by examining how stakeholder-claim management and salience shifts are described and enacted in SME ITDRPaaS governance, clarifying how decision-right alignment can support defensible recoverability assurance rather than ad hoc restoration practice (Freeman et al., 2020; Mitchell et al., 1997).</w:t>
      </w:r>
      <w:r w:rsidRPr="008C1B5E">
        <w:rPr>
          <w:color w:val="000000" w:themeColor="text1"/>
          <w:highlight w:val="cyan"/>
        </w:rPr>
      </w:r>
      <w:r w:rsidRPr="00AC3820">
        <w:rPr>
          <w:color w:val="000000" w:themeColor="text1"/>
        </w:rPr>
      </w:r>
      <w:r w:rsidRPr="00AA13BF">
        <w:rPr>
          <w:color w:val="000000" w:themeColor="text1"/>
          <w:highlight w:val="cyan"/>
        </w:rPr>
      </w:r>
      <w:r w:rsidRPr="00AC3820">
        <w:rPr>
          <w:color w:val="000000" w:themeColor="text1"/>
        </w:rPr>
      </w:r>
      <w:r w:rsidRPr="00AC3820">
        <w:rPr>
          <w:color w:val="000000" w:themeColor="text1"/>
        </w:rPr>
      </w:r>
      <w:r w:rsidR="00270594" w:rsidRPr="00AC3820">
        <w:rPr>
          <w:color w:val="000000" w:themeColor="text1"/>
        </w:rPr>
      </w:r>
      <w:commentRangeStart w:id="7"/>
      <w:commentRangeStart w:id="8"/>
      <w:r w:rsidRPr="00AC3820">
        <w:rPr>
          <w:color w:val="000000" w:themeColor="text1"/>
        </w:rPr>
      </w:r>
      <w:commentRangeEnd w:id="7"/>
      <w:r w:rsidR="00570A44" w:rsidRPr="00AC3820">
        <w:rPr>
          <w:rStyle w:val="CommentReference"/>
          <w:color w:val="000000" w:themeColor="text1"/>
          <w:sz w:val="24"/>
          <w:szCs w:val="24"/>
        </w:rPr>
      </w:r>
      <w:commentRangeEnd w:id="8"/>
      <w:r w:rsidR="00E320E4" w:rsidRPr="00AC3820">
        <w:rPr>
          <w:rStyle w:val="CommentReference"/>
          <w:color w:val="000000" w:themeColor="text1"/>
          <w:sz w:val="24"/>
          <w:szCs w:val="24"/>
        </w:rPr>
      </w:r>
      <w:r w:rsidRPr="00AC3820">
        <w:rPr>
          <w:color w:val="000000" w:themeColor="text1"/>
        </w:rPr>
      </w:r>
      <w:r w:rsidRPr="00AA13BF">
        <w:rPr>
          <w:color w:val="000000" w:themeColor="text1"/>
          <w:highlight w:val="cyan"/>
        </w:rPr>
      </w:r>
      <w:r w:rsidRPr="00AC3820">
        <w:rPr>
          <w:color w:val="000000" w:themeColor="text1"/>
        </w:rPr>
      </w:r>
    </w:p>
    <w:p w14:paraId="768C0E5F" w14:textId="77777777" w:rsidR="00145206" w:rsidRPr="00AC3820" w:rsidRDefault="00145206" w:rsidP="00145206">
      <w:pPr>
        <w:pStyle w:val="Heading2"/>
        <w:rPr>
          <w:color w:val="000000" w:themeColor="text1"/>
        </w:rPr>
      </w:pPr>
      <w:r w:rsidRPr="00AC3820">
        <w:rPr>
          <w:color w:val="000000" w:themeColor="text1"/>
        </w:rPr>
        <w:t>Supporting Evidence</w:t>
      </w:r>
    </w:p>
    <w:p w14:paraId="7610442D" w14:textId="77777777" w:rsidR="00064448" w:rsidRPr="00AC3820" w:rsidRDefault="00145206" w:rsidP="00064448">
      <w:pPr>
        <w:pStyle w:val="Body"/>
        <w:shd w:val="clear" w:color="auto" w:fill="E7E6E6"/>
        <w:rPr>
          <w:color w:val="000000" w:themeColor="text1"/>
        </w:rPr>
      </w:pPr>
      <w:r w:rsidRPr="00AC3820">
        <w:rPr>
          <w:i/>
          <w:iCs/>
          <w:color w:val="000000" w:themeColor="text1"/>
        </w:rPr>
        <w:t xml:space="preserve">Literature review addresses previous relevant </w:t>
      </w:r>
      <w:r w:rsidR="00B64032" w:rsidRPr="00AC3820">
        <w:rPr>
          <w:i/>
          <w:iCs/>
          <w:color w:val="000000" w:themeColor="text1"/>
        </w:rPr>
        <w:t xml:space="preserve">projects </w:t>
      </w:r>
      <w:r w:rsidRPr="00AC3820">
        <w:rPr>
          <w:i/>
          <w:iCs/>
          <w:color w:val="000000" w:themeColor="text1"/>
        </w:rPr>
        <w:t xml:space="preserve">and articulates theoretical </w:t>
      </w:r>
      <w:r w:rsidR="00E56BF8" w:rsidRPr="00AC3820">
        <w:rPr>
          <w:i/>
          <w:iCs/>
          <w:color w:val="000000" w:themeColor="text1"/>
        </w:rPr>
        <w:t>(</w:t>
      </w:r>
      <w:r w:rsidRPr="00AC3820">
        <w:rPr>
          <w:i/>
          <w:iCs/>
          <w:color w:val="000000" w:themeColor="text1"/>
        </w:rPr>
        <w:t>practice</w:t>
      </w:r>
      <w:r w:rsidR="00E56BF8" w:rsidRPr="00AC3820">
        <w:rPr>
          <w:i/>
          <w:iCs/>
          <w:color w:val="000000" w:themeColor="text1"/>
        </w:rPr>
        <w:t>)</w:t>
      </w:r>
      <w:r w:rsidRPr="00AC3820">
        <w:rPr>
          <w:i/>
          <w:iCs/>
          <w:color w:val="000000" w:themeColor="text1"/>
        </w:rPr>
        <w:t xml:space="preserve"> orientation. </w:t>
      </w:r>
      <w:r w:rsidRPr="00AC3820">
        <w:rPr>
          <w:color w:val="000000" w:themeColor="text1"/>
        </w:rPr>
        <w:t xml:space="preserve"> </w:t>
      </w:r>
    </w:p>
    <w:p w14:paraId="69146150" w14:textId="77777777" w:rsidR="008808E5" w:rsidRPr="00AC3820" w:rsidRDefault="00145206" w:rsidP="003B1FA2">
      <w:pPr>
        <w:pStyle w:val="Heading5"/>
        <w:rPr>
          <w:color w:val="000000" w:themeColor="text1"/>
        </w:rPr>
      </w:pPr>
      <w:r w:rsidRPr="00AC3820">
        <w:rPr>
          <w:color w:val="000000" w:themeColor="text1"/>
        </w:rPr>
        <w:t>Primary Orientation</w:t>
      </w:r>
    </w:p>
    <w:p w14:paraId="4DE63AB7" w14:textId="77777777" w:rsidR="003B1FA2" w:rsidRPr="00AC3820" w:rsidRDefault="00145206" w:rsidP="003B1FA2">
      <w:pPr>
        <w:pStyle w:val="Body"/>
        <w:rPr>
          <w:i/>
          <w:iCs/>
          <w:color w:val="000000" w:themeColor="text1"/>
        </w:rPr>
      </w:pPr>
      <w:r w:rsidRPr="00AC3820">
        <w:rPr>
          <w:i/>
          <w:iCs/>
          <w:color w:val="000000" w:themeColor="text1"/>
        </w:rPr>
        <w:t xml:space="preserve">Provide an introduction to the review of scholarly literature, an argument for conducting the review, and a primary theoretical </w:t>
      </w:r>
      <w:r w:rsidR="00E56BF8" w:rsidRPr="00AC3820">
        <w:rPr>
          <w:i/>
          <w:iCs/>
          <w:color w:val="000000" w:themeColor="text1"/>
        </w:rPr>
        <w:t>(</w:t>
      </w:r>
      <w:r w:rsidRPr="00AC3820">
        <w:rPr>
          <w:i/>
          <w:iCs/>
          <w:color w:val="000000" w:themeColor="text1"/>
        </w:rPr>
        <w:t>and practice</w:t>
      </w:r>
      <w:r w:rsidR="00E56BF8" w:rsidRPr="00AC3820">
        <w:rPr>
          <w:i/>
          <w:iCs/>
          <w:color w:val="000000" w:themeColor="text1"/>
        </w:rPr>
        <w:t>)</w:t>
      </w:r>
      <w:r w:rsidRPr="00AC3820">
        <w:rPr>
          <w:i/>
          <w:iCs/>
          <w:color w:val="000000" w:themeColor="text1"/>
        </w:rPr>
        <w:t xml:space="preserve"> orientation. </w:t>
      </w:r>
      <w:r w:rsidR="003B1FA2" w:rsidRPr="00AC3820">
        <w:rPr>
          <w:i/>
          <w:iCs/>
          <w:color w:val="000000" w:themeColor="text1"/>
        </w:rPr>
        <w:t xml:space="preserve">Suggested length </w:t>
      </w:r>
      <w:r w:rsidR="00F262B1" w:rsidRPr="00AC3820">
        <w:rPr>
          <w:i/>
          <w:iCs/>
          <w:color w:val="000000" w:themeColor="text1"/>
        </w:rPr>
        <w:t>1-2</w:t>
      </w:r>
      <w:r w:rsidR="003B1FA2" w:rsidRPr="00AC3820">
        <w:rPr>
          <w:i/>
          <w:iCs/>
          <w:color w:val="000000" w:themeColor="text1"/>
        </w:rPr>
        <w:t xml:space="preserve"> paragraphs. </w:t>
      </w:r>
    </w:p>
    <w:p w14:paraId="1467539A" w14:textId="77777777" w:rsidR="00064448" w:rsidRPr="00AC3820" w:rsidRDefault="00064448" w:rsidP="003B1FA2">
      <w:pPr>
        <w:pStyle w:val="Body"/>
        <w:rPr>
          <w:i/>
          <w:iCs/>
          <w:color w:val="000000" w:themeColor="text1"/>
        </w:rPr>
      </w:pPr>
    </w:p>
    <w:p w14:paraId="5AFEFB9B" w14:textId="3CDB0E9B" w:rsidR="00064448" w:rsidRPr="00AC3820" w:rsidRDefault="00064448" w:rsidP="00064448">
      <w:pPr>
        <w:spacing w:line="480" w:lineRule="auto"/>
        <w:ind w:firstLine="720"/>
        <w:rPr>
          <w:color w:val="000000" w:themeColor="text1"/>
        </w:rPr>
      </w:pPr>
      <w:r w:rsidRPr="00AC3820">
        <w:rPr>
          <w:rFonts w:ascii="Times New Roman" w:hAnsi="Times New Roman" w:eastAsia="Times New Roman"/>
          <w:color w:val="000000" w:themeColor="text1"/>
          <w:sz w:val="24"/>
        </w:rPr>
        <w:t>This study is primarily oriented to stakeholder-salience theory as developed by Mitchell et al. (1997) and situated within broader stakeholder scholarship (Donaldson &amp; Preston, 1995; Freeman et al., 2004, 2020). Value-creation stakeholder theory states why competing claims matter: recovery is cooperative value creation and trade among interdependent parties, not a single-objective technical restore (Freeman et al., 2020). Stakeholder-salience theory then explains that organizational actors prioritize those claims based on managerial judgments of perceived power, legitimacy, and urgency (Mitchell et al., 1997; Dorobantu et al., 2024). In SME ITDRPaaS environments this lens is relevant because disruption compresses time and intensifies conflict over priorities, authority, and acceptable proof of recovery (Lowry et al., 2025). The literature review is warranted because current scholarship does not specify how SME IT managers operationalize salience judgments into executable recovery governance during named incidents—who is authorized to decide, when escalation occurs, and what evidence is accepted as sufficient proof of recoverability (Freeman et al., 2020; Lowry et al., 2025). Accordingly, the study uses generic qualitative inquiry to analyze IT-manager accounts of stakeholder interactions, decision points, escalation episodes, and evidence-definition practices (Caelli et al., 2003; Kahlke, 2014).</w:t>
      </w:r>
      <w:r w:rsidRPr="008C1B5E">
        <w:rPr>
          <w:color w:val="000000" w:themeColor="text1"/>
          <w:highlight w:val="cyan"/>
        </w:rPr>
      </w:r>
      <w:r w:rsidRPr="00AC3820">
        <w:rPr>
          <w:color w:val="000000" w:themeColor="text1"/>
        </w:rPr>
      </w:r>
      <w:r w:rsidRPr="00AA13BF">
        <w:rPr>
          <w:color w:val="000000" w:themeColor="text1"/>
          <w:highlight w:val="cyan"/>
        </w:rPr>
      </w:r>
      <w:r w:rsidRPr="00AC3820">
        <w:rPr>
          <w:color w:val="000000" w:themeColor="text1"/>
        </w:rPr>
      </w:r>
      <w:r w:rsidRPr="008C1B5E">
        <w:rPr>
          <w:color w:val="000000" w:themeColor="text1"/>
          <w:highlight w:val="cyan"/>
        </w:rPr>
      </w:r>
      <w:r w:rsidRPr="00AC3820">
        <w:rPr>
          <w:color w:val="000000" w:themeColor="text1"/>
        </w:rPr>
      </w:r>
      <w:r w:rsidRPr="008C1B5E">
        <w:rPr>
          <w:color w:val="000000" w:themeColor="text1"/>
          <w:highlight w:val="cyan"/>
        </w:rPr>
      </w:r>
      <w:r w:rsidRPr="00AC3820">
        <w:rPr>
          <w:color w:val="000000" w:themeColor="text1"/>
        </w:rPr>
      </w:r>
      <w:r w:rsidRPr="00AC3820">
        <w:rPr>
          <w:color w:val="000000" w:themeColor="text1"/>
        </w:rPr>
      </w:r>
    </w:p>
    <w:p w14:paraId="03076026" w14:textId="77777777" w:rsidR="00C92BAE" w:rsidRPr="00AC3820" w:rsidRDefault="00145206" w:rsidP="003B1FA2">
      <w:pPr>
        <w:pStyle w:val="Heading5"/>
        <w:rPr>
          <w:color w:val="000000" w:themeColor="text1"/>
        </w:rPr>
      </w:pPr>
      <w:r w:rsidRPr="00AC3820">
        <w:rPr>
          <w:color w:val="000000" w:themeColor="text1"/>
        </w:rPr>
        <w:t>Efforts to Address the Problem</w:t>
      </w:r>
    </w:p>
    <w:p w14:paraId="4D00486D" w14:textId="77777777" w:rsidR="003B1FA2" w:rsidRPr="00AC3820" w:rsidRDefault="00145206" w:rsidP="003B1FA2">
      <w:pPr>
        <w:pStyle w:val="Body"/>
        <w:rPr>
          <w:i/>
          <w:iCs/>
          <w:color w:val="000000" w:themeColor="text1"/>
        </w:rPr>
      </w:pPr>
      <w:r w:rsidRPr="00AC3820">
        <w:rPr>
          <w:i/>
          <w:iCs/>
          <w:color w:val="000000" w:themeColor="text1"/>
        </w:rPr>
        <w:t xml:space="preserve">Provide a synthesized review of the scholarly literature to expose, explain, and analyze previous scholarly efforts to address the problem. </w:t>
      </w:r>
      <w:r w:rsidR="003B1FA2" w:rsidRPr="00AC3820">
        <w:rPr>
          <w:i/>
          <w:iCs/>
          <w:color w:val="000000" w:themeColor="text1"/>
        </w:rPr>
        <w:t xml:space="preserve">Suggested length </w:t>
      </w:r>
      <w:r w:rsidR="00F262B1" w:rsidRPr="00AC3820">
        <w:rPr>
          <w:i/>
          <w:iCs/>
          <w:color w:val="000000" w:themeColor="text1"/>
        </w:rPr>
        <w:t>1-2</w:t>
      </w:r>
      <w:r w:rsidR="003B1FA2" w:rsidRPr="00AC3820">
        <w:rPr>
          <w:i/>
          <w:iCs/>
          <w:color w:val="000000" w:themeColor="text1"/>
        </w:rPr>
        <w:t xml:space="preserve"> paragraphs.</w:t>
      </w:r>
    </w:p>
    <w:p w14:paraId="1EE76767" w14:textId="77777777" w:rsidR="003B1FA2" w:rsidRPr="00AC3820" w:rsidRDefault="003B1FA2" w:rsidP="003B1FA2">
      <w:pPr>
        <w:pStyle w:val="Body"/>
        <w:rPr>
          <w:i/>
          <w:iCs/>
          <w:color w:val="000000" w:themeColor="text1"/>
        </w:rPr>
      </w:pPr>
      <w:r w:rsidRPr="00AC3820">
        <w:rPr>
          <w:i/>
          <w:iCs/>
          <w:color w:val="000000" w:themeColor="text1"/>
        </w:rPr>
        <w:t xml:space="preserve"> </w:t>
      </w:r>
    </w:p>
    <w:p w14:paraId="2E7690D1" w14:textId="77777777" w:rsidR="00064448" w:rsidRPr="00AC3820" w:rsidRDefault="00064448" w:rsidP="003B1FA2">
      <w:pPr>
        <w:pStyle w:val="Body"/>
        <w:rPr>
          <w:rFonts w:cs="Times New Roman"/>
          <w:color w:val="000000" w:themeColor="text1"/>
          <w:sz w:val="24"/>
          <w:szCs w:val="21"/>
        </w:rPr>
      </w:pPr>
    </w:p>
    <w:p w14:paraId="159E76D3" w14:textId="17B03046" w:rsidR="00064448" w:rsidRPr="00AC3820" w:rsidRDefault="00064448" w:rsidP="00064448">
      <w:pPr>
        <w:pStyle w:val="Body"/>
        <w:spacing w:line="480" w:lineRule="auto"/>
        <w:ind w:firstLine="720"/>
        <w:rPr>
          <w:rFonts w:cs="Times New Roman"/>
          <w:i/>
          <w:iCs/>
          <w:color w:val="000000" w:themeColor="text1"/>
          <w:sz w:val="24"/>
          <w:szCs w:val="24"/>
        </w:rPr>
      </w:pPr>
      <w:r w:rsidRPr="004B3856">
        <w:rPr>
          <w:rFonts w:cs="Times New Roman" w:ascii="Times New Roman" w:hAnsi="Times New Roman" w:eastAsia="Times New Roman"/>
          <w:color w:val="000000" w:themeColor="text1"/>
          <w:sz w:val="24"/>
          <w:szCs w:val="24"/>
          <w:highlight w:val="cyan"/>
        </w:rPr>
        <w:t>Prior studies examined SME IT and network managers’ accounts of recovery governance through stakeholder-salience theory (Mitchell et al., 1997). Stakeholder-salience research shows that organizational actors prioritize claims based on perceived power, legitimacy, and urgency, which shapes which claims receive attention and which recovery actions are authorized in time-sensitive decisions (Mitchell et al., 1997). In SME ITDRPaaS environments, that lens is appropriate because disruption compresses decision time and intensifies conflict over priorities, authority, and acceptable proof of recovery (Lowry et al., 2025; Park et al., 2023). The present study focuses on how SME IT and network managers describe and operationalize those judgments during real incidents: which roles are authorized to decide, when escalation is triggered, and what evidence is accepted as sufficient proof of recoverability. Generic qualitative interviews will collect those named-event accounts rather than vendor, executive-only, or compliance-checklist views (Caelli et al., 2003; Kahlke, 2014).</w:t>
      </w:r>
      <w:r w:rsidRPr="00AC3820">
        <w:rPr>
          <w:rFonts w:cs="Times New Roman"/>
          <w:color w:val="000000" w:themeColor="text1"/>
          <w:sz w:val="24"/>
          <w:szCs w:val="24"/>
        </w:rPr>
      </w:r>
      <w:r w:rsidR="004B3856">
        <w:rPr>
          <w:rFonts w:cs="Times New Roman"/>
          <w:color w:val="000000" w:themeColor="text1"/>
          <w:sz w:val="24"/>
          <w:szCs w:val="24"/>
        </w:rPr>
      </w:r>
      <w:r w:rsidRPr="00AC3820">
        <w:rPr>
          <w:rFonts w:cs="Times New Roman"/>
          <w:color w:val="000000" w:themeColor="text1"/>
          <w:sz w:val="24"/>
          <w:szCs w:val="24"/>
        </w:rPr>
      </w:r>
      <w:r w:rsidRPr="008C1B5E">
        <w:rPr>
          <w:rFonts w:cs="Times New Roman"/>
          <w:color w:val="000000" w:themeColor="text1"/>
          <w:sz w:val="24"/>
          <w:szCs w:val="24"/>
          <w:highlight w:val="cyan"/>
        </w:rPr>
      </w:r>
      <w:r w:rsidRPr="00AC3820">
        <w:rPr>
          <w:rFonts w:cs="Times New Roman"/>
          <w:color w:val="000000" w:themeColor="text1"/>
          <w:sz w:val="24"/>
          <w:szCs w:val="24"/>
        </w:rPr>
      </w:r>
      <w:r w:rsidRPr="00AC3820">
        <w:rPr>
          <w:rFonts w:cs="Times New Roman"/>
          <w:color w:val="000000" w:themeColor="text1"/>
          <w:sz w:val="24"/>
          <w:szCs w:val="24"/>
        </w:rPr>
      </w:r>
      <w:r w:rsidRPr="004B3856">
        <w:rPr>
          <w:rFonts w:cs="Times New Roman"/>
          <w:color w:val="000000" w:themeColor="text1"/>
          <w:sz w:val="24"/>
          <w:szCs w:val="24"/>
          <w:highlight w:val="cyan"/>
        </w:rPr>
      </w:r>
      <w:r w:rsidRPr="00AC3820">
        <w:rPr>
          <w:rFonts w:cs="Times New Roman"/>
          <w:color w:val="000000" w:themeColor="text1"/>
          <w:sz w:val="24"/>
          <w:szCs w:val="24"/>
        </w:rPr>
      </w:r>
      <w:r w:rsidRPr="00AC3820">
        <w:rPr>
          <w:rFonts w:cs="Times New Roman"/>
          <w:b/>
          <w:bCs/>
          <w:color w:val="000000" w:themeColor="text1"/>
          <w:sz w:val="24"/>
          <w:szCs w:val="24"/>
        </w:rPr>
      </w:r>
      <w:r w:rsidR="00C9264C" w:rsidRPr="00AC3820">
        <w:rPr>
          <w:rStyle w:val="Strong"/>
          <w:rFonts w:cs="Times New Roman"/>
          <w:b w:val="0"/>
          <w:bCs w:val="0"/>
          <w:color w:val="000000" w:themeColor="text1"/>
          <w:sz w:val="24"/>
          <w:szCs w:val="24"/>
        </w:rPr>
      </w:r>
      <w:r w:rsidR="00270594" w:rsidRPr="00AC3820">
        <w:rPr>
          <w:rStyle w:val="Strong"/>
          <w:rFonts w:cs="Times New Roman"/>
          <w:b w:val="0"/>
          <w:bCs w:val="0"/>
          <w:color w:val="000000" w:themeColor="text1"/>
          <w:sz w:val="24"/>
          <w:szCs w:val="24"/>
        </w:rPr>
      </w:r>
      <w:r w:rsidR="00C9264C" w:rsidRPr="00AC3820">
        <w:rPr>
          <w:rStyle w:val="Strong"/>
          <w:rFonts w:cs="Times New Roman"/>
          <w:b w:val="0"/>
          <w:bCs w:val="0"/>
          <w:color w:val="000000" w:themeColor="text1"/>
          <w:sz w:val="24"/>
          <w:szCs w:val="24"/>
        </w:rPr>
      </w:r>
      <w:r w:rsidRPr="00AC3820">
        <w:rPr>
          <w:rFonts w:cs="Times New Roman"/>
          <w:color w:val="000000" w:themeColor="text1"/>
          <w:sz w:val="24"/>
          <w:szCs w:val="24"/>
        </w:rPr>
      </w:r>
      <w:r w:rsidRPr="008C1B5E">
        <w:rPr>
          <w:rFonts w:cs="Times New Roman"/>
          <w:color w:val="000000" w:themeColor="text1"/>
          <w:sz w:val="24"/>
          <w:szCs w:val="24"/>
          <w:highlight w:val="cyan"/>
        </w:rPr>
      </w:r>
      <w:r w:rsidRPr="00AC3820">
        <w:rPr>
          <w:rFonts w:cs="Times New Roman"/>
          <w:color w:val="000000" w:themeColor="text1"/>
          <w:sz w:val="24"/>
          <w:szCs w:val="24"/>
        </w:rPr>
      </w:r>
    </w:p>
    <w:p w14:paraId="7B412868" w14:textId="77777777" w:rsidR="00145206" w:rsidRPr="00AC3820" w:rsidRDefault="00145206" w:rsidP="003B1FA2">
      <w:pPr>
        <w:pStyle w:val="Heading5"/>
        <w:rPr>
          <w:color w:val="000000" w:themeColor="text1"/>
        </w:rPr>
      </w:pPr>
      <w:r w:rsidRPr="00AC3820">
        <w:rPr>
          <w:color w:val="000000" w:themeColor="text1"/>
        </w:rPr>
        <w:t>Synthesis of the Evidence</w:t>
      </w:r>
    </w:p>
    <w:p w14:paraId="0DB820FC" w14:textId="77777777" w:rsidR="003B1FA2" w:rsidRPr="00AC3820" w:rsidRDefault="00145206" w:rsidP="003B1FA2">
      <w:pPr>
        <w:pStyle w:val="Body"/>
        <w:rPr>
          <w:i/>
          <w:iCs/>
          <w:color w:val="000000" w:themeColor="text1"/>
        </w:rPr>
      </w:pPr>
      <w:r w:rsidRPr="00AC3820">
        <w:rPr>
          <w:i/>
          <w:iCs/>
          <w:color w:val="000000" w:themeColor="text1"/>
        </w:rPr>
        <w:t>Provide a logically organized and synthesize</w:t>
      </w:r>
      <w:r w:rsidR="00E43461" w:rsidRPr="00AC3820">
        <w:rPr>
          <w:i/>
          <w:iCs/>
          <w:color w:val="000000" w:themeColor="text1"/>
        </w:rPr>
        <w:t>d</w:t>
      </w:r>
      <w:r w:rsidRPr="00AC3820">
        <w:rPr>
          <w:i/>
          <w:iCs/>
          <w:color w:val="000000" w:themeColor="text1"/>
        </w:rPr>
        <w:t xml:space="preserve"> review and analysis of the literature in close alignment with the topic, problem, and gap. </w:t>
      </w:r>
      <w:r w:rsidR="003B1FA2" w:rsidRPr="00AC3820">
        <w:rPr>
          <w:i/>
          <w:iCs/>
          <w:color w:val="000000" w:themeColor="text1"/>
        </w:rPr>
        <w:t xml:space="preserve">Suggested length </w:t>
      </w:r>
      <w:r w:rsidR="00F262B1" w:rsidRPr="00AC3820">
        <w:rPr>
          <w:i/>
          <w:iCs/>
          <w:color w:val="000000" w:themeColor="text1"/>
        </w:rPr>
        <w:t>1-2</w:t>
      </w:r>
      <w:r w:rsidR="003B1FA2" w:rsidRPr="00AC3820">
        <w:rPr>
          <w:i/>
          <w:iCs/>
          <w:color w:val="000000" w:themeColor="text1"/>
        </w:rPr>
        <w:t xml:space="preserve"> paragraphs.</w:t>
      </w:r>
    </w:p>
    <w:p w14:paraId="6BD6191E" w14:textId="77777777" w:rsidR="002B52AA" w:rsidRPr="00AC3820" w:rsidRDefault="002B52AA" w:rsidP="003B1FA2">
      <w:pPr>
        <w:pStyle w:val="Body"/>
        <w:rPr>
          <w:i/>
          <w:iCs/>
          <w:color w:val="000000" w:themeColor="text1"/>
        </w:rPr>
      </w:pPr>
    </w:p>
    <w:p w14:paraId="0F8E8F3C" w14:textId="77777777" w:rsidR="002B52AA" w:rsidRPr="00AC3820" w:rsidRDefault="002B52AA" w:rsidP="002B52AA">
      <w:pPr>
        <w:spacing w:line="480" w:lineRule="auto"/>
        <w:ind w:firstLine="720"/>
        <w:rPr>
          <w:color w:val="000000" w:themeColor="text1"/>
          <w:szCs w:val="28"/>
        </w:rPr>
      </w:pPr>
      <w:r w:rsidRPr="00AC3820">
        <w:rPr>
          <w:rFonts w:ascii="Times New Roman" w:hAnsi="Times New Roman" w:eastAsia="Times New Roman"/>
          <w:b w:val="0"/>
          <w:color w:val="000000" w:themeColor="text1"/>
          <w:sz w:val="24"/>
          <w:szCs w:val="28"/>
        </w:rPr>
        <w:t xml:space="preserve">The cumulative evidence across stakeholder-salience theory and U.S.-based IT governance and cybersecurity oversight research converges on a consistent insight: recovery stability is less a function of technical tooling and more a function of how authority is structured and enacted under pressure. Stakeholder-salience theory explains how power, legitimacy, and urgency dynamically reorder decision priorities during disruption, shaping whose claims define “what matters now” and which tradeoffs become acceptable (Mitchell et al., 1997). Governance findings likewise indicate that decision allocation and coordination capacity influence crisis performance, such that clearer authority structures are associated with more stable outcomes during disruption response (Park et al., 2023). Oversight research further suggests that fragile supervision and limited expertise can degrade governance quality and amplify inconsistency in operational execution when urgency escalates (Lowry et al., 2025).  </w:t>
      </w:r>
    </w:p>
    <w:p w14:paraId="6B19A385" w14:textId="77777777" w:rsidR="002B52AA" w:rsidRPr="00AC3820" w:rsidRDefault="002B52AA" w:rsidP="002B52AA">
      <w:pPr>
        <w:spacing w:line="480" w:lineRule="auto"/>
        <w:ind w:firstLine="720"/>
        <w:rPr>
          <w:color w:val="000000" w:themeColor="text1"/>
          <w:szCs w:val="28"/>
        </w:rPr>
      </w:pPr>
    </w:p>
    <w:p w14:paraId="51A32465" w14:textId="77777777" w:rsidR="002B52AA" w:rsidRPr="00AC3820" w:rsidRDefault="002B52AA" w:rsidP="002B52AA">
      <w:pPr>
        <w:spacing w:line="480" w:lineRule="auto"/>
        <w:ind w:firstLine="720"/>
        <w:rPr>
          <w:color w:val="000000" w:themeColor="text1"/>
          <w:szCs w:val="28"/>
        </w:rPr>
      </w:pPr>
    </w:p>
    <w:p w14:paraId="7AB812ED" w14:textId="1A6B8DE3" w:rsidR="002B52AA" w:rsidRPr="00AC3820" w:rsidRDefault="002B52AA" w:rsidP="002B52AA">
      <w:pPr>
        <w:spacing w:line="480" w:lineRule="auto"/>
        <w:ind w:firstLine="720"/>
        <w:rPr>
          <w:color w:val="000000" w:themeColor="text1"/>
        </w:rPr>
      </w:pPr>
      <w:r w:rsidRPr="00AC3820">
        <w:rPr>
          <w:rFonts w:ascii="Times New Roman" w:hAnsi="Times New Roman" w:eastAsia="Times New Roman"/>
          <w:b w:val="0"/>
          <w:color w:val="000000" w:themeColor="text1"/>
          <w:sz w:val="24"/>
          <w:szCs w:val="28"/>
        </w:rPr>
        <w:t>When synthesized, these streams still leave a critical interpretive gap central to Stakeholder-Salience Governance of ITDRPaaS in SMEs: they do not fully explain how SME IT/network managers experience salience shifts and translate them into the governance-to-assurance chain—decision rights, escalation pathways, and defensible evidence standards, that are needed to produce and defend recoverability assurance in ITDRPaaS settings (Lowry et al., 2025; Park et al., 2023). In this context, IT strategy is treated as articulated continuity intent (risk tolerance, critical-service priorities, and acceptable downtime), and the gap concerns how IT/network managers translate that intent into decision-rights governance—who decides, when escalation occurs, and what evidence is required, under salience pressure (Lowry et al., 2025; Mitchell et al., 1997). In practice, salience contests shape which integrity risks are tolerated and what counts as “proof” under time pressure, yet the literature under-specifies the network-management-level negotiation where accountability is most acute and authority often remains ambiguous (Lowry et al., 2025). Accordingly, a generic qualitative inquiry is warranted to examine how SME IT/network managers perceive, interpret, and operationalize salience-driven judgments through decision rights, escalation pathways, and evidence practices that contribute to consistent and defensible recoverability assurance in ITDRPaaS environments (Caelli et al., 2003; Kahlke, 2014; Lowry et al., 2025).</w:t>
      </w:r>
      <w:r w:rsidRPr="008C1B5E">
        <w:rPr>
          <w:color w:val="000000" w:themeColor="text1"/>
          <w:szCs w:val="28"/>
          <w:highlight w:val="cyan"/>
        </w:rPr>
      </w:r>
      <w:r w:rsidRPr="00AC3820">
        <w:rPr>
          <w:color w:val="000000" w:themeColor="text1"/>
          <w:szCs w:val="28"/>
        </w:rPr>
      </w:r>
      <w:r w:rsidRPr="008C1B5E">
        <w:rPr>
          <w:color w:val="000000" w:themeColor="text1"/>
          <w:szCs w:val="28"/>
          <w:highlight w:val="cyan"/>
        </w:rPr>
      </w:r>
      <w:r w:rsidRPr="00AC3820">
        <w:rPr>
          <w:color w:val="000000" w:themeColor="text1"/>
          <w:szCs w:val="28"/>
        </w:rPr>
      </w:r>
      <w:r w:rsidRPr="00AC3820">
        <w:rPr>
          <w:color w:val="000000" w:themeColor="text1"/>
        </w:rPr>
      </w:r>
      <w:r w:rsidR="0019525A" w:rsidRPr="00AC3820">
        <w:rPr>
          <w:color w:val="000000" w:themeColor="text1"/>
        </w:rPr>
      </w:r>
    </w:p>
    <w:p w14:paraId="02BAFEF2" w14:textId="77777777" w:rsidR="00145206" w:rsidRPr="00AC3820" w:rsidRDefault="00DC3916" w:rsidP="00E56BF8">
      <w:pPr>
        <w:pStyle w:val="Heading2"/>
        <w:rPr>
          <w:color w:val="000000" w:themeColor="text1"/>
        </w:rPr>
      </w:pPr>
      <w:r w:rsidRPr="00AC3820">
        <w:rPr>
          <w:color w:val="000000" w:themeColor="text1"/>
        </w:rPr>
        <w:t xml:space="preserve">Purpose of the Project and </w:t>
      </w:r>
      <w:r w:rsidR="003B1FA2" w:rsidRPr="00AC3820">
        <w:rPr>
          <w:color w:val="000000" w:themeColor="text1"/>
        </w:rPr>
        <w:t>Project Questions</w:t>
      </w:r>
    </w:p>
    <w:p w14:paraId="5AD32C28" w14:textId="77777777" w:rsidR="003B1FA2" w:rsidRPr="00AC3820" w:rsidRDefault="00DC3916" w:rsidP="00891FB6">
      <w:pPr>
        <w:pStyle w:val="Body"/>
        <w:shd w:val="clear" w:color="auto" w:fill="E7E6E6"/>
        <w:rPr>
          <w:i/>
          <w:iCs/>
          <w:color w:val="000000" w:themeColor="text1"/>
        </w:rPr>
      </w:pPr>
      <w:r w:rsidRPr="00AC3820">
        <w:rPr>
          <w:i/>
          <w:iCs/>
          <w:color w:val="000000" w:themeColor="text1"/>
        </w:rPr>
        <w:t>Purpose and q</w:t>
      </w:r>
      <w:r w:rsidR="003B1FA2" w:rsidRPr="00AC3820">
        <w:rPr>
          <w:i/>
          <w:iCs/>
          <w:color w:val="000000" w:themeColor="text1"/>
        </w:rPr>
        <w:t>uestions align with topic, problem, and supporting evidence, including definition of terms.</w:t>
      </w:r>
    </w:p>
    <w:p w14:paraId="7251D4BF" w14:textId="77777777" w:rsidR="003B1FA2" w:rsidRPr="00AC3820" w:rsidRDefault="003B1FA2" w:rsidP="003B1FA2">
      <w:pPr>
        <w:pStyle w:val="Body"/>
        <w:rPr>
          <w:i/>
          <w:iCs/>
          <w:color w:val="000000" w:themeColor="text1"/>
        </w:rPr>
      </w:pPr>
    </w:p>
    <w:p w14:paraId="485B888A" w14:textId="77777777" w:rsidR="00DC3916" w:rsidRPr="00AC3820" w:rsidRDefault="00DC3916" w:rsidP="00DC3916">
      <w:pPr>
        <w:pStyle w:val="Heading2"/>
        <w:spacing w:before="247" w:after="0"/>
        <w:rPr>
          <w:color w:val="000000" w:themeColor="text1"/>
          <w:sz w:val="22"/>
          <w:szCs w:val="22"/>
        </w:rPr>
      </w:pPr>
      <w:r w:rsidRPr="00AC3820">
        <w:rPr>
          <w:color w:val="000000" w:themeColor="text1"/>
          <w:sz w:val="22"/>
          <w:szCs w:val="22"/>
        </w:rPr>
        <w:t>Purpose of the Project</w:t>
      </w:r>
    </w:p>
    <w:p w14:paraId="7A91F836" w14:textId="77777777" w:rsidR="00DC3916" w:rsidRPr="00AC3820" w:rsidRDefault="00DC3916" w:rsidP="00DC3916">
      <w:pPr>
        <w:rPr>
          <w:i/>
          <w:iCs/>
          <w:color w:val="000000" w:themeColor="text1"/>
        </w:rPr>
      </w:pPr>
      <w:r w:rsidRPr="00AC3820">
        <w:rPr>
          <w:i/>
          <w:iCs/>
          <w:color w:val="000000" w:themeColor="text1"/>
        </w:rPr>
        <w:t>Provide one-to-two sentences aligned with the topic, problem, gap in practice, and project question to state the purpose of the project.</w:t>
      </w:r>
    </w:p>
    <w:p w14:paraId="4CEC26E7" w14:textId="77777777" w:rsidR="002B52AA" w:rsidRPr="00AC3820" w:rsidRDefault="002B52AA" w:rsidP="00DC3916">
      <w:pPr>
        <w:rPr>
          <w:i/>
          <w:iCs/>
          <w:color w:val="000000" w:themeColor="text1"/>
        </w:rPr>
      </w:pPr>
    </w:p>
    <w:p w14:paraId="1A9D4C5A" w14:textId="77777777" w:rsidR="002B52AA" w:rsidRPr="00AC3820" w:rsidRDefault="002B52AA" w:rsidP="00DC3916">
      <w:pPr>
        <w:rPr>
          <w:i/>
          <w:iCs/>
          <w:color w:val="000000" w:themeColor="text1"/>
        </w:rPr>
      </w:pPr>
    </w:p>
    <w:p w14:paraId="1F86E9C5" w14:textId="75C30AD1" w:rsidR="002B52AA" w:rsidRPr="00AC3820" w:rsidRDefault="00FB17F9" w:rsidP="002B52AA">
      <w:pPr>
        <w:spacing w:line="480" w:lineRule="auto"/>
        <w:ind w:firstLine="720"/>
        <w:rPr>
          <w:color w:val="000000" w:themeColor="text1"/>
        </w:rPr>
      </w:pPr>
      <w:r w:rsidRPr="00AC3820">
        <w:rPr>
          <w:rFonts w:ascii="Helvetica" w:hAnsi="Helvetica" w:cs="Helvetica"/>
          <w:color w:val="000000" w:themeColor="text1"/>
        </w:rPr>
        <w:lastRenderedPageBreak/>
        <w:t>The purpose of the project is to explore</w:t>
      </w:r>
      <w:r w:rsidR="002B52AA" w:rsidRPr="00AC3820">
        <w:rPr>
          <w:color w:val="000000" w:themeColor="text1"/>
        </w:rPr>
        <w:t xml:space="preserve"> </w:t>
      </w:r>
      <w:r w:rsidR="00480DEB" w:rsidRPr="00AC3820">
        <w:rPr>
          <w:rFonts w:ascii="Helvetica" w:hAnsi="Helvetica" w:cs="Helvetica"/>
          <w:color w:val="000000" w:themeColor="text1"/>
        </w:rPr>
        <w:t>the perceptions of U.S. SME IT/network managers regarding the establishment and governance of IT Disaster Recovery Plan as a Service (ITDRPaaS) in environments where competing stakeholder priorities influence disaster recovery decisions.</w:t>
      </w:r>
      <w:r w:rsidR="00480DEB" w:rsidRPr="00AC3820">
        <w:rPr>
          <w:color w:val="000000" w:themeColor="text1"/>
        </w:rPr>
        <w:t xml:space="preserve"> </w:t>
      </w:r>
      <w:r w:rsidR="002B52AA" w:rsidRPr="00AC3820">
        <w:rPr>
          <w:color w:val="000000" w:themeColor="text1"/>
        </w:rPr>
        <w:t>This purpose addresses the practice gap of limited understanding of how SME IT/network managers manage competing stakeholder demands in methods that shape recovery priorities, decision rights, escalation pathways, and assurances of recoverability. This inquiry is closely aligned with the broader problem that SMEs frequently encounter inconsistent governance in disaster recovery under pressure, which can undermine coordinated response efforts, diminish network resilience, and compromise defensible recovery outcomes.</w:t>
      </w:r>
    </w:p>
    <w:p w14:paraId="15C2F293" w14:textId="77777777" w:rsidR="003B1FA2" w:rsidRPr="00AC3820" w:rsidRDefault="003B1FA2" w:rsidP="003B1FA2">
      <w:pPr>
        <w:pStyle w:val="Heading5"/>
        <w:rPr>
          <w:color w:val="000000" w:themeColor="text1"/>
        </w:rPr>
      </w:pPr>
      <w:r w:rsidRPr="00AC3820">
        <w:rPr>
          <w:color w:val="000000" w:themeColor="text1"/>
        </w:rPr>
        <w:t>Statement of Primary Question(s)</w:t>
      </w:r>
    </w:p>
    <w:p w14:paraId="72E0BA3B" w14:textId="77777777" w:rsidR="003B1FA2" w:rsidRPr="00AC3820" w:rsidRDefault="003B1FA2" w:rsidP="003B1FA2">
      <w:pPr>
        <w:pStyle w:val="Body"/>
        <w:rPr>
          <w:i/>
          <w:iCs/>
          <w:color w:val="000000" w:themeColor="text1"/>
        </w:rPr>
      </w:pPr>
      <w:r w:rsidRPr="00AC3820">
        <w:rPr>
          <w:i/>
          <w:iCs/>
          <w:color w:val="000000" w:themeColor="text1"/>
        </w:rPr>
        <w:t>Provide 1-3 project questions that align with the topic, problem, and supporting evidence within the program. Suggested length 1 paragraph.</w:t>
      </w:r>
    </w:p>
    <w:p w14:paraId="3255588E" w14:textId="77777777" w:rsidR="002B52AA" w:rsidRPr="00AC3820" w:rsidRDefault="002B52AA" w:rsidP="003B1FA2">
      <w:pPr>
        <w:pStyle w:val="Body"/>
        <w:rPr>
          <w:i/>
          <w:iCs/>
          <w:color w:val="000000" w:themeColor="text1"/>
        </w:rPr>
      </w:pPr>
    </w:p>
    <w:p w14:paraId="0F330174" w14:textId="58AC0033" w:rsidR="002B52AA" w:rsidRPr="00AC3820" w:rsidRDefault="00480DEB" w:rsidP="00480DEB">
      <w:pPr>
        <w:spacing w:line="480" w:lineRule="auto"/>
        <w:rPr>
          <w:color w:val="000000" w:themeColor="text1"/>
          <w:szCs w:val="28"/>
        </w:rPr>
      </w:pPr>
      <w:r w:rsidRPr="00AC3820">
        <w:rPr>
          <w:color w:val="000000" w:themeColor="text1"/>
          <w:szCs w:val="28"/>
        </w:rPr>
        <w:t>T</w:t>
      </w:r>
      <w:r w:rsidR="002B52AA" w:rsidRPr="00AC3820">
        <w:rPr>
          <w:color w:val="000000" w:themeColor="text1"/>
          <w:szCs w:val="28"/>
        </w:rPr>
        <w:t xml:space="preserve">he primary research question for this study is: </w:t>
      </w:r>
      <w:r w:rsidR="002B52AA" w:rsidRPr="00AC3820">
        <w:rPr>
          <w:rStyle w:val="Strong"/>
          <w:b w:val="0"/>
          <w:bCs w:val="0"/>
          <w:color w:val="000000" w:themeColor="text1"/>
          <w:szCs w:val="28"/>
        </w:rPr>
        <w:t>What are the perceptions of U.S. SME IT/network managers regarding the establishment and governance of IT Disaster Recovery Plan as a Service (ITDRPaaS) in environments where competing stakeholder priorities influence disaster recovery decisions?</w:t>
      </w:r>
      <w:r w:rsidR="002B52AA" w:rsidRPr="00AC3820">
        <w:rPr>
          <w:b/>
          <w:bCs/>
          <w:color w:val="000000" w:themeColor="text1"/>
          <w:szCs w:val="28"/>
        </w:rPr>
        <w:t xml:space="preserve"> </w:t>
      </w:r>
      <w:r w:rsidR="002B52AA" w:rsidRPr="00AC3820">
        <w:rPr>
          <w:color w:val="000000" w:themeColor="text1"/>
          <w:szCs w:val="28"/>
        </w:rPr>
        <w:t>This inquiry is guided by stakeholder-salience theory, which frames how perceived power, legitimacy, and urgency shape governance actions and recovery prioritization (</w:t>
      </w:r>
      <w:r w:rsidR="002B52AA" w:rsidRPr="008C1B5E">
        <w:rPr>
          <w:color w:val="000000" w:themeColor="text1"/>
          <w:szCs w:val="28"/>
          <w:highlight w:val="cyan"/>
        </w:rPr>
        <w:t>Mitchell et al., 1997</w:t>
      </w:r>
      <w:r w:rsidR="002B52AA" w:rsidRPr="00AC3820">
        <w:rPr>
          <w:color w:val="000000" w:themeColor="text1"/>
          <w:szCs w:val="28"/>
        </w:rPr>
        <w:t>).</w:t>
      </w:r>
    </w:p>
    <w:p w14:paraId="32CB65A8" w14:textId="77777777" w:rsidR="003B1FA2" w:rsidRPr="00AC3820" w:rsidRDefault="003B1FA2" w:rsidP="003B1FA2">
      <w:pPr>
        <w:pStyle w:val="Heading5"/>
        <w:rPr>
          <w:color w:val="000000" w:themeColor="text1"/>
        </w:rPr>
      </w:pPr>
      <w:r w:rsidRPr="00AC3820">
        <w:rPr>
          <w:color w:val="000000" w:themeColor="text1"/>
        </w:rPr>
        <w:t>Definition of Terms</w:t>
      </w:r>
    </w:p>
    <w:p w14:paraId="40079F72" w14:textId="77777777" w:rsidR="003B1FA2" w:rsidRPr="00AC3820" w:rsidRDefault="003B1FA2" w:rsidP="003B1FA2">
      <w:pPr>
        <w:pStyle w:val="Body"/>
        <w:rPr>
          <w:i/>
          <w:iCs/>
          <w:color w:val="000000" w:themeColor="text1"/>
        </w:rPr>
      </w:pPr>
      <w:r w:rsidRPr="00AC3820">
        <w:rPr>
          <w:i/>
          <w:iCs/>
          <w:color w:val="000000" w:themeColor="text1"/>
        </w:rPr>
        <w:t xml:space="preserve">Present a list of terms and definitions that relate to the program, topic, problem, gap, program, and project framework. </w:t>
      </w:r>
      <w:r w:rsidR="00F262B1" w:rsidRPr="00AC3820">
        <w:rPr>
          <w:i/>
          <w:iCs/>
          <w:color w:val="000000" w:themeColor="text1"/>
        </w:rPr>
        <w:t xml:space="preserve">This is a working section which you will continue to update in future courses.  </w:t>
      </w:r>
      <w:r w:rsidRPr="00AC3820">
        <w:rPr>
          <w:i/>
          <w:iCs/>
          <w:color w:val="000000" w:themeColor="text1"/>
        </w:rPr>
        <w:t xml:space="preserve">Suggested length 1 paragraph. </w:t>
      </w:r>
    </w:p>
    <w:p w14:paraId="7F7CA1D7" w14:textId="77777777" w:rsidR="002B52AA" w:rsidRPr="00AC3820" w:rsidRDefault="002B52AA" w:rsidP="003B1FA2">
      <w:pPr>
        <w:pStyle w:val="Body"/>
        <w:rPr>
          <w:i/>
          <w:iCs/>
          <w:color w:val="000000" w:themeColor="text1"/>
        </w:rPr>
      </w:pPr>
    </w:p>
    <w:p w14:paraId="6B59B59B" w14:textId="5F0EC9D4" w:rsidR="002B52AA" w:rsidRPr="00AC3820" w:rsidRDefault="002B52AA" w:rsidP="002B52AA">
      <w:pPr>
        <w:spacing w:line="480" w:lineRule="auto"/>
        <w:rPr>
          <w:color w:val="000000" w:themeColor="text1"/>
        </w:rPr>
      </w:pPr>
      <w:commentRangeStart w:id="9"/>
      <w:commentRangeStart w:id="10"/>
      <w:r w:rsidRPr="00AE2749">
        <w:rPr>
          <w:rFonts w:ascii="Times New Roman" w:hAnsi="Times New Roman" w:eastAsia="Times New Roman"/>
          <w:i/>
          <w:iCs/>
          <w:color w:val="000000" w:themeColor="text1"/>
          <w:sz w:val="24"/>
          <w:highlight w:val="yellow"/>
        </w:rPr>
        <w:t>ITDRPaaS. A governance-centered recovery capability in which an SME structures authority, escalation, and oversight so recovery decisions can be executed and defended under disruption rather than relying on tools or contracts that do not hold under pressure (Lowry et al., 2025).</w:t>
      </w:r>
      <w:commentRangeEnd w:id="9"/>
      <w:r w:rsidR="002E6F1C" w:rsidRPr="00AE2749">
        <w:rPr>
          <w:rStyle w:val="CommentReference"/>
          <w:i/>
          <w:iCs/>
          <w:color w:val="000000" w:themeColor="text1"/>
          <w:sz w:val="24"/>
          <w:szCs w:val="24"/>
          <w:highlight w:val="yellow"/>
        </w:rPr>
      </w:r>
      <w:commentRangeEnd w:id="10"/>
      <w:r w:rsidR="00D92E80" w:rsidRPr="00AE2749">
        <w:rPr>
          <w:rStyle w:val="CommentReference"/>
          <w:i/>
          <w:iCs/>
          <w:color w:val="000000" w:themeColor="text1"/>
          <w:sz w:val="24"/>
          <w:szCs w:val="24"/>
          <w:highlight w:val="yellow"/>
        </w:rPr>
      </w:r>
      <w:r w:rsidRPr="00AE2749">
        <w:rPr>
          <w:i/>
          <w:iCs/>
          <w:color w:val="000000" w:themeColor="text1"/>
          <w:highlight w:val="yellow"/>
        </w:rPr>
      </w:r>
      <w:r w:rsidRPr="00AE2749">
        <w:rPr>
          <w:color w:val="000000" w:themeColor="text1"/>
          <w:highlight w:val="yellow"/>
        </w:rPr>
      </w:r>
      <w:r w:rsidRPr="00AC3820">
        <w:rPr>
          <w:color w:val="000000" w:themeColor="text1"/>
        </w:rPr>
      </w:r>
      <w:r w:rsidR="002E6F1C" w:rsidRPr="00AC3820">
        <w:rPr>
          <w:color w:val="000000" w:themeColor="text1"/>
        </w:rPr>
      </w:r>
      <w:r w:rsidRPr="00AC3820">
        <w:rPr>
          <w:color w:val="000000" w:themeColor="text1"/>
        </w:rPr>
      </w:r>
      <w:r w:rsidRPr="00AC3820">
        <w:rPr>
          <w:color w:val="000000" w:themeColor="text1"/>
        </w:rPr>
      </w:r>
    </w:p>
    <w:p w14:paraId="4C0845C4" w14:textId="710BA40F" w:rsidR="00AB4E8B" w:rsidRPr="00AC3820" w:rsidRDefault="00AB4E8B" w:rsidP="00AB4E8B">
      <w:pPr>
        <w:spacing w:line="480" w:lineRule="auto"/>
        <w:rPr>
          <w:color w:val="000000" w:themeColor="text1"/>
        </w:rPr>
      </w:pPr>
      <w:r w:rsidRPr="00AE2749">
        <w:rPr>
          <w:rFonts w:ascii="Times New Roman" w:hAnsi="Times New Roman" w:eastAsia="Times New Roman"/>
          <w:i/>
          <w:iCs/>
          <w:color w:val="000000" w:themeColor="text1"/>
          <w:sz w:val="24"/>
          <w:highlight w:val="yellow"/>
        </w:rPr>
        <w:t>Information Technology Disaster Recovery as a Service (ITDRPaaS). Use the ITDRPaaS definition above; the longer expansion is the same construct, not a second term.</w:t>
      </w:r>
      <w:r w:rsidRPr="00AC3820">
        <w:rPr>
          <w:color w:val="000000" w:themeColor="text1"/>
        </w:rPr>
      </w:r>
    </w:p>
    <w:p w14:paraId="6B98E8ED" w14:textId="7E813FDA" w:rsidR="002B52AA" w:rsidRPr="00AC3820" w:rsidRDefault="002B52AA" w:rsidP="002B52AA">
      <w:pPr>
        <w:spacing w:line="480" w:lineRule="auto"/>
        <w:rPr>
          <w:color w:val="000000" w:themeColor="text1"/>
        </w:rPr>
      </w:pPr>
      <w:r w:rsidRPr="00D00934">
        <w:rPr>
          <w:i/>
          <w:iCs/>
          <w:color w:val="000000" w:themeColor="text1"/>
          <w:highlight w:val="yellow"/>
        </w:rPr>
        <w:t>Recoverability assurance</w:t>
      </w:r>
      <w:r w:rsidR="002E6F1C" w:rsidRPr="00D00934">
        <w:rPr>
          <w:i/>
          <w:iCs/>
          <w:color w:val="000000" w:themeColor="text1"/>
        </w:rPr>
        <w:t xml:space="preserve">. </w:t>
      </w:r>
      <w:r w:rsidR="00295F7A" w:rsidRPr="00D00934">
        <w:rPr>
          <w:color w:val="000000" w:themeColor="text1"/>
        </w:rPr>
        <w:t xml:space="preserve">The </w:t>
      </w:r>
      <w:r w:rsidR="00295F7A" w:rsidRPr="00AC3820">
        <w:rPr>
          <w:color w:val="000000" w:themeColor="text1"/>
        </w:rPr>
        <w:t>set of</w:t>
      </w:r>
      <w:r w:rsidRPr="00AC3820">
        <w:rPr>
          <w:color w:val="000000" w:themeColor="text1"/>
        </w:rPr>
        <w:t xml:space="preserve"> decision-relevant, reviewable evidence artifacts (e.g., documented restoration outcomes, integrity checks, and recorded authorization actions) that support defensible claims that prioritized services can be restored within tolerance during and after incidents (Lowry et al., 2025). </w:t>
      </w:r>
    </w:p>
    <w:p w14:paraId="642CC268" w14:textId="7A2DEAC6" w:rsidR="002B52AA" w:rsidRPr="00AC3820" w:rsidRDefault="002B52AA" w:rsidP="002B52AA">
      <w:pPr>
        <w:spacing w:line="480" w:lineRule="auto"/>
        <w:rPr>
          <w:color w:val="000000" w:themeColor="text1"/>
        </w:rPr>
      </w:pPr>
      <w:r w:rsidRPr="00D00934">
        <w:rPr>
          <w:rFonts w:ascii="Times New Roman" w:hAnsi="Times New Roman" w:eastAsia="Times New Roman"/>
          <w:i/>
          <w:iCs/>
          <w:color w:val="000000" w:themeColor="text1"/>
          <w:sz w:val="24"/>
          <w:highlight w:val="yellow"/>
        </w:rPr>
        <w:t>Stakeholder-salience dynamics. The disruption-driven shifting dominance of stakeholder claims—based on power, legitimacy, and urgency—that determines whose priorities and risk tolerances govern time-critical recovery tradeoffs (Mitchell et al., 1997).</w:t>
      </w:r>
      <w:r w:rsidR="002E6F1C" w:rsidRPr="00D00934">
        <w:rPr>
          <w:i/>
          <w:iCs/>
          <w:color w:val="000000" w:themeColor="text1"/>
        </w:rPr>
      </w:r>
      <w:r w:rsidR="002E6F1C" w:rsidRPr="00AC3820">
        <w:rPr>
          <w:color w:val="000000" w:themeColor="text1"/>
        </w:rPr>
      </w:r>
      <w:r w:rsidRPr="00AC3820">
        <w:rPr>
          <w:color w:val="000000" w:themeColor="text1"/>
        </w:rPr>
      </w:r>
      <w:r w:rsidRPr="008C1B5E">
        <w:rPr>
          <w:color w:val="000000" w:themeColor="text1"/>
          <w:highlight w:val="cyan"/>
        </w:rPr>
      </w:r>
      <w:r w:rsidRPr="00AC3820">
        <w:rPr>
          <w:color w:val="000000" w:themeColor="text1"/>
        </w:rPr>
      </w:r>
    </w:p>
    <w:p w14:paraId="242B08CB" w14:textId="1B4DC91A" w:rsidR="002B52AA" w:rsidRPr="00AC3820" w:rsidRDefault="002B52AA" w:rsidP="002B52AA">
      <w:pPr>
        <w:spacing w:line="480" w:lineRule="auto"/>
        <w:rPr>
          <w:color w:val="000000" w:themeColor="text1"/>
        </w:rPr>
      </w:pPr>
      <w:r w:rsidRPr="00D00934">
        <w:rPr>
          <w:rFonts w:ascii="Times New Roman" w:hAnsi="Times New Roman" w:eastAsia="Times New Roman"/>
          <w:i/>
          <w:iCs/>
          <w:color w:val="000000" w:themeColor="text1"/>
          <w:sz w:val="24"/>
          <w:highlight w:val="yellow"/>
        </w:rPr>
        <w:t>Decision-rights governance. The explicit allocation of who is authorized to make specific recovery decisions, including speed-versus-integrity tradeoffs, so that IT strategy intent can be converted into executable action without ad hoc authority disputes (Park et al., 2023). Time-critical escalation pathways. Pre-specified authority transitions and trigger rules that accelerate decision movement when urgency rises (Park et al., 2023).</w:t>
      </w:r>
      <w:r w:rsidR="002E6F1C" w:rsidRPr="00D00934">
        <w:rPr>
          <w:i/>
          <w:iCs/>
          <w:color w:val="000000" w:themeColor="text1"/>
        </w:rPr>
      </w:r>
      <w:r w:rsidR="002E6F1C" w:rsidRPr="00AC3820">
        <w:rPr>
          <w:color w:val="000000" w:themeColor="text1"/>
        </w:rPr>
      </w:r>
      <w:r w:rsidRPr="00AC3820">
        <w:rPr>
          <w:color w:val="000000" w:themeColor="text1"/>
        </w:rPr>
      </w:r>
      <w:r w:rsidRPr="00D00934">
        <w:rPr>
          <w:i/>
          <w:iCs/>
          <w:color w:val="000000" w:themeColor="text1"/>
          <w:highlight w:val="yellow"/>
        </w:rPr>
      </w:r>
      <w:r w:rsidR="002E6F1C" w:rsidRPr="00D00934">
        <w:rPr>
          <w:i/>
          <w:iCs/>
          <w:color w:val="000000" w:themeColor="text1"/>
          <w:highlight w:val="yellow"/>
        </w:rPr>
      </w:r>
      <w:r w:rsidR="002E6F1C" w:rsidRPr="00AC3820">
        <w:rPr>
          <w:color w:val="000000" w:themeColor="text1"/>
        </w:rPr>
      </w:r>
      <w:r w:rsidRPr="00AC3820">
        <w:rPr>
          <w:color w:val="000000" w:themeColor="text1"/>
        </w:rPr>
      </w:r>
    </w:p>
    <w:p w14:paraId="21FD14A3" w14:textId="77777777" w:rsidR="002B52AA" w:rsidRPr="00AC3820" w:rsidRDefault="002B52AA" w:rsidP="002B52AA">
      <w:pPr>
        <w:spacing w:line="480" w:lineRule="auto"/>
        <w:rPr>
          <w:b/>
          <w:bCs/>
          <w:color w:val="000000" w:themeColor="text1"/>
        </w:rPr>
      </w:pPr>
    </w:p>
    <w:p w14:paraId="050D703C" w14:textId="06F8C805" w:rsidR="000C5620" w:rsidRPr="00AC3820" w:rsidRDefault="002B52AA" w:rsidP="002B52AA">
      <w:pPr>
        <w:spacing w:line="480" w:lineRule="auto"/>
        <w:rPr>
          <w:color w:val="000000" w:themeColor="text1"/>
        </w:rPr>
      </w:pPr>
      <w:r w:rsidRPr="00AE2749">
        <w:rPr>
          <w:rFonts w:ascii="Times New Roman" w:hAnsi="Times New Roman" w:eastAsia="Times New Roman"/>
          <w:i/>
          <w:iCs/>
          <w:color w:val="000000" w:themeColor="text1"/>
          <w:sz w:val="24"/>
          <w:highlight w:val="yellow"/>
        </w:rPr>
        <w:t>SME IT/network manager. The accountable operational governance actor who coordinates interdependent recovery actions across internal teams and external providers while maintaining credible oversight of continuity decisions under time pressure (Park et al., 2023).</w:t>
      </w:r>
      <w:r w:rsidRPr="00D00934">
        <w:rPr>
          <w:i/>
          <w:iCs/>
          <w:color w:val="000000" w:themeColor="text1"/>
        </w:rPr>
      </w:r>
      <w:r w:rsidR="002E6F1C" w:rsidRPr="00D00934">
        <w:rPr>
          <w:i/>
          <w:iCs/>
          <w:color w:val="000000" w:themeColor="text1"/>
        </w:rPr>
      </w:r>
      <w:r w:rsidR="002E6F1C" w:rsidRPr="00AC3820">
        <w:rPr>
          <w:color w:val="000000" w:themeColor="text1"/>
        </w:rPr>
      </w:r>
      <w:r w:rsidRPr="00AC3820">
        <w:rPr>
          <w:color w:val="000000" w:themeColor="text1"/>
        </w:rPr>
      </w:r>
    </w:p>
    <w:p w14:paraId="6F97580E" w14:textId="77777777" w:rsidR="000C5620" w:rsidRPr="00AC3820" w:rsidRDefault="000C5620" w:rsidP="000C5620">
      <w:pPr>
        <w:pStyle w:val="Body"/>
        <w:pBdr>
          <w:top w:val="single" w:sz="4" w:space="1" w:color="auto"/>
          <w:left w:val="single" w:sz="4" w:space="4" w:color="auto"/>
          <w:bottom w:val="single" w:sz="4" w:space="1" w:color="auto"/>
          <w:right w:val="single" w:sz="4" w:space="4" w:color="auto"/>
        </w:pBdr>
        <w:rPr>
          <w:b/>
          <w:bCs/>
          <w:i/>
          <w:iCs/>
          <w:color w:val="000000" w:themeColor="text1"/>
        </w:rPr>
      </w:pPr>
      <w:r w:rsidRPr="00AC3820">
        <w:rPr>
          <w:b/>
          <w:bCs/>
          <w:i/>
          <w:iCs/>
          <w:color w:val="000000" w:themeColor="text1"/>
        </w:rPr>
        <w:t xml:space="preserve">If you are seeking Topic Endorsement in </w:t>
      </w:r>
      <w:r w:rsidR="00BB3A81" w:rsidRPr="00AC3820">
        <w:rPr>
          <w:b/>
          <w:bCs/>
          <w:i/>
          <w:iCs/>
          <w:color w:val="000000" w:themeColor="text1"/>
        </w:rPr>
        <w:t>RSCH</w:t>
      </w:r>
      <w:r w:rsidRPr="00AC3820">
        <w:rPr>
          <w:b/>
          <w:bCs/>
          <w:i/>
          <w:iCs/>
          <w:color w:val="000000" w:themeColor="text1"/>
        </w:rPr>
        <w:t xml:space="preserve">-V8926 – Doctoral Project Development - Topic Approval, you only need to complete the sections above for the approval.   </w:t>
      </w:r>
    </w:p>
    <w:p w14:paraId="1C19FC03" w14:textId="77777777" w:rsidR="00145206" w:rsidRPr="00AC3820" w:rsidRDefault="00D9774E" w:rsidP="00D9774E">
      <w:pPr>
        <w:pStyle w:val="Heading2"/>
        <w:rPr>
          <w:color w:val="000000" w:themeColor="text1"/>
        </w:rPr>
      </w:pPr>
      <w:r w:rsidRPr="00AC3820">
        <w:rPr>
          <w:color w:val="000000" w:themeColor="text1"/>
        </w:rPr>
        <w:t>Proposed Project Framework</w:t>
      </w:r>
    </w:p>
    <w:p w14:paraId="2BE5BA5C" w14:textId="77777777" w:rsidR="00D9774E" w:rsidRPr="00AC3820" w:rsidRDefault="00D9774E" w:rsidP="00891FB6">
      <w:pPr>
        <w:pStyle w:val="Body"/>
        <w:shd w:val="clear" w:color="auto" w:fill="E7E6E6"/>
        <w:rPr>
          <w:i/>
          <w:iCs/>
          <w:color w:val="000000" w:themeColor="text1"/>
        </w:rPr>
      </w:pPr>
      <w:r w:rsidRPr="00AC3820">
        <w:rPr>
          <w:i/>
          <w:iCs/>
          <w:color w:val="000000" w:themeColor="text1"/>
        </w:rPr>
        <w:t>Methodological approach is clearly defined and includes constructs, phenomena, variables, and population.</w:t>
      </w:r>
    </w:p>
    <w:p w14:paraId="272B28E6" w14:textId="77777777" w:rsidR="00D9774E" w:rsidRPr="00AC3820" w:rsidRDefault="00D9774E" w:rsidP="00D9774E">
      <w:pPr>
        <w:pStyle w:val="Body"/>
        <w:rPr>
          <w:i/>
          <w:iCs/>
          <w:color w:val="000000" w:themeColor="text1"/>
        </w:rPr>
      </w:pPr>
    </w:p>
    <w:p w14:paraId="3DCCD25A" w14:textId="77777777" w:rsidR="00D9774E" w:rsidRPr="00AC3820" w:rsidRDefault="00D9774E" w:rsidP="00D9774E">
      <w:pPr>
        <w:pStyle w:val="Heading5"/>
        <w:rPr>
          <w:color w:val="000000" w:themeColor="text1"/>
        </w:rPr>
      </w:pPr>
      <w:r w:rsidRPr="00AC3820">
        <w:rPr>
          <w:color w:val="000000" w:themeColor="text1"/>
        </w:rPr>
        <w:t>Methodological Approach</w:t>
      </w:r>
    </w:p>
    <w:p w14:paraId="75AE9584" w14:textId="7111C32B" w:rsidR="00D9774E" w:rsidRPr="00AC3820" w:rsidRDefault="00D9774E" w:rsidP="00D9774E">
      <w:pPr>
        <w:pStyle w:val="Body"/>
        <w:rPr>
          <w:i/>
          <w:iCs/>
          <w:color w:val="000000" w:themeColor="text1"/>
        </w:rPr>
      </w:pPr>
      <w:r w:rsidRPr="00AC3820">
        <w:rPr>
          <w:i/>
          <w:iCs/>
          <w:color w:val="000000" w:themeColor="text1"/>
        </w:rPr>
        <w:t>Provide a description and explanation of the methodological approach. The methodological approach must align to the topic, problem, supporting evidence, and data sources. Suggested length 2-3 paragraphs.</w:t>
      </w:r>
    </w:p>
    <w:p w14:paraId="45AAEC74" w14:textId="77777777" w:rsidR="00EB40C0" w:rsidRPr="00AC3820" w:rsidRDefault="00EB40C0" w:rsidP="00F96425">
      <w:pPr>
        <w:rPr>
          <w:color w:val="000000" w:themeColor="text1"/>
        </w:rPr>
      </w:pPr>
    </w:p>
    <w:p w14:paraId="43EFBEFC" w14:textId="60E8DBBC" w:rsidR="00A16ECD" w:rsidRPr="00AC3820" w:rsidRDefault="00F96425" w:rsidP="00E5476D">
      <w:pPr>
        <w:spacing w:line="480" w:lineRule="auto"/>
        <w:ind w:firstLine="720"/>
        <w:rPr>
          <w:color w:val="000000" w:themeColor="text1"/>
          <w:szCs w:val="28"/>
        </w:rPr>
      </w:pPr>
      <w:r w:rsidRPr="00AC3820">
        <w:rPr>
          <w:rFonts w:ascii="Times New Roman" w:hAnsi="Times New Roman" w:eastAsia="Times New Roman"/>
          <w:color w:val="000000" w:themeColor="text1"/>
          <w:sz w:val="24"/>
          <w:szCs w:val="28"/>
        </w:rPr>
        <w:t>The study’s methodological approach is a generic qualitative inquiry (GQI), selected to investigate how U.S. SME IT and network managers perceive and interpret the governance challenges associated with establishing and managing ITDRPaaS (Caelli et al., 2003; Kahlke, 2014; Percy et al., 2015). This approach aligns with the topic and problem because it prioritizes managers’ sense-making of operational recovery processes over a confirmatory audit of written plans (Percy et al., 2015). GQI interview practice uses a flexible protocol that probes for clarification in participants’ terms. Thematic analysis uses prior literature as orientation rather than a rigid coding mandate (Braun &amp; Clarke, 2019; Fereday &amp; Muir-Cochrane, 2006). Honoring participants’ accounts is both an ethical and a methodological discipline: it protects their descriptions, makes researcher influence visible, and keeps interpretations accountable to the named incident.</w:t>
      </w:r>
      <w:r w:rsidRPr="00AD3765">
        <w:rPr>
          <w:color w:val="000000" w:themeColor="text1"/>
          <w:szCs w:val="28"/>
          <w:highlight w:val="cyan"/>
        </w:rPr>
      </w:r>
      <w:r w:rsidR="00AD3765" w:rsidRPr="00AD3765">
        <w:rPr>
          <w:color w:val="000000" w:themeColor="text1"/>
          <w:szCs w:val="28"/>
          <w:highlight w:val="cyan"/>
        </w:rPr>
      </w:r>
      <w:r w:rsidRPr="00AD3765">
        <w:rPr>
          <w:color w:val="000000" w:themeColor="text1"/>
          <w:szCs w:val="28"/>
          <w:highlight w:val="cyan"/>
        </w:rPr>
      </w:r>
      <w:r w:rsidRPr="00AC3820">
        <w:rPr>
          <w:color w:val="000000" w:themeColor="text1"/>
          <w:szCs w:val="28"/>
        </w:rPr>
      </w:r>
      <w:r w:rsidRPr="00EB4677">
        <w:rPr>
          <w:color w:val="000000" w:themeColor="text1"/>
          <w:szCs w:val="28"/>
          <w:highlight w:val="yellow"/>
        </w:rPr>
      </w:r>
      <w:r w:rsidR="00EB4677" w:rsidRPr="00EB4677">
        <w:rPr>
          <w:color w:val="000000" w:themeColor="text1"/>
          <w:szCs w:val="28"/>
          <w:highlight w:val="yellow"/>
        </w:rPr>
      </w:r>
      <w:r w:rsidR="00C626CC" w:rsidRPr="00EB4677">
        <w:rPr>
          <w:color w:val="000000" w:themeColor="text1"/>
          <w:szCs w:val="28"/>
          <w:highlight w:val="yellow"/>
        </w:rPr>
      </w:r>
      <w:r w:rsidR="00C626CC" w:rsidRPr="00AC3820">
        <w:rPr>
          <w:color w:val="000000" w:themeColor="text1"/>
          <w:szCs w:val="28"/>
        </w:rPr>
      </w:r>
      <w:r w:rsidR="00F83B07" w:rsidRPr="00AC3820">
        <w:rPr>
          <w:color w:val="000000" w:themeColor="text1"/>
          <w:szCs w:val="28"/>
        </w:rPr>
      </w:r>
      <w:r w:rsidR="0028214A">
        <w:rPr>
          <w:color w:val="000000" w:themeColor="text1"/>
          <w:szCs w:val="28"/>
        </w:rPr>
      </w:r>
      <w:r w:rsidR="00F83B07" w:rsidRPr="00AC3820">
        <w:rPr>
          <w:color w:val="000000" w:themeColor="text1"/>
          <w:szCs w:val="28"/>
        </w:rPr>
      </w:r>
      <w:r w:rsidR="00F83B07" w:rsidRPr="001B1529">
        <w:rPr>
          <w:color w:val="000000" w:themeColor="text1"/>
          <w:szCs w:val="28"/>
          <w:highlight w:val="yellow"/>
        </w:rPr>
      </w:r>
      <w:r w:rsidR="00F83B07" w:rsidRPr="00AC3820">
        <w:rPr>
          <w:color w:val="000000" w:themeColor="text1"/>
          <w:szCs w:val="28"/>
        </w:rPr>
      </w:r>
      <w:r w:rsidR="0028214A">
        <w:rPr>
          <w:color w:val="000000" w:themeColor="text1"/>
          <w:szCs w:val="28"/>
        </w:rPr>
      </w:r>
      <w:r w:rsidR="00B96AE3">
        <w:rPr>
          <w:color w:val="000000" w:themeColor="text1"/>
          <w:szCs w:val="28"/>
        </w:rPr>
      </w:r>
      <w:r w:rsidR="00B96AE3"/>
      <w:r w:rsidR="00B96AE3"/>
      <w:r w:rsidR="00B96AE3"/>
      <w:r w:rsidR="00B96AE3"/>
      <w:r w:rsidR="00B96AE3"/>
      <w:r w:rsidR="00F83B07" w:rsidRPr="00AC3820">
        <w:rPr>
          <w:color w:val="000000" w:themeColor="text1"/>
          <w:szCs w:val="28"/>
        </w:rPr>
      </w:r>
      <w:r w:rsidR="00C626CC" w:rsidRPr="00AC3820">
        <w:rPr>
          <w:color w:val="000000" w:themeColor="text1"/>
          <w:szCs w:val="28"/>
        </w:rPr>
      </w:r>
      <w:commentRangeStart w:id="11"/>
      <w:r w:rsidR="00C626CC" w:rsidRPr="00AC3820">
        <w:rPr>
          <w:color w:val="000000" w:themeColor="text1"/>
          <w:szCs w:val="28"/>
        </w:rPr>
      </w:r>
      <w:r w:rsidR="00C626CC" w:rsidRPr="00AC3820">
        <w:rPr>
          <w:color w:val="000000" w:themeColor="text1"/>
          <w:szCs w:val="28"/>
        </w:rPr>
      </w:r>
      <w:commentRangeEnd w:id="11"/>
      <w:r w:rsidR="006B06AF" w:rsidRPr="00AC3820">
        <w:rPr>
          <w:rStyle w:val="CommentReference"/>
          <w:color w:val="000000" w:themeColor="text1"/>
          <w:sz w:val="24"/>
          <w:szCs w:val="28"/>
        </w:rPr>
      </w:r>
    </w:p>
    <w:p w14:paraId="493DEF96" w14:textId="4DA59FCC" w:rsidR="00F96425" w:rsidRPr="00AC3820" w:rsidRDefault="00A16ECD" w:rsidP="005C07EF">
      <w:pPr>
        <w:spacing w:line="480" w:lineRule="auto"/>
        <w:ind w:firstLine="720"/>
        <w:rPr>
          <w:color w:val="000000" w:themeColor="text1"/>
          <w:szCs w:val="28"/>
        </w:rPr>
      </w:pPr>
      <w:r w:rsidRPr="00AC3820">
        <w:rPr>
          <w:rFonts w:ascii="Times New Roman" w:hAnsi="Times New Roman" w:eastAsia="Times New Roman"/>
          <w:b w:val="0"/>
          <w:color w:val="000000" w:themeColor="text1"/>
          <w:sz w:val="24"/>
          <w:szCs w:val="28"/>
        </w:rPr>
        <w:t xml:space="preserve">This study adopts a constructivist–interpretive worldview, positing that organizational realities are constructed through participants’ interactions and interpretations rather than existing as a single objective reality (Creswell &amp; Poth, 2024; Guba &amp; Lincoln, 1994). Aligning with a subjectivist–transactional epistemology, knowledge of ITDRPaaS governance emerges from the interaction between the researcher and participants (Guba &amp; Lincoln, 1994). This philosophical stance supports generic qualitative inquiry aimed at interpreting how diverse stakeholders understand recovery priorities, decision authority, escalation requirements, and acceptable evidence of recoverability. This approach therefore describes how stakeholders-salience participants translate organizational IT strategy into operational disaster recovery actions rather than testing predefined compliance checklists.  In SME environments, competing stakeholder demands routinely complicate recovery prioritization, restoration authority, and acceptable service-recovery thresholds. Accordingly, the design captures how those demands condition who counts in recovery prioritization, who decides and escalates under pressure, and what counts as an acceptable recovery standard. </w:t>
      </w:r>
      <w:r w:rsidRPr="00AD3765">
        <w:rPr>
          <w:color w:val="000000" w:themeColor="text1"/>
          <w:szCs w:val="28"/>
          <w:highlight w:val="cyan"/>
        </w:rPr>
      </w:r>
      <w:r w:rsidR="00AD3765" w:rsidRPr="00AD3765">
        <w:rPr>
          <w:color w:val="000000" w:themeColor="text1"/>
          <w:szCs w:val="28"/>
          <w:highlight w:val="cyan"/>
        </w:rPr>
      </w:r>
      <w:r w:rsidRPr="00AD3765">
        <w:rPr>
          <w:color w:val="000000" w:themeColor="text1"/>
          <w:szCs w:val="28"/>
          <w:highlight w:val="cyan"/>
        </w:rPr>
      </w:r>
      <w:r w:rsidRPr="00AC3820">
        <w:rPr>
          <w:color w:val="000000" w:themeColor="text1"/>
          <w:szCs w:val="28"/>
        </w:rPr>
      </w:r>
      <w:r w:rsidR="001B1529" w:rsidRPr="001B1529">
        <w:rPr>
          <w:color w:val="000000" w:themeColor="text1"/>
          <w:szCs w:val="28"/>
          <w:highlight w:val="yellow"/>
        </w:rPr>
      </w:r>
      <w:r w:rsidRPr="00AC3820">
        <w:rPr>
          <w:color w:val="000000" w:themeColor="text1"/>
          <w:szCs w:val="28"/>
        </w:rPr>
      </w:r>
      <w:r w:rsidRPr="001B1529">
        <w:rPr>
          <w:color w:val="000000" w:themeColor="text1"/>
          <w:szCs w:val="28"/>
          <w:highlight w:val="yellow"/>
        </w:rPr>
      </w:r>
      <w:r w:rsidRPr="00AC3820">
        <w:rPr>
          <w:color w:val="000000" w:themeColor="text1"/>
          <w:szCs w:val="28"/>
        </w:rPr>
      </w:r>
      <w:r w:rsidR="00F96425" w:rsidRPr="00AC3820">
        <w:rPr>
          <w:color w:val="000000" w:themeColor="text1"/>
          <w:szCs w:val="28"/>
        </w:rPr>
      </w:r>
      <w:r w:rsidRPr="00AC3820">
        <w:rPr>
          <w:color w:val="000000" w:themeColor="text1"/>
          <w:szCs w:val="28"/>
        </w:rPr>
      </w:r>
      <w:r w:rsidR="00F96425" w:rsidRPr="00AC3820">
        <w:rPr>
          <w:color w:val="000000" w:themeColor="text1"/>
          <w:szCs w:val="28"/>
        </w:rPr>
      </w:r>
      <w:r w:rsidR="00C626CC" w:rsidRPr="00AC3820">
        <w:rPr>
          <w:color w:val="000000" w:themeColor="text1"/>
          <w:szCs w:val="28"/>
        </w:rPr>
      </w:r>
      <w:r w:rsidR="00F96425" w:rsidRPr="00AC3820">
        <w:rPr>
          <w:color w:val="000000" w:themeColor="text1"/>
          <w:szCs w:val="28"/>
        </w:rPr>
      </w:r>
    </w:p>
    <w:p w14:paraId="681D3856" w14:textId="13B918CB" w:rsidR="00F96425" w:rsidRPr="00AC3820" w:rsidRDefault="00F96425" w:rsidP="005C07EF">
      <w:pPr>
        <w:spacing w:line="480" w:lineRule="auto"/>
        <w:ind w:firstLine="720"/>
        <w:rPr>
          <w:color w:val="000000" w:themeColor="text1"/>
          <w:szCs w:val="28"/>
        </w:rPr>
      </w:pPr>
      <w:r w:rsidRPr="00AC3820">
        <w:rPr>
          <w:rFonts w:ascii="Times New Roman" w:hAnsi="Times New Roman" w:eastAsia="Times New Roman"/>
          <w:b w:val="0"/>
          <w:color w:val="000000" w:themeColor="text1"/>
          <w:sz w:val="24"/>
          <w:szCs w:val="28"/>
        </w:rPr>
        <w:t>Stakeholder-salience theory will serve as the interpretive foundation for understanding how perceptions of power, legitimacy, and urgency influence the prioritization of recovery actions during time-critical events (Mitchell et al., 1997).  Within this GQI frame, the phenomenon is IT/network managers’ experienced governance and decision dynamics as they interpret stakeholder influence during disruption or recovery planning. Managers must convert IT strategy intent, from a lived perspective into operational recovery authority while navigating conflicting claims about what should be restored first and who may authorize action. The approach thereby yields descriptive insight into decision rights and escalation pathways, without reducing the inquiry to a pure classical phenomenology (Weill &amp; Ross, 2004). It also examines evidentiary standards that support recoverability assurance when managers must defend recovery outcomes to stakeholders (Lowry et al., 2025; Park et al., 2023). Collectively, the PLU options of choices keep the methodological approach aligned with the study’s purpose.</w:t>
      </w:r>
      <w:r w:rsidRPr="008C1B5E">
        <w:rPr>
          <w:color w:val="000000" w:themeColor="text1"/>
          <w:szCs w:val="28"/>
          <w:highlight w:val="cyan"/>
        </w:rPr>
      </w:r>
      <w:r w:rsidRPr="00AC3820">
        <w:rPr>
          <w:color w:val="000000" w:themeColor="text1"/>
          <w:szCs w:val="28"/>
        </w:rPr>
      </w:r>
      <w:r w:rsidRPr="00AC3820">
        <w:rPr>
          <w:color w:val="000000" w:themeColor="text1"/>
          <w:szCs w:val="28"/>
        </w:rPr>
      </w:r>
      <w:r w:rsidRPr="00EB61EE">
        <w:rPr>
          <w:color w:val="000000" w:themeColor="text1"/>
          <w:szCs w:val="28"/>
          <w:highlight w:val="cyan"/>
        </w:rPr>
      </w:r>
      <w:r w:rsidRPr="00AC3820">
        <w:rPr>
          <w:color w:val="000000" w:themeColor="text1"/>
          <w:szCs w:val="28"/>
        </w:rPr>
      </w:r>
    </w:p>
    <w:p w14:paraId="44073C32" w14:textId="77777777" w:rsidR="00D9774E" w:rsidRPr="00AC3820" w:rsidRDefault="00D9774E" w:rsidP="00D9774E">
      <w:pPr>
        <w:pStyle w:val="Heading5"/>
        <w:rPr>
          <w:color w:val="000000" w:themeColor="text1"/>
        </w:rPr>
      </w:pPr>
      <w:r w:rsidRPr="00AC3820">
        <w:rPr>
          <w:color w:val="000000" w:themeColor="text1"/>
        </w:rPr>
        <w:t>Population and Sample (including site if necessary)</w:t>
      </w:r>
    </w:p>
    <w:p w14:paraId="649D14CA" w14:textId="77777777" w:rsidR="00D9774E" w:rsidRPr="00AC3820" w:rsidRDefault="00D9774E" w:rsidP="00D9774E">
      <w:pPr>
        <w:pStyle w:val="Body"/>
        <w:rPr>
          <w:i/>
          <w:iCs/>
          <w:color w:val="000000" w:themeColor="text1"/>
        </w:rPr>
      </w:pPr>
      <w:r w:rsidRPr="00AC3820">
        <w:rPr>
          <w:i/>
          <w:iCs/>
          <w:color w:val="000000" w:themeColor="text1"/>
        </w:rPr>
        <w:t xml:space="preserve">Describe the general target population (e.g., size, characteristics). Suggested length 1-2 paragraphs. </w:t>
      </w:r>
    </w:p>
    <w:p w14:paraId="79338649" w14:textId="77777777" w:rsidR="00F96425" w:rsidRPr="00AC3820" w:rsidRDefault="00F96425" w:rsidP="005C07EF">
      <w:pPr>
        <w:spacing w:line="480" w:lineRule="auto"/>
        <w:ind w:firstLine="720"/>
        <w:rPr>
          <w:color w:val="000000" w:themeColor="text1"/>
          <w:szCs w:val="28"/>
        </w:rPr>
      </w:pPr>
    </w:p>
    <w:p w14:paraId="48B396DB" w14:textId="04E4D454" w:rsidR="00F96425" w:rsidRPr="00AC3820" w:rsidRDefault="00F96425" w:rsidP="005C07EF">
      <w:pPr>
        <w:spacing w:line="480" w:lineRule="auto"/>
        <w:ind w:firstLine="720"/>
        <w:rPr>
          <w:color w:val="000000" w:themeColor="text1"/>
          <w:szCs w:val="28"/>
        </w:rPr>
      </w:pPr>
      <w:r w:rsidRPr="00AC3820">
        <w:rPr>
          <w:rFonts w:ascii="Times New Roman" w:hAnsi="Times New Roman" w:eastAsia="Times New Roman"/>
          <w:color w:val="000000" w:themeColor="text1"/>
          <w:sz w:val="24"/>
          <w:szCs w:val="28"/>
        </w:rPr>
        <w:t>The target population comprises IT and network managers (or equivalent titles such as systems, infrastructure, or IT operations managers) employed by U.S. small and medium enterprises of 10 to 200 employees (Ekinci et al., 2025). Eligible participants have responsibility for, or direct participation in, IT disaster recovery involving an external platform or managed recovery service (ITDRPaaS or functionally equivalent cloud recovery). Population characteristics therefore center on role authority, U.S. SME employment, and recent platform-mediated recovery exposure rather than executive-only or vendor-side perspectives. The study is not limited to a single organizational site; participants will be drawn from multiple U.S. SME contexts in which IT systems are operationally critical. The locked sample is 12 interviews. That number is justified by information power for a narrow aim and a specific population (Malterud et al., 2016) and is the school-required fixed count rather than a range. Guest et al. (2006) is reserved for later stopping discussion only and is not the interview method.</w:t>
      </w:r>
      <w:commentRangeStart w:id="12"/>
      <w:commentRangeStart w:id="13"/>
      <w:commentRangeStart w:id="14"/>
      <w:commentRangeStart w:id="15"/>
      <w:r w:rsidRPr="00AC3820">
        <w:rPr>
          <w:color w:val="000000" w:themeColor="text1"/>
          <w:szCs w:val="28"/>
        </w:rPr>
      </w:r>
      <w:commentRangeEnd w:id="12"/>
      <w:r w:rsidR="00D26D7D" w:rsidRPr="00AC3820">
        <w:rPr>
          <w:rStyle w:val="CommentReference"/>
          <w:color w:val="000000" w:themeColor="text1"/>
          <w:sz w:val="24"/>
          <w:szCs w:val="28"/>
        </w:rPr>
      </w:r>
      <w:commentRangeEnd w:id="13"/>
      <w:r w:rsidR="00BB1B22" w:rsidRPr="00AC3820">
        <w:rPr>
          <w:rStyle w:val="CommentReference"/>
          <w:color w:val="000000" w:themeColor="text1"/>
          <w:sz w:val="24"/>
          <w:szCs w:val="28"/>
        </w:rPr>
      </w:r>
      <w:commentRangeEnd w:id="14"/>
      <w:r w:rsidR="00E320E4" w:rsidRPr="00AC3820">
        <w:rPr>
          <w:rStyle w:val="CommentReference"/>
          <w:color w:val="000000" w:themeColor="text1"/>
          <w:sz w:val="24"/>
          <w:szCs w:val="28"/>
        </w:rPr>
      </w:r>
      <w:commentRangeEnd w:id="15"/>
      <w:r w:rsidR="006B06AF" w:rsidRPr="00AC3820">
        <w:rPr>
          <w:rStyle w:val="CommentReference"/>
          <w:color w:val="000000" w:themeColor="text1"/>
          <w:sz w:val="24"/>
          <w:szCs w:val="28"/>
        </w:rPr>
      </w:r>
      <w:r w:rsidR="00BB1B22" w:rsidRPr="00AC3820">
        <w:rPr>
          <w:color w:val="000000" w:themeColor="text1"/>
          <w:szCs w:val="28"/>
        </w:rPr>
      </w:r>
      <w:r w:rsidR="006C0B44" w:rsidRPr="00AC3820">
        <w:rPr>
          <w:color w:val="000000" w:themeColor="text1"/>
          <w:szCs w:val="28"/>
        </w:rPr>
      </w:r>
      <w:r w:rsidR="00BB1B22" w:rsidRPr="00AC3820">
        <w:rPr>
          <w:color w:val="000000" w:themeColor="text1"/>
          <w:szCs w:val="28"/>
        </w:rPr>
      </w:r>
      <w:r w:rsidR="006C0B44" w:rsidRPr="00AC3820">
        <w:rPr>
          <w:color w:val="000000" w:themeColor="text1"/>
          <w:szCs w:val="28"/>
        </w:rPr>
      </w:r>
      <w:r w:rsidRPr="00AC3820">
        <w:rPr>
          <w:color w:val="000000" w:themeColor="text1"/>
          <w:szCs w:val="28"/>
        </w:rPr>
      </w:r>
      <w:r w:rsidR="006C0B44" w:rsidRPr="00AC3820">
        <w:rPr>
          <w:color w:val="000000" w:themeColor="text1"/>
          <w:szCs w:val="28"/>
        </w:rPr>
      </w:r>
      <w:r w:rsidRPr="00AC3820">
        <w:rPr>
          <w:color w:val="000000" w:themeColor="text1"/>
          <w:szCs w:val="28"/>
        </w:rPr>
      </w:r>
      <w:commentRangeStart w:id="16"/>
      <w:commentRangeStart w:id="17"/>
      <w:commentRangeStart w:id="18"/>
      <w:r w:rsidRPr="00AC3820">
        <w:rPr>
          <w:color w:val="000000" w:themeColor="text1"/>
          <w:szCs w:val="28"/>
        </w:rPr>
      </w:r>
      <w:r w:rsidR="004F4A7B" w:rsidRPr="00AC3820">
        <w:rPr>
          <w:color w:val="000000" w:themeColor="text1"/>
          <w:szCs w:val="28"/>
        </w:rPr>
      </w:r>
      <w:r w:rsidRPr="00AC3820">
        <w:rPr>
          <w:color w:val="000000" w:themeColor="text1"/>
          <w:szCs w:val="28"/>
        </w:rPr>
      </w:r>
      <w:commentRangeEnd w:id="16"/>
      <w:r w:rsidR="00D26D7D" w:rsidRPr="00AC3820">
        <w:rPr>
          <w:rStyle w:val="CommentReference"/>
          <w:color w:val="000000" w:themeColor="text1"/>
          <w:sz w:val="24"/>
          <w:szCs w:val="28"/>
        </w:rPr>
      </w:r>
      <w:commentRangeEnd w:id="17"/>
      <w:r w:rsidR="0043707D" w:rsidRPr="00AC3820">
        <w:rPr>
          <w:rStyle w:val="CommentReference"/>
          <w:color w:val="000000" w:themeColor="text1"/>
          <w:sz w:val="24"/>
          <w:szCs w:val="28"/>
        </w:rPr>
      </w:r>
      <w:commentRangeEnd w:id="18"/>
      <w:r w:rsidR="006B06AF" w:rsidRPr="00AC3820">
        <w:rPr>
          <w:rStyle w:val="CommentReference"/>
          <w:color w:val="000000" w:themeColor="text1"/>
          <w:sz w:val="24"/>
          <w:szCs w:val="28"/>
        </w:rPr>
      </w:r>
      <w:r w:rsidRPr="00AC3820">
        <w:rPr>
          <w:color w:val="000000" w:themeColor="text1"/>
          <w:szCs w:val="28"/>
        </w:rPr>
      </w:r>
      <w:r w:rsidRPr="00F770BC">
        <w:rPr>
          <w:color w:val="000000" w:themeColor="text1"/>
          <w:szCs w:val="28"/>
          <w:highlight w:val="cyan"/>
        </w:rPr>
      </w:r>
      <w:r w:rsidR="00F770BC">
        <w:rPr>
          <w:color w:val="000000" w:themeColor="text1"/>
          <w:szCs w:val="28"/>
          <w:highlight w:val="cyan"/>
        </w:rPr>
      </w:r>
      <w:r w:rsidRPr="00F770BC">
        <w:rPr>
          <w:color w:val="000000" w:themeColor="text1"/>
          <w:szCs w:val="28"/>
          <w:highlight w:val="cyan"/>
        </w:rPr>
      </w:r>
      <w:r w:rsidRPr="00AC3820">
        <w:rPr>
          <w:color w:val="000000" w:themeColor="text1"/>
          <w:szCs w:val="28"/>
        </w:rPr>
      </w:r>
      <w:r w:rsidRPr="00AC3820">
        <w:rPr>
          <w:color w:val="000000" w:themeColor="text1"/>
          <w:szCs w:val="28"/>
        </w:rPr>
      </w:r>
    </w:p>
    <w:p w14:paraId="2CAF1E76" w14:textId="79BAD72E" w:rsidR="00F96425" w:rsidRPr="00AC3820" w:rsidRDefault="00F96425" w:rsidP="005C07EF">
      <w:pPr>
        <w:spacing w:line="480" w:lineRule="auto"/>
        <w:ind w:firstLine="720"/>
        <w:rPr>
          <w:color w:val="000000" w:themeColor="text1"/>
          <w:szCs w:val="28"/>
        </w:rPr>
      </w:pPr>
      <w:r w:rsidRPr="00AC3820">
        <w:rPr>
          <w:rFonts w:ascii="Times New Roman" w:hAnsi="Times New Roman" w:eastAsia="Times New Roman"/>
          <w:b w:val="0"/>
          <w:color w:val="000000" w:themeColor="text1"/>
          <w:sz w:val="24"/>
          <w:szCs w:val="28"/>
        </w:rPr>
        <w:t>Criterion and purposive sampling methods will be employed to identify participants who fulfill specific inclusion criteria and possess relevant firsthand recovery experiences (Percy et al., 2015)  Eligible participants must hold a role within the U.S. Small and Medium Enterprise (SME) information technology or networking sectors, or closely related fields, with responsibilities pertaining to disaster recovery decision-making or coordination. Additionally, participants must have direct experience within the past 36 months involving at least one disruptive event, failover, recovery test, or operational recovery that necessitated the use of an external disaster recovery or recovery platform. All participants must be 18 years of age or older, possess the capacity to engage in interviews conducted in English, and provide informed consent. Conversely, individuals will be excluded from participation if they are solely employed by vendors without a subject matter expert (SME) role, lack experience with external platform recovery, or are unable to articulate a specific recovery event in a manner that would facilitate meaningful participation in the study.</w:t>
      </w:r>
      <w:r w:rsidR="00720AE5" w:rsidRPr="00AC3820">
        <w:rPr>
          <w:color w:val="000000" w:themeColor="text1"/>
        </w:rPr>
      </w:r>
      <w:r w:rsidR="00E65F99" w:rsidRPr="00AC3820">
        <w:rPr>
          <w:color w:val="000000" w:themeColor="text1"/>
        </w:rPr>
      </w:r>
      <w:r w:rsidR="00720AE5" w:rsidRPr="00AC3820">
        <w:rPr>
          <w:color w:val="000000" w:themeColor="text1"/>
        </w:rPr>
      </w:r>
      <w:r w:rsidRPr="00AC3820">
        <w:rPr>
          <w:color w:val="000000" w:themeColor="text1"/>
          <w:szCs w:val="28"/>
        </w:rPr>
      </w:r>
    </w:p>
    <w:p w14:paraId="5530529B" w14:textId="77777777" w:rsidR="00D9774E" w:rsidRPr="00AC3820" w:rsidRDefault="00D9774E" w:rsidP="00D9774E">
      <w:pPr>
        <w:pStyle w:val="Heading5"/>
        <w:rPr>
          <w:color w:val="000000" w:themeColor="text1"/>
        </w:rPr>
      </w:pPr>
      <w:commentRangeStart w:id="19"/>
      <w:r w:rsidRPr="00AC3820">
        <w:rPr>
          <w:color w:val="000000" w:themeColor="text1"/>
        </w:rPr>
        <w:t>Constructs, Phenomena, Variables</w:t>
      </w:r>
      <w:commentRangeEnd w:id="19"/>
      <w:r w:rsidR="00D26D7D" w:rsidRPr="00AC3820">
        <w:rPr>
          <w:rStyle w:val="CommentReference"/>
          <w:color w:val="000000" w:themeColor="text1"/>
          <w:sz w:val="24"/>
          <w:szCs w:val="26"/>
        </w:rPr>
        <w:commentReference w:id="19"/>
      </w:r>
    </w:p>
    <w:p w14:paraId="39DDF7EC" w14:textId="77777777" w:rsidR="00D9774E" w:rsidRPr="00AC3820" w:rsidRDefault="00D9774E" w:rsidP="00D9774E">
      <w:pPr>
        <w:pStyle w:val="Body"/>
        <w:rPr>
          <w:i/>
          <w:iCs/>
          <w:color w:val="000000" w:themeColor="text1"/>
        </w:rPr>
      </w:pPr>
      <w:r w:rsidRPr="00AC3820">
        <w:rPr>
          <w:i/>
          <w:iCs/>
          <w:color w:val="000000" w:themeColor="text1"/>
        </w:rPr>
        <w:t>Present evidence and explanation for the final choice of framework. Constructs, phenomena</w:t>
      </w:r>
      <w:r w:rsidR="00E43461" w:rsidRPr="00AC3820">
        <w:rPr>
          <w:i/>
          <w:iCs/>
          <w:color w:val="000000" w:themeColor="text1"/>
        </w:rPr>
        <w:t>,</w:t>
      </w:r>
      <w:r w:rsidRPr="00AC3820">
        <w:rPr>
          <w:i/>
          <w:iCs/>
          <w:color w:val="000000" w:themeColor="text1"/>
        </w:rPr>
        <w:t xml:space="preserve"> </w:t>
      </w:r>
      <w:r w:rsidR="00AC0630" w:rsidRPr="00AC3820">
        <w:rPr>
          <w:i/>
          <w:iCs/>
          <w:color w:val="000000" w:themeColor="text1"/>
        </w:rPr>
        <w:t>and/or variables must align to the topic, problem, gap, and project questions. Suggested length 2-3 paragraphs.</w:t>
      </w:r>
    </w:p>
    <w:p w14:paraId="137CFCFE" w14:textId="77777777" w:rsidR="00AC0630" w:rsidRPr="00AC3820" w:rsidRDefault="00AC0630" w:rsidP="00D9774E">
      <w:pPr>
        <w:pStyle w:val="Body"/>
        <w:rPr>
          <w:i/>
          <w:iCs/>
          <w:color w:val="000000" w:themeColor="text1"/>
        </w:rPr>
      </w:pPr>
    </w:p>
    <w:p w14:paraId="3D025119" w14:textId="61F6058B" w:rsidR="00F96425" w:rsidRPr="00AC3820" w:rsidRDefault="0043707D" w:rsidP="005C07EF">
      <w:pPr>
        <w:spacing w:line="480" w:lineRule="auto"/>
        <w:ind w:firstLine="720"/>
        <w:rPr>
          <w:color w:val="000000" w:themeColor="text1"/>
          <w:szCs w:val="28"/>
        </w:rPr>
      </w:pPr>
      <w:r w:rsidRPr="00AC3820">
        <w:rPr>
          <w:rFonts w:ascii="Times New Roman" w:hAnsi="Times New Roman" w:eastAsia="Times New Roman"/>
          <w:color w:val="000000" w:themeColor="text1"/>
          <w:sz w:val="24"/>
        </w:rPr>
        <w:t>The theoretical framework is stakeholder theory as the broad foundation, operationalized through stakeholder-salience theory (Mitchell et al., 1997) and updated by value-creation stakeholder theory (Freeman et al., 2020). That framework informs the project in three ways. First, Freeman et al. (2020) justify treating recovery as cooperative value creation and trade among interdependent stakeholders rather than as a purely technical restore. Second, Mitchell et al. (1997) supply the sensitizing attributes—power, legitimacy, and urgency—that organize interview probes about whose claim counted in a named incident. Third, decision rights, escalation, evidentiary standards, and recoverability assurance are treated as enactment constructs: they are how salience becomes (or fails to become) recoverable, defensible action (Lowry et al., 2025; Park et al., 2023). The central phenomenon is therefore how U.S. SME IT and network managers interpret and operationalize ITDRPaaS governance during disruptions, failovers, recovery tests, and production-recovery events. These labels remain sensitizing probes. They are not predetermined Chapter IV theme titles and they are not quantitative variables.</w:t>
      </w:r>
      <w:r w:rsidR="00E320E4" w:rsidRPr="00AC3820">
        <w:rPr>
          <w:color w:val="000000" w:themeColor="text1"/>
        </w:rPr>
      </w:r>
      <w:r w:rsidRPr="00AC3820">
        <w:rPr>
          <w:color w:val="000000" w:themeColor="text1"/>
        </w:rPr>
      </w:r>
      <w:r w:rsidR="00F96425" w:rsidRPr="00AC3820">
        <w:rPr>
          <w:color w:val="000000" w:themeColor="text1"/>
        </w:rPr>
      </w:r>
      <w:r w:rsidR="00F96425" w:rsidRPr="00AC3820">
        <w:rPr>
          <w:color w:val="000000" w:themeColor="text1"/>
          <w:szCs w:val="28"/>
        </w:rPr>
      </w:r>
      <w:r w:rsidR="00F96425" w:rsidRPr="00AC3820">
        <w:rPr>
          <w:color w:val="000000" w:themeColor="text1"/>
          <w:szCs w:val="28"/>
        </w:rPr>
      </w:r>
      <w:r w:rsidR="00F96425" w:rsidRPr="008C1B5E">
        <w:rPr>
          <w:color w:val="000000" w:themeColor="text1"/>
          <w:szCs w:val="28"/>
          <w:highlight w:val="cyan"/>
        </w:rPr>
      </w:r>
      <w:r w:rsidR="00F96425" w:rsidRPr="00AC3820">
        <w:rPr>
          <w:color w:val="000000" w:themeColor="text1"/>
          <w:szCs w:val="28"/>
        </w:rPr>
      </w:r>
      <w:r w:rsidR="00B96AE3">
        <w:rPr>
          <w:color w:val="000000" w:themeColor="text1"/>
          <w:szCs w:val="28"/>
        </w:rPr>
      </w:r>
      <w:r w:rsidR="00F96425" w:rsidRPr="00AC3820">
        <w:rPr>
          <w:color w:val="000000" w:themeColor="text1"/>
          <w:szCs w:val="28"/>
        </w:rPr>
      </w:r>
      <w:r w:rsidR="00F96425" w:rsidRPr="008C1B5E">
        <w:rPr>
          <w:color w:val="000000" w:themeColor="text1"/>
          <w:szCs w:val="28"/>
          <w:highlight w:val="cyan"/>
        </w:rPr>
      </w:r>
      <w:r w:rsidR="00F96425" w:rsidRPr="00AC3820">
        <w:rPr>
          <w:color w:val="000000" w:themeColor="text1"/>
          <w:szCs w:val="28"/>
        </w:rPr>
      </w:r>
    </w:p>
    <w:p w14:paraId="1CEE0819" w14:textId="77777777" w:rsidR="00F96425" w:rsidRPr="00AC3820" w:rsidRDefault="00F96425" w:rsidP="00F96425">
      <w:pPr>
        <w:rPr>
          <w:color w:val="000000" w:themeColor="text1"/>
          <w:szCs w:val="28"/>
        </w:rPr>
      </w:pPr>
    </w:p>
    <w:p w14:paraId="72B95CA7" w14:textId="1D8C6146" w:rsidR="00F96425" w:rsidRPr="00AC3820" w:rsidRDefault="00F96425" w:rsidP="005C07EF">
      <w:pPr>
        <w:spacing w:line="480" w:lineRule="auto"/>
        <w:ind w:firstLine="720"/>
        <w:rPr>
          <w:color w:val="000000" w:themeColor="text1"/>
          <w:szCs w:val="28"/>
        </w:rPr>
      </w:pPr>
      <w:r w:rsidRPr="00AC3820">
        <w:rPr>
          <w:rFonts w:ascii="Times New Roman" w:hAnsi="Times New Roman" w:eastAsia="Times New Roman"/>
          <w:color w:val="000000" w:themeColor="text1"/>
          <w:sz w:val="24"/>
          <w:szCs w:val="28"/>
        </w:rPr>
        <w:t>This study does not operationalize independent or dependent variables. Constructs function as interpretive lenses in a generic qualitative inquiry (Caelli et al., 2003; Percy et al., 2015). If a participant names ISO, NIST, or BCM materials, those names are context in the spoken account. They are not coding systems, treatment conditions, or researcher-administered checklists. The study does not use experimental manipulation, a Likert salience inventory, or a hypothesized path model. Semi-structured critical-incident interviews will be used to explore how managers encounter the constructs in one named event, producing descriptive thematic insight rather than population-level causal inference (Flanagan, 1954; Chell, 2004). The framework remains anchored in stakeholder-salience theory: managers prioritize stakeholder claims through power, legitimacy, and urgency (Mitchell et al., 1997).</w:t>
      </w:r>
      <w:r w:rsidRPr="00AD3765">
        <w:rPr>
          <w:color w:val="000000" w:themeColor="text1"/>
          <w:szCs w:val="28"/>
          <w:highlight w:val="cyan"/>
        </w:rPr>
      </w:r>
      <w:r w:rsidR="00AD3765" w:rsidRPr="00AD3765">
        <w:rPr>
          <w:color w:val="000000" w:themeColor="text1"/>
          <w:szCs w:val="28"/>
          <w:highlight w:val="cyan"/>
        </w:rPr>
      </w:r>
      <w:r w:rsidRPr="00AD3765">
        <w:rPr>
          <w:color w:val="000000" w:themeColor="text1"/>
          <w:szCs w:val="28"/>
          <w:highlight w:val="cyan"/>
        </w:rPr>
      </w:r>
      <w:r w:rsidRPr="00AD3765">
        <w:rPr>
          <w:color w:val="000000" w:themeColor="text1"/>
          <w:szCs w:val="28"/>
          <w:highlight w:val="yellow"/>
        </w:rPr>
      </w:r>
      <w:r w:rsidRPr="00AC3820">
        <w:rPr>
          <w:color w:val="000000" w:themeColor="text1"/>
          <w:szCs w:val="28"/>
        </w:rPr>
      </w:r>
      <w:r w:rsidR="00AA13BF"/>
      <w:r w:rsidR="00AA13BF">
        <w:rPr>
          <w:color w:val="000000" w:themeColor="text1"/>
          <w:szCs w:val="28"/>
        </w:rPr>
      </w:r>
      <w:r w:rsidRPr="00AA13BF">
        <w:rPr>
          <w:color w:val="000000" w:themeColor="text1"/>
          <w:szCs w:val="28"/>
          <w:highlight w:val="green"/>
        </w:rPr>
      </w:r>
      <w:r w:rsidR="00AA13BF">
        <w:rPr>
          <w:color w:val="000000" w:themeColor="text1"/>
          <w:szCs w:val="28"/>
        </w:rPr>
      </w:r>
      <w:r w:rsidRPr="00AC3820">
        <w:rPr>
          <w:color w:val="000000" w:themeColor="text1"/>
          <w:szCs w:val="28"/>
        </w:rPr>
      </w:r>
      <w:r w:rsidRPr="00AC3820">
        <w:rPr>
          <w:color w:val="000000" w:themeColor="text1"/>
          <w:szCs w:val="28"/>
        </w:rPr>
      </w:r>
      <w:r w:rsidRPr="008C1B5E">
        <w:rPr>
          <w:color w:val="000000" w:themeColor="text1"/>
          <w:szCs w:val="28"/>
          <w:highlight w:val="cyan"/>
        </w:rPr>
      </w:r>
      <w:r w:rsidRPr="00AC3820">
        <w:rPr>
          <w:color w:val="000000" w:themeColor="text1"/>
          <w:szCs w:val="28"/>
        </w:rPr>
      </w:r>
    </w:p>
    <w:p w14:paraId="4C246E00" w14:textId="77777777" w:rsidR="00AC0630" w:rsidRPr="00AC3820" w:rsidRDefault="00AC0630" w:rsidP="00AC0630">
      <w:pPr>
        <w:pStyle w:val="Heading2"/>
        <w:rPr>
          <w:color w:val="000000" w:themeColor="text1"/>
        </w:rPr>
      </w:pPr>
      <w:r w:rsidRPr="00AC3820">
        <w:rPr>
          <w:color w:val="000000" w:themeColor="text1"/>
        </w:rPr>
        <w:t>Proposed Data Sources</w:t>
      </w:r>
    </w:p>
    <w:p w14:paraId="24622692" w14:textId="48B15811" w:rsidR="00230539" w:rsidRPr="00AC3820" w:rsidRDefault="00AC0630" w:rsidP="00891FB6">
      <w:pPr>
        <w:pStyle w:val="Body"/>
        <w:shd w:val="clear" w:color="auto" w:fill="E7E6E6"/>
        <w:rPr>
          <w:i/>
          <w:iCs/>
          <w:color w:val="000000" w:themeColor="text1"/>
        </w:rPr>
      </w:pPr>
      <w:r w:rsidRPr="00AC3820">
        <w:rPr>
          <w:i/>
          <w:iCs/>
          <w:color w:val="000000" w:themeColor="text1"/>
        </w:rPr>
        <w:t xml:space="preserve">Instrumentation and data collection tools address </w:t>
      </w:r>
      <w:r w:rsidR="00F02D49" w:rsidRPr="00AC3820">
        <w:rPr>
          <w:i/>
          <w:iCs/>
          <w:color w:val="000000" w:themeColor="text1"/>
        </w:rPr>
        <w:t xml:space="preserve">project </w:t>
      </w:r>
      <w:r w:rsidRPr="00AC3820">
        <w:rPr>
          <w:i/>
          <w:iCs/>
          <w:color w:val="000000" w:themeColor="text1"/>
        </w:rPr>
        <w:t>concepts; ethical threats and their mitigation are detailed.</w:t>
      </w:r>
    </w:p>
    <w:p w14:paraId="16C17E13" w14:textId="77777777" w:rsidR="00AC0630" w:rsidRPr="00AC3820" w:rsidRDefault="00AC0630" w:rsidP="00230539">
      <w:pPr>
        <w:rPr>
          <w:color w:val="000000" w:themeColor="text1"/>
        </w:rPr>
      </w:pPr>
    </w:p>
    <w:p w14:paraId="180E54C7" w14:textId="77777777" w:rsidR="00AC0630" w:rsidRPr="00AC3820" w:rsidRDefault="00AC0630" w:rsidP="00AC0630">
      <w:pPr>
        <w:pStyle w:val="Heading5"/>
        <w:rPr>
          <w:color w:val="000000" w:themeColor="text1"/>
        </w:rPr>
      </w:pPr>
      <w:commentRangeStart w:id="20"/>
      <w:r w:rsidRPr="00AC3820">
        <w:rPr>
          <w:color w:val="000000" w:themeColor="text1"/>
        </w:rPr>
        <w:t>Measures or Artifacts to be Reviewed</w:t>
      </w:r>
      <w:commentRangeEnd w:id="20"/>
      <w:r w:rsidR="00995D09" w:rsidRPr="00AC3820">
        <w:rPr>
          <w:rStyle w:val="CommentReference"/>
          <w:color w:val="000000" w:themeColor="text1"/>
          <w:sz w:val="24"/>
          <w:szCs w:val="26"/>
        </w:rPr>
        <w:commentReference w:id="20"/>
      </w:r>
    </w:p>
    <w:p w14:paraId="7D32220B" w14:textId="77777777" w:rsidR="006C70C5" w:rsidRPr="00AC3820" w:rsidRDefault="00AC0630" w:rsidP="006C70C5">
      <w:pPr>
        <w:pStyle w:val="Body"/>
        <w:rPr>
          <w:i/>
          <w:iCs/>
          <w:color w:val="000000" w:themeColor="text1"/>
        </w:rPr>
      </w:pPr>
      <w:r w:rsidRPr="00AC3820">
        <w:rPr>
          <w:i/>
          <w:iCs/>
          <w:color w:val="000000" w:themeColor="text1"/>
        </w:rPr>
        <w:t>Present a description of instrumentation or data collection tools. Measures or artifacts must closely align with the methodological approach. Suggested length 3-4 paragraphs.</w:t>
      </w:r>
    </w:p>
    <w:p w14:paraId="079F1525" w14:textId="4574AB4F" w:rsidR="00E5476D" w:rsidRPr="00AC3820" w:rsidRDefault="0078284A" w:rsidP="006C70C5">
      <w:pPr>
        <w:pStyle w:val="Body"/>
        <w:spacing w:line="480" w:lineRule="auto"/>
        <w:rPr>
          <w:rStyle w:val="ng-star-inserted"/>
          <w:i/>
          <w:iCs/>
          <w:color w:val="000000" w:themeColor="text1"/>
        </w:rPr>
      </w:pPr>
      <w:r w:rsidRPr="00AC3820">
        <w:rPr>
          <w:rFonts w:ascii="Times New Roman" w:hAnsi="Times New Roman" w:eastAsia="Times New Roman"/>
          <w:color w:val="000000" w:themeColor="text1"/>
          <w:sz w:val="24"/>
        </w:rPr>
        <w:t>Data will be collected through interviews only. The primary instrument is a researcher-developed, semi-structured critical-incident interview guide (ITDR-GQI-INT-v0.1.1) designed to explore how U.S. SME IT and network managers describe disaster-recovery governance during one named disruption, failover, recovery test, or operational recovery in the preceding 36 months (Caelli et al., 2003; Flanagan, 1954; Percy et al., 2015). The guide is aligned with stakeholder-salience theory and with this study’s enactment constructs: power, legitimacy, urgency, decision rights, escalation, evidentiary standards, and recoverability assurance (Mitchell et al., 1997). Theoretical words stay in the researcher codebook. Spoken questions use manager language.</w:t>
      </w:r>
      <w:r w:rsidR="00E5476D" w:rsidRPr="00AC3820">
        <w:rPr>
          <w:rStyle w:val="ng-star-inserted"/>
          <w:color w:val="000000" w:themeColor="text1"/>
        </w:rPr>
      </w:r>
      <w:r w:rsidR="00E5476D" w:rsidRPr="00AC3820">
        <w:rPr>
          <w:rStyle w:val="ng-star-inserted"/>
          <w:rFonts w:cs="Times New Roman"/>
          <w:color w:val="000000" w:themeColor="text1"/>
          <w:sz w:val="24"/>
          <w:szCs w:val="24"/>
        </w:rPr>
      </w:r>
      <w:r w:rsidR="00E5476D" w:rsidRPr="00AD3765">
        <w:rPr>
          <w:rStyle w:val="ng-star-inserted"/>
          <w:rFonts w:cs="Times New Roman"/>
          <w:color w:val="000000" w:themeColor="text1"/>
          <w:sz w:val="24"/>
          <w:szCs w:val="24"/>
          <w:highlight w:val="cyan"/>
        </w:rPr>
      </w:r>
      <w:r w:rsidR="00AD3765" w:rsidRPr="00AD3765">
        <w:rPr>
          <w:rStyle w:val="ng-star-inserted"/>
          <w:rFonts w:cs="Times New Roman"/>
          <w:color w:val="000000" w:themeColor="text1"/>
          <w:sz w:val="24"/>
          <w:szCs w:val="24"/>
          <w:highlight w:val="cyan"/>
        </w:rPr>
      </w:r>
      <w:r w:rsidR="00E5476D" w:rsidRPr="00AC3820">
        <w:rPr>
          <w:rStyle w:val="ng-star-inserted"/>
          <w:rFonts w:cs="Times New Roman"/>
          <w:color w:val="000000" w:themeColor="text1"/>
          <w:sz w:val="24"/>
          <w:szCs w:val="24"/>
        </w:rPr>
      </w:r>
    </w:p>
    <w:p w14:paraId="174C26D3" w14:textId="26B2FBE0" w:rsidR="00E5476D" w:rsidRPr="00AC3820" w:rsidRDefault="00E5476D" w:rsidP="006C70C5">
      <w:pPr>
        <w:tabs>
          <w:tab w:val="left" w:pos="180"/>
        </w:tabs>
        <w:spacing w:line="480" w:lineRule="auto"/>
        <w:ind w:left="90" w:hanging="90"/>
        <w:rPr>
          <w:color w:val="000000" w:themeColor="text1"/>
        </w:rPr>
      </w:pPr>
      <w:r w:rsidRPr="00AC3820">
        <w:rPr>
          <w:rStyle w:val="ng-star-inserted"/>
          <w:rFonts w:ascii="Times New Roman" w:hAnsi="Times New Roman" w:eastAsia="Times New Roman"/>
          <w:color w:val="000000" w:themeColor="text1"/>
          <w:sz w:val="24"/>
        </w:rPr>
        <w:t>Interview-guide development will continue as a documented next step and does not have to be completed during this course. After the protocol is locked for wording, the researcher will convene a small subject-matter-expert (SME) panel of IT-recovery or qualitative-methods reviewers who will not later sit as study participants. The panel will review question clarity, neutrality, construct coverage, and alignment to the primary research question and to stakeholder-salience theory. The purpose of SME review is to reduce leading stems and to confirm that each item can elicit a named-event account rather than a generic “how we usually recover” answer. The researcher will then conduct two to three mock interviews or a pilot test with individuals who match the professional profile but are excluded from the n = 12 sample. The purpose of the mock or pilot is to time the 60–75 minute protocol, test skip rules, and revise probes before IRB-approved data collection. Expert review and pilot testing are instrument-development steps, not additional data sources.</w:t>
      </w:r>
      <w:r w:rsidRPr="00AC3820">
        <w:rPr>
          <w:rStyle w:val="ng-star-inserted"/>
          <w:color w:val="000000" w:themeColor="text1"/>
        </w:rPr>
      </w:r>
      <w:r w:rsidRPr="00AC3820">
        <w:rPr>
          <w:rStyle w:val="ng-star-inserted"/>
          <w:color w:val="000000" w:themeColor="text1"/>
        </w:rPr>
      </w:r>
      <w:r w:rsidRPr="00AC3820">
        <w:rPr>
          <w:rStyle w:val="ng-star-inserted"/>
          <w:color w:val="000000" w:themeColor="text1"/>
        </w:rPr>
      </w:r>
      <w:r w:rsidRPr="001B1529">
        <w:rPr>
          <w:rStyle w:val="ng-star-inserted"/>
          <w:color w:val="000000" w:themeColor="text1"/>
          <w:highlight w:val="yellow"/>
        </w:rPr>
      </w:r>
      <w:r w:rsidRPr="00AC3820">
        <w:rPr>
          <w:rStyle w:val="ng-star-inserted"/>
          <w:color w:val="000000" w:themeColor="text1"/>
        </w:rPr>
      </w:r>
      <w:commentRangeStart w:id="21"/>
      <w:r w:rsidR="0078284A" w:rsidRPr="00AC3820">
        <w:rPr>
          <w:rStyle w:val="ng-star-inserted"/>
          <w:color w:val="000000" w:themeColor="text1"/>
        </w:rPr>
      </w:r>
      <w:commentRangeEnd w:id="21"/>
      <w:r w:rsidR="00995D09" w:rsidRPr="00AC3820">
        <w:rPr>
          <w:rStyle w:val="CommentReference"/>
          <w:color w:val="000000" w:themeColor="text1"/>
          <w:sz w:val="24"/>
          <w:szCs w:val="24"/>
        </w:rPr>
      </w:r>
      <w:r w:rsidR="0078284A" w:rsidRPr="00AC3820">
        <w:rPr>
          <w:rStyle w:val="ng-star-inserted"/>
          <w:color w:val="000000" w:themeColor="text1"/>
        </w:rPr>
      </w:r>
      <w:commentRangeStart w:id="22"/>
      <w:r w:rsidR="0078284A" w:rsidRPr="00AC3820">
        <w:rPr>
          <w:rStyle w:val="ng-star-inserted"/>
          <w:color w:val="000000" w:themeColor="text1"/>
        </w:rPr>
      </w:r>
      <w:r w:rsidR="00DD2554" w:rsidRPr="00AC3820">
        <w:rPr>
          <w:rStyle w:val="ng-star-inserted"/>
          <w:color w:val="000000" w:themeColor="text1"/>
        </w:rPr>
      </w:r>
      <w:r w:rsidR="0078284A" w:rsidRPr="00AC3820">
        <w:rPr>
          <w:rStyle w:val="ng-star-inserted"/>
          <w:color w:val="000000" w:themeColor="text1"/>
        </w:rPr>
      </w:r>
      <w:r w:rsidR="0078284A" w:rsidRPr="00AC3820">
        <w:rPr>
          <w:color w:val="000000" w:themeColor="text1"/>
        </w:rPr>
      </w:r>
      <w:r w:rsidR="0078284A" w:rsidRPr="00AC3820">
        <w:rPr>
          <w:rStyle w:val="ng-star-inserted"/>
          <w:color w:val="000000" w:themeColor="text1"/>
        </w:rPr>
      </w:r>
      <w:r w:rsidR="00734905" w:rsidRPr="00AC3820">
        <w:rPr>
          <w:rStyle w:val="ng-star-inserted"/>
          <w:color w:val="000000" w:themeColor="text1"/>
        </w:rPr>
      </w:r>
      <w:r w:rsidR="00FA7944" w:rsidRPr="00AC3820">
        <w:rPr>
          <w:rStyle w:val="ng-star-inserted"/>
          <w:color w:val="000000" w:themeColor="text1"/>
        </w:rPr>
      </w:r>
      <w:r w:rsidR="00734905" w:rsidRPr="00AC3820">
        <w:rPr>
          <w:rStyle w:val="ng-star-inserted"/>
          <w:color w:val="000000" w:themeColor="text1"/>
        </w:rPr>
      </w:r>
      <w:r w:rsidR="0078284A" w:rsidRPr="00AC3820">
        <w:rPr>
          <w:rStyle w:val="ng-star-inserted"/>
          <w:color w:val="000000" w:themeColor="text1"/>
        </w:rPr>
      </w:r>
      <w:r w:rsidR="00F770BC">
        <w:rPr>
          <w:rStyle w:val="ng-star-inserted"/>
          <w:color w:val="000000" w:themeColor="text1"/>
        </w:rPr>
      </w:r>
      <w:r w:rsidR="0078284A" w:rsidRPr="00AC3820">
        <w:rPr>
          <w:rStyle w:val="ng-star-inserted"/>
          <w:color w:val="000000" w:themeColor="text1"/>
        </w:rPr>
      </w:r>
      <w:r w:rsidR="00734905" w:rsidRPr="00AC3820">
        <w:rPr>
          <w:rStyle w:val="ng-star-inserted"/>
          <w:color w:val="000000" w:themeColor="text1"/>
        </w:rPr>
      </w:r>
      <w:r w:rsidR="00175626" w:rsidRPr="00AC3820">
        <w:rPr>
          <w:rStyle w:val="ng-star-inserted"/>
          <w:color w:val="000000" w:themeColor="text1"/>
        </w:rPr>
      </w:r>
      <w:r w:rsidR="00734905" w:rsidRPr="00AC3820">
        <w:rPr>
          <w:rStyle w:val="ng-star-inserted"/>
          <w:color w:val="000000" w:themeColor="text1"/>
        </w:rPr>
      </w:r>
      <w:r w:rsidR="00734905" w:rsidRPr="00AA13BF">
        <w:rPr>
          <w:rStyle w:val="ng-star-inserted"/>
          <w:color w:val="000000" w:themeColor="text1"/>
          <w:highlight w:val="cyan"/>
        </w:rPr>
      </w:r>
      <w:r w:rsidR="004664CF" w:rsidRPr="00AC3820">
        <w:rPr>
          <w:rStyle w:val="ng-star-inserted"/>
          <w:color w:val="000000" w:themeColor="text1"/>
        </w:rPr>
      </w:r>
      <w:r w:rsidR="00734905" w:rsidRPr="00AC3820">
        <w:rPr>
          <w:rStyle w:val="ng-star-inserted"/>
          <w:color w:val="000000" w:themeColor="text1"/>
        </w:rPr>
      </w:r>
      <w:r w:rsidR="00175626" w:rsidRPr="00AC3820">
        <w:rPr>
          <w:rStyle w:val="ng-star-inserted"/>
          <w:color w:val="000000" w:themeColor="text1"/>
        </w:rPr>
      </w:r>
      <w:r w:rsidR="0078284A" w:rsidRPr="00AC3820">
        <w:rPr>
          <w:rStyle w:val="ng-star-inserted"/>
          <w:color w:val="000000" w:themeColor="text1"/>
        </w:rPr>
      </w:r>
      <w:r w:rsidR="00175626" w:rsidRPr="00AC3820">
        <w:rPr>
          <w:rStyle w:val="ng-star-inserted"/>
          <w:color w:val="000000" w:themeColor="text1"/>
        </w:rPr>
      </w:r>
      <w:r w:rsidR="0078284A" w:rsidRPr="00AC3820">
        <w:rPr>
          <w:rStyle w:val="ng-star-inserted"/>
          <w:color w:val="000000" w:themeColor="text1"/>
        </w:rPr>
      </w:r>
      <w:r w:rsidR="004664CF" w:rsidRPr="00AC3820">
        <w:rPr>
          <w:rStyle w:val="ng-star-inserted"/>
          <w:color w:val="000000" w:themeColor="text1"/>
        </w:rPr>
      </w:r>
      <w:r w:rsidR="00FA7944" w:rsidRPr="00AD3765">
        <w:rPr>
          <w:color w:val="000000" w:themeColor="text1"/>
          <w:highlight w:val="cyan"/>
        </w:rPr>
      </w:r>
      <w:r w:rsidR="00AD3765" w:rsidRPr="00AD3765">
        <w:rPr>
          <w:color w:val="000000" w:themeColor="text1"/>
          <w:highlight w:val="cyan"/>
        </w:rPr>
      </w:r>
      <w:r w:rsidR="00FA7944" w:rsidRPr="00AC3820">
        <w:rPr>
          <w:color w:val="000000" w:themeColor="text1"/>
        </w:rPr>
      </w:r>
      <w:r w:rsidR="004664CF" w:rsidRPr="00AC3820">
        <w:rPr>
          <w:color w:val="000000" w:themeColor="text1"/>
        </w:rPr>
      </w:r>
      <w:r w:rsidR="00FA7944" w:rsidRPr="00AC3820">
        <w:rPr>
          <w:rStyle w:val="ng-star-inserted"/>
          <w:color w:val="000000" w:themeColor="text1"/>
        </w:rPr>
      </w:r>
      <w:commentRangeEnd w:id="22"/>
      <w:r w:rsidR="00857AF4" w:rsidRPr="00AC3820">
        <w:rPr>
          <w:rStyle w:val="CommentReference"/>
          <w:color w:val="000000" w:themeColor="text1"/>
          <w:sz w:val="24"/>
          <w:szCs w:val="24"/>
        </w:rPr>
      </w:r>
      <w:r w:rsidR="00FA7944" w:rsidRPr="00AC3820">
        <w:rPr>
          <w:rStyle w:val="ng-star-inserted"/>
          <w:color w:val="000000" w:themeColor="text1"/>
        </w:rPr>
      </w:r>
      <w:r w:rsidR="0078284A" w:rsidRPr="00AC3820">
        <w:rPr>
          <w:rStyle w:val="ng-star-inserted"/>
          <w:color w:val="000000" w:themeColor="text1"/>
        </w:rPr>
      </w:r>
      <w:r w:rsidR="00536967" w:rsidRPr="00AC3820">
        <w:rPr>
          <w:rStyle w:val="ng-star-inserted"/>
          <w:color w:val="000000" w:themeColor="text1"/>
        </w:rPr>
      </w:r>
      <w:r w:rsidR="0078284A" w:rsidRPr="00AC3820">
        <w:rPr>
          <w:rStyle w:val="ng-star-inserted"/>
          <w:color w:val="000000" w:themeColor="text1"/>
        </w:rPr>
      </w:r>
      <w:r w:rsidR="00536967" w:rsidRPr="00AC3820">
        <w:rPr>
          <w:rStyle w:val="ng-star-inserted"/>
          <w:color w:val="000000" w:themeColor="text1"/>
        </w:rPr>
      </w:r>
      <w:r w:rsidR="0078284A" w:rsidRPr="00AC3820">
        <w:rPr>
          <w:rStyle w:val="ng-star-inserted"/>
          <w:color w:val="000000" w:themeColor="text1"/>
        </w:rPr>
      </w:r>
      <w:r w:rsidR="00175626" w:rsidRPr="00AC3820">
        <w:rPr>
          <w:rStyle w:val="ng-star-inserted"/>
          <w:color w:val="000000" w:themeColor="text1"/>
        </w:rPr>
      </w:r>
      <w:r w:rsidR="00FA7944" w:rsidRPr="00AD3765">
        <w:rPr>
          <w:rStyle w:val="ng-star-inserted"/>
          <w:color w:val="000000" w:themeColor="text1"/>
          <w:highlight w:val="cyan"/>
        </w:rPr>
      </w:r>
      <w:r w:rsidR="00AD3765" w:rsidRPr="00AD3765">
        <w:rPr>
          <w:rStyle w:val="ng-star-inserted"/>
          <w:color w:val="000000" w:themeColor="text1"/>
          <w:highlight w:val="cyan"/>
        </w:rPr>
      </w:r>
      <w:r w:rsidR="00FA7944" w:rsidRPr="00AD3765">
        <w:rPr>
          <w:rStyle w:val="ng-star-inserted"/>
          <w:color w:val="000000" w:themeColor="text1"/>
          <w:highlight w:val="cyan"/>
        </w:rPr>
      </w:r>
      <w:r w:rsidR="00FA7944" w:rsidRPr="00AC3820">
        <w:rPr>
          <w:color w:val="000000" w:themeColor="text1"/>
        </w:rPr>
      </w:r>
      <w:r w:rsidR="00FA7944" w:rsidRPr="00AA13BF">
        <w:rPr>
          <w:rStyle w:val="ng-star-inserted"/>
          <w:color w:val="000000" w:themeColor="text1"/>
          <w:highlight w:val="cyan"/>
        </w:rPr>
      </w:r>
      <w:r w:rsidR="00FA7944" w:rsidRPr="00AC3820">
        <w:rPr>
          <w:rStyle w:val="ng-star-inserted"/>
          <w:color w:val="000000" w:themeColor="text1"/>
        </w:rPr>
      </w:r>
      <w:r w:rsidR="00175626" w:rsidRPr="00AC3820">
        <w:rPr>
          <w:rStyle w:val="ng-star-inserted"/>
          <w:color w:val="000000" w:themeColor="text1"/>
        </w:rPr>
      </w:r>
      <w:r w:rsidR="0078284A" w:rsidRPr="00AC3820">
        <w:rPr>
          <w:rStyle w:val="ng-star-inserted"/>
          <w:color w:val="000000" w:themeColor="text1"/>
        </w:rPr>
      </w:r>
    </w:p>
    <w:p w14:paraId="5035A911" w14:textId="1150CAD3" w:rsidR="0078284A" w:rsidRPr="00AC3820" w:rsidRDefault="0078284A" w:rsidP="006C70C5">
      <w:pPr>
        <w:spacing w:line="480" w:lineRule="auto"/>
        <w:ind w:left="90" w:firstLine="630"/>
        <w:rPr>
          <w:color w:val="000000" w:themeColor="text1"/>
        </w:rPr>
      </w:pPr>
      <w:r w:rsidRPr="00AC3820">
        <w:rPr>
          <w:rStyle w:val="ng-star-inserted"/>
          <w:rFonts w:ascii="Times New Roman" w:hAnsi="Times New Roman" w:eastAsia="Times New Roman"/>
          <w:color w:val="000000" w:themeColor="text1"/>
          <w:sz w:val="24"/>
        </w:rPr>
        <w:t>The interview protocol includes a required critical-incident opening (Q0) and follow-up sets that are asked only if the opening story did not already supply a concrete example. No organizational documents will be collected. If a manager names a log, ticket, approval, or matrix, the researcher will ask what that record did in the event; the spoken description remains interview data. The four-column alignment matrix below maps each numbered interview question to the primary research question and to the theoretical framework (stakeholder-salience theory; Mitchell et al., 1997), with value-creation stakeholder theory (Freeman et al., 2020) as the Need / What We Know foundation rather than as a spoken construct.</w:t>
      </w:r>
      <w:r w:rsidRPr="00AC3820">
        <w:rPr>
          <w:color w:val="000000" w:themeColor="text1"/>
        </w:rPr>
      </w:r>
      <w:r w:rsidRPr="00AC3820">
        <w:rPr>
          <w:rStyle w:val="ng-star-inserted"/>
          <w:color w:val="000000" w:themeColor="text1"/>
        </w:rPr>
      </w:r>
      <w:r w:rsidRPr="00AC3820">
        <w:rPr>
          <w:color w:val="000000" w:themeColor="text1"/>
        </w:rPr>
      </w:r>
      <w:r w:rsidRPr="00AC3820">
        <w:rPr>
          <w:rStyle w:val="ng-star-inserted"/>
          <w:color w:val="000000" w:themeColor="text1"/>
        </w:rPr>
      </w:r>
      <w:r w:rsidR="004664CF" w:rsidRPr="00AC3820">
        <w:rPr>
          <w:rStyle w:val="ng-star-inserted"/>
          <w:color w:val="000000" w:themeColor="text1"/>
        </w:rPr>
      </w:r>
      <w:r w:rsidR="00175626" w:rsidRPr="00AC3820">
        <w:rPr>
          <w:rStyle w:val="ng-star-inserted"/>
          <w:color w:val="000000" w:themeColor="text1"/>
        </w:rPr>
      </w:r>
      <w:r w:rsidRPr="00AC3820">
        <w:rPr>
          <w:rStyle w:val="ng-star-inserted"/>
          <w:color w:val="000000" w:themeColor="text1"/>
        </w:rPr>
      </w:r>
      <w:commentRangeStart w:id="23"/>
      <w:r w:rsidRPr="00AC3820">
        <w:rPr>
          <w:rStyle w:val="ng-star-inserted"/>
          <w:color w:val="000000" w:themeColor="text1"/>
        </w:rPr>
      </w:r>
      <w:r w:rsidRPr="00AC3820">
        <w:rPr>
          <w:rStyle w:val="ng-star-inserted"/>
          <w:color w:val="000000" w:themeColor="text1"/>
        </w:rPr>
      </w:r>
      <w:r w:rsidR="00FA7944" w:rsidRPr="00AC3820">
        <w:rPr>
          <w:rStyle w:val="ng-star-inserted"/>
          <w:color w:val="000000" w:themeColor="text1"/>
        </w:rPr>
      </w:r>
      <w:r w:rsidR="00175626" w:rsidRPr="00AC3820">
        <w:rPr>
          <w:rStyle w:val="ng-star-inserted"/>
          <w:color w:val="000000" w:themeColor="text1"/>
        </w:rPr>
      </w:r>
      <w:r w:rsidR="00FA7944" w:rsidRPr="00AC3820">
        <w:rPr>
          <w:rStyle w:val="ng-star-inserted"/>
          <w:color w:val="000000" w:themeColor="text1"/>
        </w:rPr>
      </w:r>
      <w:r w:rsidR="00175626" w:rsidRPr="00AC3820">
        <w:rPr>
          <w:rStyle w:val="ng-star-inserted"/>
          <w:color w:val="000000" w:themeColor="text1"/>
        </w:rPr>
      </w:r>
      <w:commentRangeEnd w:id="23"/>
      <w:r w:rsidR="00857AF4" w:rsidRPr="00AC3820">
        <w:rPr>
          <w:rStyle w:val="CommentReference"/>
          <w:color w:val="000000" w:themeColor="text1"/>
          <w:sz w:val="24"/>
          <w:szCs w:val="24"/>
        </w:rPr>
      </w:r>
      <w:r w:rsidRPr="00AC3820">
        <w:rPr>
          <w:rStyle w:val="ng-star-inserted"/>
          <w:color w:val="000000" w:themeColor="text1"/>
        </w:rPr>
      </w:r>
      <w:r w:rsidR="006C70C5" w:rsidRPr="00AC3820">
        <w:rPr>
          <w:rStyle w:val="ng-star-inserted"/>
          <w:color w:val="000000" w:themeColor="text1"/>
        </w:rPr>
      </w:r>
      <w:r w:rsidR="00FA7944" w:rsidRPr="00AC3820">
        <w:rPr>
          <w:rStyle w:val="ng-star-inserted"/>
          <w:color w:val="000000" w:themeColor="text1"/>
        </w:rPr>
      </w:r>
      <w:r w:rsidR="006C70C5" w:rsidRPr="00AC3820">
        <w:rPr>
          <w:rStyle w:val="ng-star-inserted"/>
          <w:color w:val="000000" w:themeColor="text1"/>
        </w:rPr>
      </w:r>
      <w:r w:rsidR="00175626" w:rsidRPr="00AC3820">
        <w:rPr>
          <w:rStyle w:val="ng-star-inserted"/>
          <w:color w:val="000000" w:themeColor="text1"/>
        </w:rPr>
      </w:r>
      <w:r w:rsidRPr="00AC3820">
        <w:rPr>
          <w:rStyle w:val="ng-star-inserted"/>
          <w:color w:val="000000" w:themeColor="text1"/>
        </w:rPr>
      </w:r>
      <w:r w:rsidRPr="00AC3820">
        <w:rPr>
          <w:color w:val="000000" w:themeColor="text1"/>
        </w:rPr>
      </w:r>
      <w:r w:rsidR="006C70C5" w:rsidRPr="00AC3820">
        <w:rPr>
          <w:rStyle w:val="ng-star-inserted"/>
          <w:color w:val="000000" w:themeColor="text1"/>
        </w:rPr>
      </w:r>
      <w:r w:rsidR="00175626" w:rsidRPr="00AC3820">
        <w:rPr>
          <w:rStyle w:val="ng-star-inserted"/>
          <w:color w:val="000000" w:themeColor="text1"/>
        </w:rPr>
      </w:r>
      <w:r w:rsidRPr="00AC3820">
        <w:rPr>
          <w:rStyle w:val="ng-star-inserted"/>
          <w:color w:val="000000" w:themeColor="text1"/>
        </w:rPr>
      </w:r>
      <w:commentRangeStart w:id="24"/>
      <w:r w:rsidRPr="00AC3820">
        <w:rPr>
          <w:rStyle w:val="ng-star-inserted"/>
          <w:color w:val="000000" w:themeColor="text1"/>
        </w:rPr>
      </w:r>
      <w:commentRangeEnd w:id="24"/>
      <w:r w:rsidR="00857AF4" w:rsidRPr="00AC3820">
        <w:rPr>
          <w:rStyle w:val="CommentReference"/>
          <w:color w:val="000000" w:themeColor="text1"/>
          <w:sz w:val="24"/>
          <w:szCs w:val="24"/>
        </w:rPr>
      </w:r>
      <w:r w:rsidRPr="00AC3820">
        <w:rPr>
          <w:rStyle w:val="ng-star-inserted"/>
          <w:color w:val="000000" w:themeColor="text1"/>
        </w:rPr>
      </w:r>
      <w:r w:rsidR="00175626" w:rsidRPr="00AC3820">
        <w:rPr>
          <w:rStyle w:val="ng-star-inserted"/>
          <w:color w:val="000000" w:themeColor="text1"/>
        </w:rPr>
      </w:r>
      <w:r w:rsidR="004664CF" w:rsidRPr="00AC3820">
        <w:rPr>
          <w:rStyle w:val="ng-star-inserted"/>
          <w:color w:val="000000" w:themeColor="text1"/>
        </w:rPr>
      </w:r>
      <w:r w:rsidR="00FA7944" w:rsidRPr="00AA13BF">
        <w:rPr>
          <w:rStyle w:val="ng-star-inserted"/>
          <w:color w:val="000000" w:themeColor="text1"/>
          <w:highlight w:val="cyan"/>
        </w:rPr>
      </w:r>
      <w:r w:rsidR="00175626" w:rsidRPr="00AC3820">
        <w:rPr>
          <w:rStyle w:val="ng-star-inserted"/>
          <w:color w:val="000000" w:themeColor="text1"/>
        </w:rPr>
      </w:r>
      <w:r w:rsidRPr="00AC3820">
        <w:rPr>
          <w:rStyle w:val="ng-star-inserted"/>
          <w:color w:val="000000" w:themeColor="text1"/>
        </w:rPr>
      </w:r>
    </w:p>
    <w:p>
      <w:pPr>
        <w:spacing w:line="480" w:lineRule="auto"/>
      </w:pPr>
      <w:r>
        <w:rPr>
          <w:rFonts w:ascii="Times New Roman" w:hAnsi="Times New Roman" w:eastAsia="Times New Roman"/>
          <w:sz w:val="24"/>
        </w:rPr>
        <w:t>Interview question alignment matrix. Primary research question: What are the perceptions of U.S. SME IT/network managers regarding the establishment and governance of IT Disaster Recovery as a Service (ITDRPaaS) in environments where competing stakeholder priorities influence disaster recovery decisions? Theoretical framework: stakeholder-salience theory (Mitchell et al., 1997), grounded in value-creation stakeholder theory (Freeman et al., 2020).</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160"/>
        <w:gridCol w:w="2160"/>
        <w:gridCol w:w="2160"/>
        <w:gridCol w:w="2160"/>
      </w:tblGrid>
      <w:tr>
        <w:tc>
          <w:tcPr>
            <w:tcW w:w="2160" w:type="dxa"/>
          </w:tcPr>
          <w:p>
            <w:r>
              <w:rPr>
                <w:b/>
                <w:rFonts w:ascii="Times New Roman" w:hAnsi="Times New Roman"/>
                <w:sz w:val="18"/>
              </w:rPr>
              <w:t xml:space="preserve">RQ</w:t>
            </w:r>
          </w:p>
        </w:tc>
        <w:tc>
          <w:tcPr>
            <w:tcW w:w="2160" w:type="dxa"/>
          </w:tcPr>
          <w:p>
            <w:r>
              <w:rPr>
                <w:b/>
                <w:rFonts w:ascii="Times New Roman" w:hAnsi="Times New Roman"/>
                <w:sz w:val="18"/>
              </w:rPr>
              <w:t xml:space="preserve">Interview questions (numbered)</w:t>
            </w:r>
          </w:p>
        </w:tc>
        <w:tc>
          <w:tcPr>
            <w:tcW w:w="2160" w:type="dxa"/>
          </w:tcPr>
          <w:p>
            <w:r>
              <w:rPr>
                <w:b/>
                <w:rFonts w:ascii="Times New Roman" w:hAnsi="Times New Roman"/>
                <w:sz w:val="18"/>
              </w:rPr>
              <w:t xml:space="preserve">Alignment to RQ</w:t>
            </w:r>
          </w:p>
        </w:tc>
        <w:tc>
          <w:tcPr>
            <w:tcW w:w="2160" w:type="dxa"/>
          </w:tcPr>
          <w:p>
            <w:r>
              <w:rPr>
                <w:b/>
                <w:rFonts w:ascii="Times New Roman" w:hAnsi="Times New Roman"/>
                <w:sz w:val="18"/>
              </w:rPr>
              <w:t xml:space="preserve">Alignment to theoretical framework</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Q0. Please walk me through one specific disruption, failover, recovery test, or operational recovery in the last 36 months where you used an external recovery platform or managed recovery service.</w:t>
            </w:r>
          </w:p>
        </w:tc>
        <w:tc>
          <w:tcPr>
            <w:tcW w:w="2160" w:type="dxa"/>
          </w:tcPr>
          <w:p>
            <w:r>
              <w:rPr>
                <w:rFonts w:ascii="Times New Roman" w:hAnsi="Times New Roman"/>
                <w:sz w:val="18"/>
              </w:rPr>
              <w:t xml:space="preserve">Anchors the RQ in one named ITDRPaaS event rather than a general opinion about recovery.</w:t>
            </w:r>
          </w:p>
        </w:tc>
        <w:tc>
          <w:tcPr>
            <w:tcW w:w="2160" w:type="dxa"/>
          </w:tcPr>
          <w:p>
            <w:r>
              <w:rPr>
                <w:rFonts w:ascii="Times New Roman" w:hAnsi="Times New Roman"/>
                <w:sz w:val="18"/>
              </w:rPr>
              <w:t xml:space="preserve">Critical-incident account in which value-creation claims (Freeman et al., 2020) and salience attributes can be observed (Mitchell et al., 1997).</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L1. In that event, who actually moved what got restored first—or who could have stopped it?</w:t>
            </w:r>
          </w:p>
        </w:tc>
        <w:tc>
          <w:tcPr>
            <w:tcW w:w="2160" w:type="dxa"/>
          </w:tcPr>
          <w:p>
            <w:r>
              <w:rPr>
                <w:rFonts w:ascii="Times New Roman" w:hAnsi="Times New Roman"/>
                <w:sz w:val="18"/>
              </w:rPr>
              <w:t xml:space="preserve">Locates whose claim counted when restoration was ranked.</w:t>
            </w:r>
          </w:p>
        </w:tc>
        <w:tc>
          <w:tcPr>
            <w:tcW w:w="2160" w:type="dxa"/>
          </w:tcPr>
          <w:p>
            <w:r>
              <w:rPr>
                <w:rFonts w:ascii="Times New Roman" w:hAnsi="Times New Roman"/>
                <w:sz w:val="18"/>
              </w:rPr>
              <w:t xml:space="preserve">Power/legitimacy/urgency enacted as pull; not a fourth attribute.</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L2. What gave that person or group the ability to move the decision—their position, a written rule, the clock, something else?</w:t>
            </w:r>
          </w:p>
        </w:tc>
        <w:tc>
          <w:tcPr>
            <w:tcW w:w="2160" w:type="dxa"/>
          </w:tcPr>
          <w:p>
            <w:r>
              <w:rPr>
                <w:rFonts w:ascii="Times New Roman" w:hAnsi="Times New Roman"/>
                <w:sz w:val="18"/>
              </w:rPr>
              <w:t xml:space="preserve">Identifies the source of that pull in the same event.</w:t>
            </w:r>
          </w:p>
        </w:tc>
        <w:tc>
          <w:tcPr>
            <w:tcW w:w="2160" w:type="dxa"/>
          </w:tcPr>
          <w:p>
            <w:r>
              <w:rPr>
                <w:rFonts w:ascii="Times New Roman" w:hAnsi="Times New Roman"/>
                <w:sz w:val="18"/>
              </w:rPr>
              <w:t xml:space="preserve">Maps the claim to power, legitimacy, and/or urgency (Mitchell et al., 1997).</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L3. If that pull had not been there, what would you have done differently?</w:t>
            </w:r>
          </w:p>
        </w:tc>
        <w:tc>
          <w:tcPr>
            <w:tcW w:w="2160" w:type="dxa"/>
          </w:tcPr>
          <w:p>
            <w:r>
              <w:rPr>
                <w:rFonts w:ascii="Times New Roman" w:hAnsi="Times New Roman"/>
                <w:sz w:val="18"/>
              </w:rPr>
              <w:t xml:space="preserve">Shows how competing priorities changed the recovery decision.</w:t>
            </w:r>
          </w:p>
        </w:tc>
        <w:tc>
          <w:tcPr>
            <w:tcW w:w="2160" w:type="dxa"/>
          </w:tcPr>
          <w:p>
            <w:r>
              <w:rPr>
                <w:rFonts w:ascii="Times New Roman" w:hAnsi="Times New Roman"/>
                <w:sz w:val="18"/>
              </w:rPr>
              <w:t xml:space="preserve">Counterfactual on salience-driven prioritization.</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A1. Whose request or pressure most affected what got restored first?</w:t>
            </w:r>
          </w:p>
        </w:tc>
        <w:tc>
          <w:tcPr>
            <w:tcW w:w="2160" w:type="dxa"/>
          </w:tcPr>
          <w:p>
            <w:r>
              <w:rPr>
                <w:rFonts w:ascii="Times New Roman" w:hAnsi="Times New Roman"/>
                <w:sz w:val="18"/>
              </w:rPr>
              <w:t xml:space="preserve">Power aspect of competing stakeholder priorities.</w:t>
            </w:r>
          </w:p>
        </w:tc>
        <w:tc>
          <w:tcPr>
            <w:tcW w:w="2160" w:type="dxa"/>
          </w:tcPr>
          <w:p>
            <w:r>
              <w:rPr>
                <w:rFonts w:ascii="Times New Roman" w:hAnsi="Times New Roman"/>
                <w:sz w:val="18"/>
              </w:rPr>
              <w:t xml:space="preserve">Power: capacity to force, withhold, delay, or override (Mitchell et al., 1997).</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A2. Was there anyone who could delay, override, or stop a recovery action you thought was right?</w:t>
            </w:r>
          </w:p>
        </w:tc>
        <w:tc>
          <w:tcPr>
            <w:tcW w:w="2160" w:type="dxa"/>
          </w:tcPr>
          <w:p>
            <w:r>
              <w:rPr>
                <w:rFonts w:ascii="Times New Roman" w:hAnsi="Times New Roman"/>
                <w:sz w:val="18"/>
              </w:rPr>
              <w:t xml:space="preserve">Power as unused or opposing pressure.</w:t>
            </w:r>
          </w:p>
        </w:tc>
        <w:tc>
          <w:tcPr>
            <w:tcW w:w="2160" w:type="dxa"/>
          </w:tcPr>
          <w:p>
            <w:r>
              <w:rPr>
                <w:rFonts w:ascii="Times New Roman" w:hAnsi="Times New Roman"/>
                <w:sz w:val="18"/>
              </w:rPr>
              <w:t xml:space="preserve">Power boundary case.</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B1. Whose claim to a service or a recovery order did people treat as having a right to ask for it?</w:t>
            </w:r>
          </w:p>
        </w:tc>
        <w:tc>
          <w:tcPr>
            <w:tcW w:w="2160" w:type="dxa"/>
          </w:tcPr>
          <w:p>
            <w:r>
              <w:rPr>
                <w:rFonts w:ascii="Times New Roman" w:hAnsi="Times New Roman"/>
                <w:sz w:val="18"/>
              </w:rPr>
              <w:t xml:space="preserve">Legitimacy of competing claims.</w:t>
            </w:r>
          </w:p>
        </w:tc>
        <w:tc>
          <w:tcPr>
            <w:tcW w:w="2160" w:type="dxa"/>
          </w:tcPr>
          <w:p>
            <w:r>
              <w:rPr>
                <w:rFonts w:ascii="Times New Roman" w:hAnsi="Times New Roman"/>
                <w:sz w:val="18"/>
              </w:rPr>
              <w:t xml:space="preserve">Legitimacy: claim treated as rightful (Mitchell et al., 1997).</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B2. Was anyone’s request treated as out of line or outside their role? What happened then?</w:t>
            </w:r>
          </w:p>
        </w:tc>
        <w:tc>
          <w:tcPr>
            <w:tcW w:w="2160" w:type="dxa"/>
          </w:tcPr>
          <w:p>
            <w:r>
              <w:rPr>
                <w:rFonts w:ascii="Times New Roman" w:hAnsi="Times New Roman"/>
                <w:sz w:val="18"/>
              </w:rPr>
              <w:t xml:space="preserve">Contested legitimacy during governance.</w:t>
            </w:r>
          </w:p>
        </w:tc>
        <w:tc>
          <w:tcPr>
            <w:tcW w:w="2160" w:type="dxa"/>
          </w:tcPr>
          <w:p>
            <w:r>
              <w:rPr>
                <w:rFonts w:ascii="Times New Roman" w:hAnsi="Times New Roman"/>
                <w:sz w:val="18"/>
              </w:rPr>
              <w:t xml:space="preserve">Legitimacy boundary case.</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C1. What made one service or one stakeholder more time-critical than another in that event?</w:t>
            </w:r>
          </w:p>
        </w:tc>
        <w:tc>
          <w:tcPr>
            <w:tcW w:w="2160" w:type="dxa"/>
          </w:tcPr>
          <w:p>
            <w:r>
              <w:rPr>
                <w:rFonts w:ascii="Times New Roman" w:hAnsi="Times New Roman"/>
                <w:sz w:val="18"/>
              </w:rPr>
              <w:t xml:space="preserve">Urgency as a driver of recovery priority.</w:t>
            </w:r>
          </w:p>
        </w:tc>
        <w:tc>
          <w:tcPr>
            <w:tcW w:w="2160" w:type="dxa"/>
          </w:tcPr>
          <w:p>
            <w:r>
              <w:rPr>
                <w:rFonts w:ascii="Times New Roman" w:hAnsi="Times New Roman"/>
                <w:sz w:val="18"/>
              </w:rPr>
              <w:t xml:space="preserve">Urgency: time sensitivity and criticality (Mitchell et al., 1997).</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C2. Did that sense of time pressure change while you were working the incident? What changed it?</w:t>
            </w:r>
          </w:p>
        </w:tc>
        <w:tc>
          <w:tcPr>
            <w:tcW w:w="2160" w:type="dxa"/>
          </w:tcPr>
          <w:p>
            <w:r>
              <w:rPr>
                <w:rFonts w:ascii="Times New Roman" w:hAnsi="Times New Roman"/>
                <w:sz w:val="18"/>
              </w:rPr>
              <w:t xml:space="preserve">Mid-incident salience shift.</w:t>
            </w:r>
          </w:p>
        </w:tc>
        <w:tc>
          <w:tcPr>
            <w:tcW w:w="2160" w:type="dxa"/>
          </w:tcPr>
          <w:p>
            <w:r>
              <w:rPr>
                <w:rFonts w:ascii="Times New Roman" w:hAnsi="Times New Roman"/>
                <w:sz w:val="18"/>
              </w:rPr>
              <w:t xml:space="preserve">Urgency as amplifier during the event.</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D1. Who was supposed to make the call on that tradeoff, and who actually made it?</w:t>
            </w:r>
          </w:p>
        </w:tc>
        <w:tc>
          <w:tcPr>
            <w:tcW w:w="2160" w:type="dxa"/>
          </w:tcPr>
          <w:p>
            <w:r>
              <w:rPr>
                <w:rFonts w:ascii="Times New Roman" w:hAnsi="Times New Roman"/>
                <w:sz w:val="18"/>
              </w:rPr>
              <w:t xml:space="preserve">Decision-rights part of ITDRPaaS governance.</w:t>
            </w:r>
          </w:p>
        </w:tc>
        <w:tc>
          <w:tcPr>
            <w:tcW w:w="2160" w:type="dxa"/>
          </w:tcPr>
          <w:p>
            <w:r>
              <w:rPr>
                <w:rFonts w:ascii="Times New Roman" w:hAnsi="Times New Roman"/>
                <w:sz w:val="18"/>
              </w:rPr>
              <w:t xml:space="preserve">Enactment of whose claim counted; framework remains PLU.</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D2. Was there a moment when you needed authority you did not have? What did you do?</w:t>
            </w:r>
          </w:p>
        </w:tc>
        <w:tc>
          <w:tcPr>
            <w:tcW w:w="2160" w:type="dxa"/>
          </w:tcPr>
          <w:p>
            <w:r>
              <w:rPr>
                <w:rFonts w:ascii="Times New Roman" w:hAnsi="Times New Roman"/>
                <w:sz w:val="18"/>
              </w:rPr>
              <w:t xml:space="preserve">Missing or bypassed decision rights.</w:t>
            </w:r>
          </w:p>
        </w:tc>
        <w:tc>
          <w:tcPr>
            <w:tcW w:w="2160" w:type="dxa"/>
          </w:tcPr>
          <w:p>
            <w:r>
              <w:rPr>
                <w:rFonts w:ascii="Times New Roman" w:hAnsi="Times New Roman"/>
                <w:sz w:val="18"/>
              </w:rPr>
              <w:t xml:space="preserve">Authority gap under salience pressure.</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E1. What, if anything, triggered an escalation?</w:t>
            </w:r>
          </w:p>
        </w:tc>
        <w:tc>
          <w:tcPr>
            <w:tcW w:w="2160" w:type="dxa"/>
          </w:tcPr>
          <w:p>
            <w:r>
              <w:rPr>
                <w:rFonts w:ascii="Times New Roman" w:hAnsi="Times New Roman"/>
                <w:sz w:val="18"/>
              </w:rPr>
              <w:t xml:space="preserve">Escalation as a governance action under competing priorities.</w:t>
            </w:r>
          </w:p>
        </w:tc>
        <w:tc>
          <w:tcPr>
            <w:tcW w:w="2160" w:type="dxa"/>
          </w:tcPr>
          <w:p>
            <w:r>
              <w:rPr>
                <w:rFonts w:ascii="Times New Roman" w:hAnsi="Times New Roman"/>
                <w:sz w:val="18"/>
              </w:rPr>
              <w:t xml:space="preserve">How a stalled claim was moved upward or outward.</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E2. Did escalation speed the restoration, slow it, or change what done meant?</w:t>
            </w:r>
          </w:p>
        </w:tc>
        <w:tc>
          <w:tcPr>
            <w:tcW w:w="2160" w:type="dxa"/>
          </w:tcPr>
          <w:p>
            <w:r>
              <w:rPr>
                <w:rFonts w:ascii="Times New Roman" w:hAnsi="Times New Roman"/>
                <w:sz w:val="18"/>
              </w:rPr>
              <w:t xml:space="preserve">Effect of escalation on recovery governance.</w:t>
            </w:r>
          </w:p>
        </w:tc>
        <w:tc>
          <w:tcPr>
            <w:tcW w:w="2160" w:type="dxa"/>
          </w:tcPr>
          <w:p>
            <w:r>
              <w:rPr>
                <w:rFonts w:ascii="Times New Roman" w:hAnsi="Times New Roman"/>
                <w:sz w:val="18"/>
              </w:rPr>
              <w:t xml:space="preserve">Salience translated into pathway and outcome.</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F1. When you told others the service was recovered, what did you treat as enough proof?</w:t>
            </w:r>
          </w:p>
        </w:tc>
        <w:tc>
          <w:tcPr>
            <w:tcW w:w="2160" w:type="dxa"/>
          </w:tcPr>
          <w:p>
            <w:r>
              <w:rPr>
                <w:rFonts w:ascii="Times New Roman" w:hAnsi="Times New Roman"/>
                <w:sz w:val="18"/>
              </w:rPr>
              <w:t xml:space="preserve">Evidentiary standard in the named event.</w:t>
            </w:r>
          </w:p>
        </w:tc>
        <w:tc>
          <w:tcPr>
            <w:tcW w:w="2160" w:type="dxa"/>
          </w:tcPr>
          <w:p>
            <w:r>
              <w:rPr>
                <w:rFonts w:ascii="Times New Roman" w:hAnsi="Times New Roman"/>
                <w:sz w:val="18"/>
              </w:rPr>
              <w:t xml:space="preserve">What counted as defensible recoverability.</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F2. Did anyone ask for different proof mid-incident? What did you do?</w:t>
            </w:r>
          </w:p>
        </w:tc>
        <w:tc>
          <w:tcPr>
            <w:tcW w:w="2160" w:type="dxa"/>
          </w:tcPr>
          <w:p>
            <w:r>
              <w:rPr>
                <w:rFonts w:ascii="Times New Roman" w:hAnsi="Times New Roman"/>
                <w:sz w:val="18"/>
              </w:rPr>
              <w:t xml:space="preserve">Renegotiated proof under stakeholder pressure.</w:t>
            </w:r>
          </w:p>
        </w:tc>
        <w:tc>
          <w:tcPr>
            <w:tcW w:w="2160" w:type="dxa"/>
          </w:tcPr>
          <w:p>
            <w:r>
              <w:rPr>
                <w:rFonts w:ascii="Times New Roman" w:hAnsi="Times New Roman"/>
                <w:sz w:val="18"/>
              </w:rPr>
              <w:t xml:space="preserve">Salience shift enacted as a changed evidence threshold.</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F3. Looking back, what would you point to if you had to defend that restoration?</w:t>
            </w:r>
          </w:p>
        </w:tc>
        <w:tc>
          <w:tcPr>
            <w:tcW w:w="2160" w:type="dxa"/>
          </w:tcPr>
          <w:p>
            <w:r>
              <w:rPr>
                <w:rFonts w:ascii="Times New Roman" w:hAnsi="Times New Roman"/>
                <w:sz w:val="18"/>
              </w:rPr>
              <w:t xml:space="preserve">Recoverability assurance as spoken defense, not a collected file.</w:t>
            </w:r>
          </w:p>
        </w:tc>
        <w:tc>
          <w:tcPr>
            <w:tcW w:w="2160" w:type="dxa"/>
          </w:tcPr>
          <w:p>
            <w:r>
              <w:rPr>
                <w:rFonts w:ascii="Times New Roman" w:hAnsi="Times New Roman"/>
                <w:sz w:val="18"/>
              </w:rPr>
              <w:t xml:space="preserve">Defensible proof of value restored for stakeholders (Freeman et al., 2020; Lowry et al., 2025).</w:t>
            </w:r>
          </w:p>
        </w:tc>
      </w:tr>
    </w:tbl>
    <w:p w14:paraId="5A4DA60F" w14:textId="77777777" w:rsidR="00AC0630" w:rsidRPr="00AC3820" w:rsidRDefault="00AC0630" w:rsidP="00AC0630">
      <w:pPr>
        <w:pStyle w:val="Heading5"/>
        <w:rPr>
          <w:color w:val="000000" w:themeColor="text1"/>
        </w:rPr>
      </w:pPr>
      <w:commentRangeStart w:id="25"/>
      <w:r w:rsidRPr="00AC3820">
        <w:rPr>
          <w:color w:val="000000" w:themeColor="text1"/>
        </w:rPr>
        <w:t>Detailed Procedures</w:t>
      </w:r>
      <w:commentRangeEnd w:id="25"/>
      <w:r w:rsidR="00DD2554" w:rsidRPr="00AC3820">
        <w:rPr>
          <w:rStyle w:val="CommentReference"/>
          <w:color w:val="000000" w:themeColor="text1"/>
          <w:sz w:val="24"/>
          <w:szCs w:val="26"/>
        </w:rPr>
        <w:commentReference w:id="25"/>
      </w:r>
    </w:p>
    <w:p w14:paraId="6FE862A4" w14:textId="77777777" w:rsidR="00AC0630" w:rsidRPr="00AC3820" w:rsidRDefault="00AC0630" w:rsidP="00AC0630">
      <w:pPr>
        <w:pStyle w:val="Body"/>
        <w:rPr>
          <w:i/>
          <w:iCs/>
          <w:color w:val="000000" w:themeColor="text1"/>
        </w:rPr>
      </w:pPr>
      <w:r w:rsidRPr="00AC3820">
        <w:rPr>
          <w:i/>
          <w:iCs/>
          <w:color w:val="000000" w:themeColor="text1"/>
        </w:rPr>
        <w:t>Present a description of the processes needed to complete the instruments by the participants or observers. Suggest</w:t>
      </w:r>
      <w:r w:rsidR="00E330FA" w:rsidRPr="00AC3820">
        <w:rPr>
          <w:i/>
          <w:iCs/>
          <w:color w:val="000000" w:themeColor="text1"/>
        </w:rPr>
        <w:t>ed</w:t>
      </w:r>
      <w:r w:rsidRPr="00AC3820">
        <w:rPr>
          <w:i/>
          <w:iCs/>
          <w:color w:val="000000" w:themeColor="text1"/>
        </w:rPr>
        <w:t xml:space="preserve"> length 3-4 paragraphs. </w:t>
      </w:r>
    </w:p>
    <w:p w14:paraId="6E06C543" w14:textId="77777777" w:rsidR="00536967" w:rsidRPr="00AC3820" w:rsidRDefault="00536967" w:rsidP="00AC0630">
      <w:pPr>
        <w:pStyle w:val="Body"/>
        <w:rPr>
          <w:i/>
          <w:iCs/>
          <w:color w:val="000000" w:themeColor="text1"/>
        </w:rPr>
      </w:pPr>
    </w:p>
    <w:p w14:paraId="37B60399" w14:textId="77777777" w:rsidR="00536967" w:rsidRPr="00AC3820" w:rsidRDefault="00536967" w:rsidP="00AC0630">
      <w:pPr>
        <w:pStyle w:val="Body"/>
        <w:rPr>
          <w:color w:val="000000" w:themeColor="text1"/>
        </w:rPr>
      </w:pPr>
    </w:p>
    <w:p w14:paraId="5B19E996" w14:textId="3B2769EA" w:rsidR="000E7013" w:rsidRPr="00AC3820" w:rsidRDefault="001A31D2" w:rsidP="006C70C5">
      <w:pPr>
        <w:spacing w:line="480" w:lineRule="auto"/>
        <w:ind w:firstLineChars="200" w:firstLine="480"/>
        <w:rPr>
          <w:color w:val="000000" w:themeColor="text1"/>
        </w:rPr>
      </w:pPr>
      <w:r w:rsidRPr="00AC3820">
        <w:rPr>
          <w:rStyle w:val="ng-star-inserted"/>
          <w:rFonts w:ascii="Times New Roman" w:hAnsi="Times New Roman" w:eastAsia="Times New Roman"/>
          <w:b w:val="0"/>
          <w:color w:val="000000" w:themeColor="text1"/>
          <w:sz w:val="24"/>
        </w:rPr>
        <w:t>Operational procedures begin with purposive and criterion sampling to identify qualified participants (Percy et al., 2015). The locked sample is 12. Inclusion requires service as an IT or network manager (or equivalent systems, infrastructure, or IT operations role) in a U.S. SME of 10 to 200 personnel (Ekinci et al., 2025); direct operational responsibility for, or participation in, IT disaster-recovery coordination that uses an external platform or managed recovery service; and at least one disruption, failover, recovery test, or operational recovery in the preceding 36 months. Vendor-only employees and managers who cannot name a qualifying event are excluded. After eligibility is verified, the researcher emails the informed consent form; once signed electronic consent is returned, a virtual, recorded English interview is scheduled.</w:t>
      </w:r>
      <w:r w:rsidR="000E7013" w:rsidRPr="00AC3820">
        <w:rPr>
          <w:rStyle w:val="ng-star-inserted"/>
          <w:color w:val="000000" w:themeColor="text1"/>
        </w:rPr>
      </w:r>
      <w:r w:rsidRPr="00AC3820">
        <w:rPr>
          <w:rStyle w:val="ng-star-inserted"/>
          <w:color w:val="000000" w:themeColor="text1"/>
        </w:rPr>
      </w:r>
      <w:r w:rsidR="006C70C5" w:rsidRPr="00AC3820">
        <w:rPr>
          <w:rStyle w:val="ng-star-inserted"/>
          <w:color w:val="000000" w:themeColor="text1"/>
        </w:rPr>
      </w:r>
      <w:r w:rsidRPr="00AC3820">
        <w:rPr>
          <w:rStyle w:val="ng-star-inserted"/>
          <w:color w:val="000000" w:themeColor="text1"/>
        </w:rPr>
      </w:r>
      <w:r w:rsidR="006C70C5" w:rsidRPr="00AC3820">
        <w:rPr>
          <w:rStyle w:val="ng-star-inserted"/>
          <w:color w:val="000000" w:themeColor="text1"/>
        </w:rPr>
      </w:r>
      <w:r w:rsidRPr="00AC3820">
        <w:rPr>
          <w:rStyle w:val="ng-star-inserted"/>
          <w:color w:val="000000" w:themeColor="text1"/>
        </w:rPr>
      </w:r>
      <w:r w:rsidR="000E7013" w:rsidRPr="00AC3820">
        <w:rPr>
          <w:color w:val="000000" w:themeColor="text1"/>
        </w:rPr>
      </w:r>
    </w:p>
    <w:p w14:paraId="5D10196E" w14:textId="6743963A" w:rsidR="006C70C5" w:rsidRPr="00AC3820" w:rsidRDefault="001A31D2" w:rsidP="006C70C5">
      <w:pPr>
        <w:spacing w:line="480" w:lineRule="auto"/>
        <w:rPr>
          <w:color w:val="000000" w:themeColor="text1"/>
        </w:rPr>
      </w:pPr>
      <w:r w:rsidRPr="00AC3820">
        <w:rPr>
          <w:rStyle w:val="ng-star-inserted"/>
          <w:rFonts w:ascii="Times New Roman" w:hAnsi="Times New Roman" w:eastAsia="Times New Roman"/>
          <w:color w:val="000000" w:themeColor="text1"/>
          <w:sz w:val="24"/>
        </w:rPr>
        <w:t>The locked sample remains 12 throughout screening, scheduling, and analysis. That count is not a finding that the gap is closed.</w:t>
      </w:r>
      <w:r w:rsidRPr="00AC3820">
        <w:rPr>
          <w:rStyle w:val="ng-star-inserted"/>
          <w:color w:val="000000" w:themeColor="text1"/>
        </w:rPr>
      </w:r>
      <w:r w:rsidR="000E7013" w:rsidRPr="00AC3820">
        <w:rPr>
          <w:rStyle w:val="ng-star-inserted"/>
          <w:color w:val="000000" w:themeColor="text1"/>
        </w:rPr>
      </w:r>
      <w:r w:rsidR="000E7013" w:rsidRPr="00AD3765">
        <w:rPr>
          <w:rStyle w:val="ng-star-inserted"/>
          <w:color w:val="000000" w:themeColor="text1"/>
          <w:highlight w:val="cyan"/>
        </w:rPr>
      </w:r>
      <w:r w:rsidR="00AD3765" w:rsidRPr="00AD3765">
        <w:rPr>
          <w:rStyle w:val="ng-star-inserted"/>
          <w:color w:val="000000" w:themeColor="text1"/>
          <w:highlight w:val="cyan"/>
        </w:rPr>
      </w:r>
      <w:r w:rsidR="000E7013" w:rsidRPr="00AD3765">
        <w:rPr>
          <w:rStyle w:val="ng-star-inserted"/>
          <w:color w:val="000000" w:themeColor="text1"/>
          <w:highlight w:val="cyan"/>
        </w:rPr>
      </w:r>
      <w:r w:rsidRPr="00AD3765">
        <w:rPr>
          <w:rStyle w:val="ng-star-inserted"/>
          <w:color w:val="000000" w:themeColor="text1"/>
          <w:highlight w:val="cyan"/>
        </w:rPr>
      </w:r>
      <w:r w:rsidRPr="00AC3820">
        <w:rPr>
          <w:rStyle w:val="ng-star-inserted"/>
          <w:color w:val="000000" w:themeColor="text1"/>
        </w:rPr>
      </w:r>
      <w:r w:rsidR="000E7013" w:rsidRPr="00AC3820">
        <w:rPr>
          <w:rStyle w:val="ng-star-inserted"/>
          <w:color w:val="000000" w:themeColor="text1"/>
        </w:rPr>
      </w:r>
      <w:r w:rsidRPr="00AC3820">
        <w:rPr>
          <w:rStyle w:val="ng-star-inserted"/>
          <w:color w:val="000000" w:themeColor="text1"/>
        </w:rPr>
      </w:r>
      <w:r w:rsidR="000E7013" w:rsidRPr="00AC3820">
        <w:rPr>
          <w:rStyle w:val="ng-star-inserted"/>
          <w:color w:val="000000" w:themeColor="text1"/>
        </w:rPr>
      </w:r>
      <w:r w:rsidRPr="00AC3820">
        <w:rPr>
          <w:rStyle w:val="ng-star-inserted"/>
          <w:color w:val="000000" w:themeColor="text1"/>
        </w:rPr>
      </w:r>
      <w:r w:rsidR="000E7013" w:rsidRPr="00AC3820">
        <w:rPr>
          <w:rStyle w:val="ng-star-inserted"/>
          <w:color w:val="000000" w:themeColor="text1"/>
        </w:rPr>
      </w:r>
      <w:r w:rsidRPr="00AC3820">
        <w:rPr>
          <w:rStyle w:val="ng-star-inserted"/>
          <w:color w:val="000000" w:themeColor="text1"/>
        </w:rPr>
      </w:r>
    </w:p>
    <w:p w14:paraId="4EF64A93" w14:textId="2DDD9CF6" w:rsidR="006C70C5" w:rsidRPr="00AC3820" w:rsidRDefault="001A31D2" w:rsidP="006C70C5">
      <w:pPr>
        <w:spacing w:line="480" w:lineRule="auto"/>
        <w:ind w:firstLine="720"/>
        <w:rPr>
          <w:rStyle w:val="ng-star-inserted"/>
          <w:color w:val="000000" w:themeColor="text1"/>
        </w:rPr>
      </w:pPr>
      <w:r w:rsidRPr="00AC3820">
        <w:rPr>
          <w:rStyle w:val="ng-star-inserted"/>
          <w:rFonts w:ascii="Times New Roman" w:hAnsi="Times New Roman" w:eastAsia="Times New Roman"/>
          <w:color w:val="000000" w:themeColor="text1"/>
          <w:sz w:val="24"/>
        </w:rPr>
        <w:t>The second phase is the semi-structured interview. The session opens with a standardized ethics script, then uses the critical-incident technique (Flanagan, 1954; Chell, 2004; Butterfield et al., 2005). The participant is asked to walk through one specific recovery or testing incident. The researcher guides the dialogue with open-ended questions and flexible probes anchored in stakeholder-salience theory (Mitchell et al., 1997). Probes address whose request or pressure moved restore order, whose claim was treated as rightful, what made one service time-critical, who was supposed to decide versus who did, what if anything was escalated, and what counted as enough proof that the service was recovered. Guest et al. (2006) is not the interview method.</w:t>
      </w:r>
      <w:r w:rsidR="000E7013" w:rsidRPr="00AC3820">
        <w:rPr>
          <w:rStyle w:val="ng-star-inserted"/>
          <w:color w:val="000000" w:themeColor="text1"/>
        </w:rPr>
      </w:r>
      <w:r w:rsidR="00537FD4" w:rsidRPr="00AC3820">
        <w:rPr>
          <w:rStyle w:val="ng-star-inserted"/>
          <w:color w:val="000000" w:themeColor="text1"/>
        </w:rPr>
      </w:r>
      <w:r w:rsidR="00247AE5" w:rsidRPr="00AC3820">
        <w:rPr>
          <w:rStyle w:val="ng-star-inserted"/>
          <w:color w:val="000000" w:themeColor="text1"/>
        </w:rPr>
      </w:r>
      <w:r w:rsidRPr="00AC3820">
        <w:rPr>
          <w:rStyle w:val="ng-star-inserted"/>
          <w:color w:val="000000" w:themeColor="text1"/>
        </w:rPr>
      </w:r>
      <w:r w:rsidR="000E7013" w:rsidRPr="00AC3820">
        <w:rPr>
          <w:color w:val="000000" w:themeColor="text1"/>
        </w:rPr>
      </w:r>
      <w:r w:rsidR="000E7013" w:rsidRPr="00AC3820">
        <w:rPr>
          <w:rStyle w:val="ng-star-inserted"/>
          <w:color w:val="000000" w:themeColor="text1"/>
        </w:rPr>
      </w:r>
      <w:r w:rsidR="000E7013" w:rsidRPr="00AA13BF">
        <w:rPr>
          <w:rStyle w:val="ng-star-inserted"/>
          <w:color w:val="000000" w:themeColor="text1"/>
          <w:highlight w:val="cyan"/>
        </w:rPr>
      </w:r>
      <w:r w:rsidR="000E7013" w:rsidRPr="00AC3820">
        <w:rPr>
          <w:rStyle w:val="ng-star-inserted"/>
          <w:color w:val="000000" w:themeColor="text1"/>
        </w:rPr>
      </w:r>
      <w:r w:rsidR="00247AE5" w:rsidRPr="00AC3820">
        <w:rPr>
          <w:rStyle w:val="ng-star-inserted"/>
          <w:color w:val="000000" w:themeColor="text1"/>
        </w:rPr>
      </w:r>
      <w:r w:rsidR="00537FD4" w:rsidRPr="00AC3820">
        <w:rPr>
          <w:rStyle w:val="ng-star-inserted"/>
          <w:color w:val="000000" w:themeColor="text1"/>
        </w:rPr>
      </w:r>
      <w:r w:rsidRPr="00AC3820">
        <w:rPr>
          <w:rStyle w:val="ng-star-inserted"/>
          <w:color w:val="000000" w:themeColor="text1"/>
        </w:rPr>
      </w:r>
      <w:r w:rsidR="00247AE5" w:rsidRPr="00AC3820">
        <w:rPr>
          <w:rStyle w:val="ng-star-inserted"/>
          <w:color w:val="000000" w:themeColor="text1"/>
        </w:rPr>
      </w:r>
      <w:r w:rsidRPr="00AC3820">
        <w:rPr>
          <w:rStyle w:val="ng-star-inserted"/>
          <w:color w:val="000000" w:themeColor="text1"/>
        </w:rPr>
      </w:r>
      <w:r w:rsidR="00537FD4" w:rsidRPr="00AC3820">
        <w:rPr>
          <w:rStyle w:val="ng-star-inserted"/>
          <w:color w:val="000000" w:themeColor="text1"/>
        </w:rPr>
      </w:r>
      <w:r w:rsidR="006C70C5" w:rsidRPr="00AC3820">
        <w:rPr>
          <w:rStyle w:val="ng-star-inserted"/>
          <w:color w:val="000000" w:themeColor="text1"/>
        </w:rPr>
      </w:r>
      <w:r w:rsidR="00537FD4" w:rsidRPr="00AC3820">
        <w:rPr>
          <w:rStyle w:val="ng-star-inserted"/>
          <w:color w:val="000000" w:themeColor="text1"/>
        </w:rPr>
      </w:r>
      <w:r w:rsidR="000E7013" w:rsidRPr="00AC3820">
        <w:rPr>
          <w:rStyle w:val="ng-star-inserted"/>
          <w:color w:val="000000" w:themeColor="text1"/>
        </w:rPr>
      </w:r>
      <w:r w:rsidR="00537FD4" w:rsidRPr="004B2AB4">
        <w:rPr>
          <w:rStyle w:val="ng-star-inserted"/>
          <w:color w:val="000000" w:themeColor="text1"/>
          <w:sz w:val="22"/>
          <w:szCs w:val="22"/>
          <w:highlight w:val="cyan"/>
        </w:rPr>
      </w:r>
      <w:r w:rsidR="00537FD4" w:rsidRPr="00F75B74">
        <w:rPr>
          <w:rStyle w:val="ng-star-inserted"/>
          <w:color w:val="000000" w:themeColor="text1"/>
          <w:highlight w:val="cyan"/>
        </w:rPr>
      </w:r>
      <w:r w:rsidR="00F75B74" w:rsidRPr="00F75B74">
        <w:rPr>
          <w:rStyle w:val="ng-star-inserted"/>
          <w:color w:val="000000" w:themeColor="text1"/>
          <w:highlight w:val="cyan"/>
        </w:rPr>
      </w:r>
      <w:r w:rsidR="00537FD4" w:rsidRPr="00F75B74">
        <w:rPr>
          <w:rStyle w:val="ng-star-inserted"/>
          <w:color w:val="000000" w:themeColor="text1"/>
          <w:highlight w:val="cyan"/>
        </w:rPr>
      </w:r>
      <w:r w:rsidR="000E7013" w:rsidRPr="00AC3820">
        <w:rPr>
          <w:rStyle w:val="ng-star-inserted"/>
          <w:color w:val="000000" w:themeColor="text1"/>
        </w:rPr>
      </w:r>
      <w:r w:rsidRPr="00AC3820">
        <w:rPr>
          <w:rStyle w:val="ng-star-inserted"/>
          <w:color w:val="000000" w:themeColor="text1"/>
        </w:rPr>
      </w:r>
      <w:r w:rsidRPr="00EB61EE">
        <w:rPr>
          <w:rStyle w:val="ng-star-inserted"/>
          <w:color w:val="000000" w:themeColor="text1"/>
          <w:highlight w:val="cyan"/>
        </w:rPr>
      </w:r>
      <w:r w:rsidRPr="00AC3820">
        <w:rPr>
          <w:rStyle w:val="ng-star-inserted"/>
          <w:color w:val="000000" w:themeColor="text1"/>
        </w:rPr>
      </w:r>
      <w:r w:rsidR="000E7013" w:rsidRPr="00AC3820">
        <w:rPr>
          <w:rStyle w:val="ng-star-inserted"/>
          <w:color w:val="000000" w:themeColor="text1"/>
        </w:rPr>
      </w:r>
      <w:r w:rsidR="00537FD4" w:rsidRPr="00AC3820">
        <w:rPr>
          <w:rStyle w:val="ng-star-inserted"/>
          <w:color w:val="000000" w:themeColor="text1"/>
        </w:rPr>
      </w:r>
      <w:r w:rsidR="000E7013" w:rsidRPr="00AC3820">
        <w:rPr>
          <w:rStyle w:val="ng-star-inserted"/>
          <w:color w:val="000000" w:themeColor="text1"/>
        </w:rPr>
      </w:r>
      <w:r w:rsidR="00537FD4" w:rsidRPr="00AC3820">
        <w:rPr>
          <w:rStyle w:val="ng-star-inserted"/>
          <w:color w:val="000000" w:themeColor="text1"/>
        </w:rPr>
      </w:r>
      <w:r w:rsidR="000E7013" w:rsidRPr="00AC3820">
        <w:rPr>
          <w:rStyle w:val="ng-star-inserted"/>
          <w:color w:val="000000" w:themeColor="text1"/>
        </w:rPr>
      </w:r>
      <w:r w:rsidRPr="00AC3820">
        <w:rPr>
          <w:rStyle w:val="ng-star-inserted"/>
          <w:color w:val="000000" w:themeColor="text1"/>
        </w:rPr>
      </w:r>
    </w:p>
    <w:p w14:paraId="3676E162" w14:textId="564DE756" w:rsidR="00BF6248" w:rsidRPr="00BF6248" w:rsidRDefault="006C70C5" w:rsidP="00BF6248">
      <w:pPr>
        <w:spacing w:line="480" w:lineRule="auto"/>
        <w:ind w:firstLine="720"/>
        <w:rPr>
          <w:b/>
          <w:bCs/>
        </w:rPr>
      </w:pPr>
      <w:commentRangeStart w:id="26"/>
      <w:r w:rsidRPr="00AC3820">
        <w:rPr>
          <w:rStyle w:val="ng-star-inserted"/>
          <w:rFonts w:ascii="Times New Roman" w:hAnsi="Times New Roman" w:eastAsia="Times New Roman"/>
          <w:color w:val="000000" w:themeColor="text1"/>
          <w:sz w:val="24"/>
        </w:rPr>
        <w:t>Data collection is interviews only. The researcher will not collect, score, or audit disaster-recovery plans, escalation matrices, ISO, NIST, or BCM documents. If the participant names such a record, the researcher will ask what it did in the incident and record that spoken account. After the session, the recording is transcribed verbatim. To support credibility, the researcher will send a de-identified transcript for a seven-day factual member check of sequence, roles, and what was named as proof (Lincoln &amp; Guba, 1985). Member checking does not require approval of final themes.</w:t>
      </w:r>
      <w:r w:rsidRPr="00AA13BF">
        <w:rPr>
          <w:rStyle w:val="ng-star-inserted"/>
          <w:color w:val="000000" w:themeColor="text1"/>
        </w:rPr>
      </w:r>
      <w:r w:rsidRPr="00AC3820">
        <w:rPr>
          <w:rStyle w:val="ng-star-inserted"/>
          <w:color w:val="000000" w:themeColor="text1"/>
        </w:rPr>
      </w:r>
      <w:r w:rsidRPr="00AA13BF">
        <w:rPr>
          <w:rStyle w:val="ng-star-inserted"/>
          <w:color w:val="000000" w:themeColor="text1"/>
          <w:highlight w:val="green"/>
        </w:rPr>
      </w:r>
      <w:r w:rsidRPr="00AC3820">
        <w:rPr>
          <w:rStyle w:val="ng-star-inserted"/>
          <w:color w:val="000000" w:themeColor="text1"/>
        </w:rPr>
      </w:r>
      <w:commentRangeEnd w:id="26"/>
      <w:r w:rsidR="00995D09" w:rsidRPr="00AC3820">
        <w:rPr>
          <w:rStyle w:val="CommentReference"/>
          <w:color w:val="000000" w:themeColor="text1"/>
          <w:sz w:val="24"/>
          <w:szCs w:val="24"/>
        </w:rPr>
      </w:r>
      <w:r w:rsidRPr="00AC3820">
        <w:rPr>
          <w:rStyle w:val="ng-star-inserted"/>
          <w:color w:val="000000" w:themeColor="text1"/>
        </w:rPr>
      </w:r>
      <w:r w:rsidR="004664CF" w:rsidRPr="00AC3820">
        <w:rPr>
          <w:rStyle w:val="ng-star-inserted"/>
          <w:color w:val="000000" w:themeColor="text1"/>
        </w:rPr>
      </w:r>
      <w:r w:rsidRPr="00AC3820">
        <w:rPr>
          <w:rStyle w:val="ng-star-inserted"/>
          <w:color w:val="000000" w:themeColor="text1"/>
        </w:rPr>
      </w:r>
      <w:r w:rsidR="004664CF" w:rsidRPr="00AC3820">
        <w:rPr>
          <w:rStyle w:val="ng-star-inserted"/>
          <w:color w:val="000000" w:themeColor="text1"/>
        </w:rPr>
      </w:r>
      <w:r w:rsidRPr="00AC3820">
        <w:rPr>
          <w:rStyle w:val="ng-star-inserted"/>
          <w:color w:val="000000" w:themeColor="text1"/>
        </w:rPr>
      </w:r>
      <w:r w:rsidRPr="00AA13BF">
        <w:rPr>
          <w:rStyle w:val="ng-star-inserted"/>
          <w:color w:val="000000" w:themeColor="text1"/>
          <w:highlight w:val="cyan"/>
        </w:rPr>
      </w:r>
      <w:r w:rsidRPr="00AC3820">
        <w:rPr>
          <w:rStyle w:val="ng-star-inserted"/>
          <w:color w:val="000000" w:themeColor="text1"/>
        </w:rPr>
      </w:r>
      <w:r w:rsidR="008C1B5E" w:rsidRPr="00AC3820">
        <w:rPr>
          <w:rStyle w:val="ng-star-inserted"/>
          <w:color w:val="000000" w:themeColor="text1"/>
        </w:rPr>
      </w:r>
      <w:r w:rsidRPr="00AC3820">
        <w:rPr>
          <w:rStyle w:val="ng-star-inserted"/>
          <w:color w:val="000000" w:themeColor="text1"/>
        </w:rPr>
      </w:r>
      <w:r w:rsidRPr="00BF6248">
        <w:rPr>
          <w:rStyle w:val="ng-star-inserted"/>
          <w:color w:val="000000" w:themeColor="text1"/>
          <w:highlight w:val="cyan"/>
        </w:rPr>
      </w:r>
      <w:commentRangeStart w:id="27"/>
      <w:commentRangeStart w:id="28"/>
      <w:commentRangeStart w:id="29"/>
      <w:r w:rsidRPr="00BF6248">
        <w:rPr>
          <w:rStyle w:val="ng-star-inserted"/>
          <w:strike/>
          <w:color w:val="000000" w:themeColor="text1"/>
          <w:highlight w:val="cyan"/>
        </w:rPr>
      </w:r>
      <w:r w:rsidRPr="00BF6248">
        <w:rPr>
          <w:rStyle w:val="ng-star-inserted"/>
          <w:strike/>
          <w:color w:val="000000" w:themeColor="text1"/>
          <w:highlight w:val="yellow"/>
        </w:rPr>
      </w:r>
      <w:commentRangeEnd w:id="27"/>
      <w:r w:rsidR="00E6017D">
        <w:rPr>
          <w:rStyle w:val="CommentReference"/>
          <w:strike/>
          <w:color w:val="000000" w:themeColor="text1"/>
          <w:sz w:val="24"/>
          <w:szCs w:val="24"/>
        </w:rPr>
      </w:r>
      <w:commentRangeEnd w:id="28"/>
      <w:r w:rsidR="00BF6248">
        <w:rPr>
          <w:rStyle w:val="CommentReference"/>
          <w:strike/>
          <w:color w:val="000000" w:themeColor="text1"/>
          <w:sz w:val="24"/>
          <w:szCs w:val="24"/>
        </w:rPr>
      </w:r>
      <w:commentRangeEnd w:id="29"/>
      <w:r w:rsidR="00EB61EE">
        <w:rPr>
          <w:rStyle w:val="CommentReference"/>
          <w:strike/>
          <w:color w:val="000000" w:themeColor="text1"/>
          <w:sz w:val="24"/>
          <w:szCs w:val="24"/>
        </w:rPr>
      </w:r>
      <w:r w:rsidR="00BF6248">
        <w:rPr>
          <w:rStyle w:val="ng-star-inserted"/>
          <w:strike/>
          <w:color w:val="000000" w:themeColor="text1"/>
        </w:rPr>
      </w:r>
      <w:r w:rsidR="00BF6248" w:rsidRPr="00BF6248">
        <w:rPr>
          <w:rStyle w:val="Strong"/>
          <w:b w:val="0"/>
          <w:bCs w:val="0"/>
          <w:highlight w:val="cyan"/>
        </w:rPr>
      </w:r>
      <w:r w:rsidR="00BF6248"/>
      <w:r w:rsidR="00BF6248"/>
      <w:r w:rsidR="00BF6248"/>
    </w:p>
    <w:p w14:paraId="14B7A2C2" w14:textId="77777777" w:rsidR="00AC0630" w:rsidRPr="00AC3820" w:rsidRDefault="00AC0630" w:rsidP="00AC0630">
      <w:pPr>
        <w:pStyle w:val="Heading5"/>
        <w:rPr>
          <w:color w:val="000000" w:themeColor="text1"/>
        </w:rPr>
      </w:pPr>
      <w:r w:rsidRPr="00AC3820">
        <w:rPr>
          <w:color w:val="000000" w:themeColor="text1"/>
        </w:rPr>
        <w:t>Validity/Reliability/Credibility/Dependability</w:t>
      </w:r>
    </w:p>
    <w:p w14:paraId="63EBA379" w14:textId="77777777" w:rsidR="00AC0630" w:rsidRPr="00AC3820" w:rsidRDefault="00AC0630" w:rsidP="00AC0630">
      <w:pPr>
        <w:pStyle w:val="Body"/>
        <w:rPr>
          <w:i/>
          <w:iCs/>
          <w:color w:val="000000" w:themeColor="text1"/>
        </w:rPr>
      </w:pPr>
      <w:r w:rsidRPr="00AC3820">
        <w:rPr>
          <w:i/>
          <w:iCs/>
          <w:color w:val="000000" w:themeColor="text1"/>
        </w:rPr>
        <w:t xml:space="preserve">Identify and present the potential threats to reliability and validity (quantitative techniques) or trustworthiness (qualitative techniques). Include a proposed plan to mitigate the noted threats. Suggested length 1-2 paragraphs. </w:t>
      </w:r>
    </w:p>
    <w:p w14:paraId="6CBF21C1" w14:textId="77777777" w:rsidR="00DD2554" w:rsidRPr="00AC3820" w:rsidRDefault="00DD2554" w:rsidP="00AC0630">
      <w:pPr>
        <w:pStyle w:val="Body"/>
        <w:rPr>
          <w:color w:val="000000" w:themeColor="text1"/>
        </w:rPr>
      </w:pPr>
    </w:p>
    <w:p w14:paraId="61EB3F3B" w14:textId="4093DD17" w:rsidR="00AC0630" w:rsidRPr="00AC3820" w:rsidRDefault="00537FD4" w:rsidP="00537FD4">
      <w:pPr>
        <w:pStyle w:val="Body"/>
        <w:spacing w:line="480" w:lineRule="auto"/>
        <w:ind w:firstLine="720"/>
        <w:rPr>
          <w:i/>
          <w:iCs/>
          <w:color w:val="000000" w:themeColor="text1"/>
        </w:rPr>
      </w:pPr>
      <w:r w:rsidRPr="00AC3820">
        <w:rPr>
          <w:rFonts w:ascii="Times New Roman" w:hAnsi="Times New Roman" w:eastAsia="Times New Roman"/>
          <w:b w:val="0"/>
          <w:color w:val="000000" w:themeColor="text1"/>
          <w:sz w:val="24"/>
          <w:szCs w:val="24"/>
        </w:rPr>
        <w:t>This project uses the qualitative trustworthiness criteria of credibility, dependability, confirmability, and transferability (Lincoln &amp; Guba, 1985). Credibility will be supported by critical-incident interviews, a seven-day factual member check, SME-panel review of the interview guide, and two to three mock or pilot interviews before the n = 12 corpus is collected (Korstjens &amp; Moser, 2018). Dependability will be supported by a dated audit trail of protocol versions, codebook changes, and analytic memos (Carcary, 2020). Confirmability will be supported by reflexive memos that separate participant accounts from researcher interpretation. Transferability will be supported by rich, de-identified descriptions of incident context without naming employers, vendors, or products. Expert review and pilot testing belong to instrument development; they are not a second data-collection stream and they are not used as findings.</w:t>
      </w:r>
      <w:r w:rsidRPr="001B1529">
        <w:rPr>
          <w:color w:val="000000" w:themeColor="text1"/>
          <w:sz w:val="24"/>
          <w:szCs w:val="24"/>
          <w:highlight w:val="yellow"/>
        </w:rPr>
      </w:r>
      <w:r w:rsidRPr="00AC3820">
        <w:rPr>
          <w:color w:val="000000" w:themeColor="text1"/>
          <w:sz w:val="24"/>
          <w:szCs w:val="24"/>
        </w:rPr>
      </w:r>
      <w:r w:rsidRPr="00AC3820">
        <w:rPr>
          <w:color w:val="000000" w:themeColor="text1"/>
          <w:sz w:val="24"/>
          <w:szCs w:val="24"/>
        </w:rPr>
      </w:r>
      <w:r w:rsidR="0028214A" w:rsidRPr="00AC3820">
        <w:rPr>
          <w:color w:val="000000" w:themeColor="text1"/>
          <w:sz w:val="24"/>
          <w:szCs w:val="24"/>
        </w:rPr>
      </w:r>
      <w:r w:rsidR="0028214A" w:rsidRPr="00AC3820">
        <w:rPr>
          <w:color w:val="000000" w:themeColor="text1"/>
          <w:sz w:val="24"/>
          <w:szCs w:val="24"/>
        </w:rPr>
      </w:r>
      <w:r w:rsidRPr="00AC3820">
        <w:rPr>
          <w:color w:val="000000" w:themeColor="text1"/>
          <w:sz w:val="24"/>
          <w:szCs w:val="24"/>
        </w:rPr>
      </w:r>
      <w:r w:rsidR="0028214A">
        <w:rPr>
          <w:color w:val="000000" w:themeColor="text1"/>
          <w:sz w:val="24"/>
          <w:szCs w:val="24"/>
        </w:rPr>
      </w:r>
      <w:r w:rsidR="0028214A" w:rsidRPr="00AC3820">
        <w:rPr>
          <w:color w:val="000000" w:themeColor="text1"/>
          <w:sz w:val="24"/>
          <w:szCs w:val="24"/>
        </w:rPr>
      </w:r>
      <w:r w:rsidRPr="00AC3820">
        <w:rPr>
          <w:color w:val="000000" w:themeColor="text1"/>
          <w:sz w:val="24"/>
          <w:szCs w:val="24"/>
        </w:rPr>
      </w:r>
      <w:commentRangeStart w:id="30"/>
      <w:r w:rsidRPr="00AC3820">
        <w:rPr>
          <w:color w:val="000000" w:themeColor="text1"/>
          <w:sz w:val="24"/>
          <w:szCs w:val="24"/>
        </w:rPr>
      </w:r>
      <w:commentRangeEnd w:id="30"/>
      <w:r w:rsidR="00D06C0D">
        <w:rPr>
          <w:rStyle w:val="CommentReference"/>
          <w:color w:val="000000" w:themeColor="text1"/>
          <w:sz w:val="24"/>
          <w:szCs w:val="24"/>
        </w:rPr>
      </w:r>
      <w:r w:rsidR="0028214A">
        <w:rPr>
          <w:color w:val="000000" w:themeColor="text1"/>
          <w:sz w:val="24"/>
          <w:szCs w:val="24"/>
        </w:rPr>
      </w:r>
      <w:r w:rsidRPr="00AC3820">
        <w:rPr>
          <w:color w:val="000000" w:themeColor="text1"/>
          <w:sz w:val="24"/>
          <w:szCs w:val="24"/>
        </w:rPr>
      </w:r>
      <w:r w:rsidR="0028214A">
        <w:rPr>
          <w:color w:val="000000" w:themeColor="text1"/>
          <w:sz w:val="24"/>
          <w:szCs w:val="24"/>
        </w:rPr>
      </w:r>
      <w:r w:rsidRPr="00AC3820">
        <w:rPr>
          <w:color w:val="000000" w:themeColor="text1"/>
          <w:sz w:val="24"/>
          <w:szCs w:val="24"/>
        </w:rPr>
      </w:r>
      <w:commentRangeStart w:id="31"/>
      <w:r w:rsidRPr="00AC3820">
        <w:rPr>
          <w:color w:val="000000" w:themeColor="text1"/>
          <w:sz w:val="24"/>
          <w:szCs w:val="24"/>
        </w:rPr>
      </w:r>
      <w:commentRangeEnd w:id="31"/>
      <w:r w:rsidR="00D954B2" w:rsidRPr="00AC3820">
        <w:rPr>
          <w:rStyle w:val="CommentReference"/>
          <w:color w:val="000000" w:themeColor="text1"/>
          <w:sz w:val="24"/>
          <w:szCs w:val="24"/>
        </w:rPr>
      </w:r>
      <w:r w:rsidRPr="00AC3820">
        <w:rPr>
          <w:color w:val="000000" w:themeColor="text1"/>
          <w:sz w:val="24"/>
          <w:szCs w:val="24"/>
        </w:rPr>
      </w:r>
      <w:r w:rsidRPr="00AC3820">
        <w:rPr>
          <w:i/>
          <w:iCs/>
          <w:color w:val="000000" w:themeColor="text1"/>
        </w:rPr>
      </w:r>
    </w:p>
    <w:p w14:paraId="18E5B851" w14:textId="77777777" w:rsidR="00AC0630" w:rsidRPr="00AC3820" w:rsidRDefault="00AC0630" w:rsidP="00AC0630">
      <w:pPr>
        <w:pStyle w:val="Heading2"/>
        <w:rPr>
          <w:color w:val="000000" w:themeColor="text1"/>
        </w:rPr>
      </w:pPr>
      <w:r w:rsidRPr="00AC3820">
        <w:rPr>
          <w:color w:val="000000" w:themeColor="text1"/>
        </w:rPr>
        <w:t>Proposed Data Collection</w:t>
      </w:r>
    </w:p>
    <w:p w14:paraId="3FDCB4E5" w14:textId="77777777" w:rsidR="00AC0630" w:rsidRPr="00AC3820" w:rsidRDefault="00AC0630" w:rsidP="00891FB6">
      <w:pPr>
        <w:pStyle w:val="Body"/>
        <w:shd w:val="clear" w:color="auto" w:fill="E7E6E6"/>
        <w:rPr>
          <w:i/>
          <w:iCs/>
          <w:color w:val="000000" w:themeColor="text1"/>
        </w:rPr>
      </w:pPr>
      <w:r w:rsidRPr="00AC3820">
        <w:rPr>
          <w:i/>
          <w:iCs/>
          <w:color w:val="000000" w:themeColor="text1"/>
        </w:rPr>
        <w:t>Describe sampling, recruitment, data collection procedures</w:t>
      </w:r>
      <w:r w:rsidR="00E43461" w:rsidRPr="00AC3820">
        <w:rPr>
          <w:i/>
          <w:iCs/>
          <w:color w:val="000000" w:themeColor="text1"/>
        </w:rPr>
        <w:t>,</w:t>
      </w:r>
      <w:r w:rsidRPr="00AC3820">
        <w:rPr>
          <w:i/>
          <w:iCs/>
          <w:color w:val="000000" w:themeColor="text1"/>
        </w:rPr>
        <w:t xml:space="preserve"> and potential ethical considerations.</w:t>
      </w:r>
    </w:p>
    <w:p w14:paraId="11149B3F" w14:textId="77777777" w:rsidR="00AC0630" w:rsidRPr="00AC3820" w:rsidRDefault="00AC0630" w:rsidP="00AC0630">
      <w:pPr>
        <w:pStyle w:val="Body"/>
        <w:rPr>
          <w:i/>
          <w:iCs/>
          <w:color w:val="000000" w:themeColor="text1"/>
        </w:rPr>
      </w:pPr>
    </w:p>
    <w:p w14:paraId="63E684AE" w14:textId="77777777" w:rsidR="00537FD4" w:rsidRPr="00AC3820" w:rsidRDefault="00537FD4" w:rsidP="00537FD4">
      <w:pPr>
        <w:pStyle w:val="Body"/>
        <w:rPr>
          <w:i/>
          <w:iCs/>
          <w:color w:val="000000" w:themeColor="text1"/>
        </w:rPr>
      </w:pPr>
      <w:r w:rsidRPr="00AC3820">
        <w:rPr>
          <w:color w:val="000000" w:themeColor="text1"/>
        </w:rPr>
        <w:t>Why does such a small number affect so great a populous when action transpires</w:t>
      </w:r>
      <w:r w:rsidRPr="00AC3820">
        <w:rPr>
          <w:i/>
          <w:iCs/>
          <w:color w:val="000000" w:themeColor="text1"/>
        </w:rPr>
        <w:t>.</w:t>
      </w:r>
    </w:p>
    <w:p w14:paraId="5E94827F" w14:textId="77777777" w:rsidR="00AC0630" w:rsidRPr="00AC3820" w:rsidRDefault="00AC0630" w:rsidP="00BF5ECF">
      <w:pPr>
        <w:pStyle w:val="Heading5"/>
        <w:rPr>
          <w:color w:val="000000" w:themeColor="text1"/>
        </w:rPr>
      </w:pPr>
      <w:commentRangeStart w:id="32"/>
      <w:commentRangeStart w:id="33"/>
      <w:r w:rsidRPr="00AC3820">
        <w:rPr>
          <w:color w:val="000000" w:themeColor="text1"/>
        </w:rPr>
        <w:t>Sampling Strategy, Number participants</w:t>
      </w:r>
    </w:p>
    <w:p w14:paraId="025F2E56" w14:textId="77777777" w:rsidR="00AC0630" w:rsidRDefault="00AC0630" w:rsidP="00AC0630">
      <w:pPr>
        <w:pStyle w:val="Body"/>
        <w:rPr>
          <w:i/>
          <w:iCs/>
          <w:color w:val="000000" w:themeColor="text1"/>
        </w:rPr>
      </w:pPr>
      <w:r w:rsidRPr="00AC3820">
        <w:rPr>
          <w:i/>
          <w:iCs/>
          <w:color w:val="000000" w:themeColor="text1"/>
        </w:rPr>
        <w:t xml:space="preserve">Describe, explain, and justify the sampling strategy to be used. Suggested length 2-3 </w:t>
      </w:r>
      <w:r w:rsidR="00BF5ECF" w:rsidRPr="00AC3820">
        <w:rPr>
          <w:i/>
          <w:iCs/>
          <w:color w:val="000000" w:themeColor="text1"/>
        </w:rPr>
        <w:t>paragraphs</w:t>
      </w:r>
      <w:r w:rsidRPr="00AC3820">
        <w:rPr>
          <w:i/>
          <w:iCs/>
          <w:color w:val="000000" w:themeColor="text1"/>
        </w:rPr>
        <w:t>.</w:t>
      </w:r>
    </w:p>
    <w:p w14:paraId="2C9BD168" w14:textId="77777777" w:rsidR="00B5783E" w:rsidRDefault="00B5783E" w:rsidP="00AC0630">
      <w:pPr>
        <w:pStyle w:val="Body"/>
        <w:rPr>
          <w:i/>
          <w:iCs/>
          <w:color w:val="000000" w:themeColor="text1"/>
        </w:rPr>
      </w:pPr>
    </w:p>
    <w:p w14:paraId="2A57FFCA" w14:textId="3EAB69BF" w:rsidR="00B5783E" w:rsidRPr="00687642" w:rsidRDefault="00B5783E" w:rsidP="00B5783E">
      <w:pPr>
        <w:pStyle w:val="Body"/>
        <w:ind w:firstLine="720"/>
        <w:rPr>
          <w:sz w:val="24"/>
          <w:szCs w:val="24"/>
        </w:rPr>
      </w:pPr>
      <w:r w:rsidRPr="00687642">
        <w:rPr>
          <w:rFonts w:ascii="Times New Roman" w:hAnsi="Times New Roman" w:eastAsia="Times New Roman"/>
          <w:b w:val="0"/>
          <w:sz w:val="24"/>
          <w:szCs w:val="24"/>
        </w:rPr>
        <w:t>This study will use a non-probability, criterion-based purposive sampling strategy to select information-rich participants whose professional roles and recent recovery experience align with the research purpose (Percy et al., 2015; Creswell &amp; Poth, 2024). The target population consists of U.S. SME IT network, systems, infrastructure, or operations managers in small and medium-sized enterprises of 10 to 200 personnel who have direct responsibility for, or participation in, IT disaster recovery that uses an external recovery platform, managed recovery service, ITDRPaaS, or a functionally equivalent cloud-recovery capability. Inclusion requires at least one disruption, failover, recovery test, or operational recovery in the preceding 36 months in which that external capability was used. Individuals employed only by a vendor, or who lack direct platform-mediated recovery responsibility, will be excluded. Criterion-based purposive sampling is appropriate for this generic qualitative inquiry because the researcher will deliberately select participants who can recount a named recovery event rather than attempt to obtain a statistically representative sample (Percy et al., 2015).</w:t>
      </w:r>
      <w:r w:rsidRPr="00CF5F34">
        <w:rPr>
          <w:b/>
          <w:bCs/>
          <w:sz w:val="24"/>
          <w:szCs w:val="24"/>
        </w:rPr>
      </w:r>
      <w:r w:rsidR="00D73EE2" w:rsidRPr="00CF5F34">
        <w:rPr>
          <w:b/>
          <w:bCs/>
          <w:sz w:val="24"/>
          <w:szCs w:val="24"/>
        </w:rPr>
      </w:r>
      <w:r w:rsidRPr="00CF5F34">
        <w:rPr>
          <w:b/>
          <w:bCs/>
          <w:sz w:val="24"/>
          <w:szCs w:val="24"/>
        </w:rPr>
      </w:r>
      <w:r w:rsidRPr="00687642">
        <w:rPr>
          <w:sz w:val="24"/>
          <w:szCs w:val="24"/>
        </w:rPr>
      </w:r>
      <w:r w:rsidRPr="00AD3765">
        <w:rPr>
          <w:sz w:val="24"/>
          <w:szCs w:val="24"/>
          <w:highlight w:val="cyan"/>
        </w:rPr>
      </w:r>
      <w:r w:rsidR="00AD3765" w:rsidRPr="00AD3765">
        <w:rPr>
          <w:sz w:val="24"/>
          <w:szCs w:val="24"/>
          <w:highlight w:val="cyan"/>
        </w:rPr>
      </w:r>
      <w:r w:rsidRPr="00AD3765">
        <w:rPr>
          <w:sz w:val="24"/>
          <w:szCs w:val="24"/>
          <w:highlight w:val="cyan"/>
        </w:rPr>
      </w:r>
      <w:r w:rsidRPr="00687642">
        <w:rPr>
          <w:sz w:val="24"/>
          <w:szCs w:val="24"/>
        </w:rPr>
      </w:r>
      <w:r w:rsidRPr="00CF5F34">
        <w:rPr>
          <w:b/>
          <w:bCs/>
          <w:sz w:val="24"/>
          <w:szCs w:val="24"/>
        </w:rPr>
      </w:r>
      <w:r w:rsidR="00CF5F34" w:rsidRPr="00CF5F34">
        <w:rPr>
          <w:b/>
          <w:bCs/>
          <w:sz w:val="24"/>
          <w:szCs w:val="24"/>
        </w:rPr>
      </w:r>
      <w:r w:rsidRPr="00CF5F34">
        <w:rPr>
          <w:b/>
          <w:bCs/>
          <w:sz w:val="24"/>
          <w:szCs w:val="24"/>
        </w:rPr>
      </w:r>
      <w:r w:rsidRPr="00687642">
        <w:rPr>
          <w:sz w:val="24"/>
          <w:szCs w:val="24"/>
        </w:rPr>
      </w:r>
      <w:r w:rsidRPr="00CF5F34">
        <w:rPr>
          <w:b/>
          <w:bCs/>
          <w:color w:val="EE0000"/>
          <w:sz w:val="24"/>
          <w:szCs w:val="24"/>
        </w:rPr>
      </w:r>
      <w:r w:rsidRPr="00687642">
        <w:rPr>
          <w:sz w:val="24"/>
          <w:szCs w:val="24"/>
        </w:rPr>
      </w:r>
    </w:p>
    <w:p w14:paraId="208596E9" w14:textId="1186E8E5" w:rsidR="00B5783E" w:rsidRPr="00687642" w:rsidRDefault="00B5783E" w:rsidP="00CF5F34">
      <w:pPr>
        <w:pStyle w:val="ui-markdownparagraph"/>
        <w:ind w:firstLine="720"/>
      </w:pPr>
      <w:r w:rsidRPr="00687642">
        <w:rPr>
          <w:rFonts w:ascii="Times New Roman" w:hAnsi="Times New Roman" w:eastAsia="Times New Roman"/>
          <w:b w:val="0"/>
          <w:sz w:val="24"/>
        </w:rPr>
        <w:t>The sample is locked at 12 participants. Sample adequacy will not be determined through statistical power calculations (Wutich et al., 2024). It will be justified by information power: a narrow study aim, a highly specific participant population, theoretically informed but not closed-ended dialogue, and an in-depth thematic analysis strategy (Malterud et al., 2016). Twelve is the planned recruitment target for the detailed screening and interview process. It is not a finding that the gap is closed, nor is there a claim that saturation occurs at the twelfth interview.</w:t>
      </w:r>
      <w:r w:rsidRPr="00CC218E"/>
      <w:r w:rsidRPr="00F75B74">
        <w:rPr>
          <w:highlight w:val="cyan"/>
        </w:rPr>
      </w:r>
      <w:r w:rsidRPr="00687642"/>
      <w:r w:rsidRPr="00687642"/>
      <w:r w:rsidR="00687642"/>
      <w:r w:rsidRPr="00687642"/>
    </w:p>
    <w:p w14:paraId="498FCA99" w14:textId="7E58799C" w:rsidR="00567231" w:rsidRDefault="00B5783E" w:rsidP="00567231">
      <w:pPr>
        <w:pStyle w:val="p1"/>
      </w:pPr>
      <w:r w:rsidRPr="00687642">
        <w:rPr>
          <w:sz w:val="24"/>
          <w:szCs w:val="24"/>
        </w:rPr>
        <w:t>Recruitment and preliminary analysis will proceed through the locked sample of 12. Stopping will be documented as an analytic decision: the researcher will record whether interviews in that corpus continue to contribute new meaning units, categories, or thematic variation relevant to the research questions (</w:t>
      </w:r>
      <w:r w:rsidRPr="00CC218E">
        <w:rPr>
          <w:sz w:val="24"/>
          <w:szCs w:val="24"/>
          <w:highlight w:val="cyan"/>
        </w:rPr>
        <w:t>Naeem et al., 2024</w:t>
      </w:r>
      <w:r w:rsidRPr="00687642">
        <w:rPr>
          <w:sz w:val="24"/>
          <w:szCs w:val="24"/>
        </w:rPr>
        <w:t xml:space="preserve">). Guest et al. (2006) only as background that some homogeneous interview studies have observed early code stability; that source will not be used to claim in advance that 12 interviews </w:t>
      </w:r>
      <w:r w:rsidR="00687642" w:rsidRPr="00687642">
        <w:t>serve</w:t>
      </w:r>
      <w:r w:rsidRPr="00687642">
        <w:rPr>
          <w:sz w:val="24"/>
          <w:szCs w:val="24"/>
        </w:rPr>
        <w:t>. The final participant count and the rationale for ending recruitment will be recorded in the study audit trail (Carcary, 2020).</w:t>
      </w:r>
      <w:r w:rsidR="00567231">
        <w:t xml:space="preserve">     </w:t>
      </w:r>
    </w:p>
    <w:p w14:paraId="69098ABF" w14:textId="77777777" w:rsidR="00567231" w:rsidRDefault="00567231" w:rsidP="00567231">
      <w:pPr>
        <w:pStyle w:val="p1"/>
      </w:pPr>
    </w:p>
    <w:p w14:paraId="7A727EB9" w14:textId="5FAD3F5B" w:rsidR="00567231" w:rsidRPr="00695D92" w:rsidRDefault="00567231" w:rsidP="00567231">
      <w:pPr>
        <w:pStyle w:val="p1"/>
        <w:rPr>
          <w:highlight w:val="yellow"/>
        </w:rPr>
      </w:pPr>
      <w:r>
        <w:t xml:space="preserve"> </w:t>
      </w:r>
      <w:r w:rsidRPr="00695D92">
        <w:rPr>
          <w:highlight w:val="yellow"/>
        </w:rPr>
        <w:t>[</w:t>
      </w:r>
      <w:r w:rsidRPr="00695D92">
        <w:rPr>
          <w:highlight w:val="yellow"/>
        </w:rPr>
        <w:t xml:space="preserve">study’s participants were a purposive sample of </w:t>
      </w:r>
      <w:r w:rsidRPr="00695D92">
        <w:rPr>
          <w:highlight w:val="yellow"/>
        </w:rPr>
        <w:t>12</w:t>
      </w:r>
      <w:r w:rsidRPr="00695D92">
        <w:rPr>
          <w:highlight w:val="yellow"/>
        </w:rPr>
        <w:t xml:space="preserve"> U.S. business leaders with</w:t>
      </w:r>
    </w:p>
    <w:p w14:paraId="1574828F" w14:textId="69528036" w:rsidR="00567231" w:rsidRPr="00695D92" w:rsidRDefault="00567231" w:rsidP="00567231">
      <w:pPr>
        <w:pStyle w:val="p1"/>
        <w:rPr>
          <w:highlight w:val="green"/>
        </w:rPr>
      </w:pPr>
      <w:r w:rsidRPr="00695D92">
        <w:rPr>
          <w:highlight w:val="green"/>
        </w:rPr>
        <w:t>decision-making authority. This include</w:t>
      </w:r>
      <w:r w:rsidRPr="00695D92">
        <w:rPr>
          <w:highlight w:val="green"/>
        </w:rPr>
        <w:t>s</w:t>
      </w:r>
      <w:r w:rsidRPr="00695D92">
        <w:rPr>
          <w:highlight w:val="green"/>
        </w:rPr>
        <w:t xml:space="preserve"> participants with titles</w:t>
      </w:r>
    </w:p>
    <w:p w14:paraId="31C16B76" w14:textId="77777777" w:rsidR="00567231" w:rsidRPr="00695D92" w:rsidRDefault="00567231" w:rsidP="00567231">
      <w:pPr>
        <w:pStyle w:val="p1"/>
        <w:rPr>
          <w:highlight w:val="green"/>
        </w:rPr>
      </w:pPr>
      <w:r w:rsidRPr="00695D92">
        <w:rPr>
          <w:highlight w:val="green"/>
        </w:rPr>
        <w:t>including Chief Executive Officer, Executive Director, Executive Vice President, President,</w:t>
      </w:r>
    </w:p>
    <w:p w14:paraId="2EC21181" w14:textId="00A46603" w:rsidR="00B5783E" w:rsidRPr="00D04E02" w:rsidRDefault="00567231" w:rsidP="00D04E02">
      <w:pPr>
        <w:pStyle w:val="p1"/>
        <w:rPr>
          <w:strike/>
        </w:rPr>
      </w:pPr>
      <w:r w:rsidRPr="00695D92">
        <w:rPr>
          <w:highlight w:val="green"/>
        </w:rPr>
        <w:t xml:space="preserve">Chief </w:t>
      </w:r>
      <w:r w:rsidRPr="00695D92">
        <w:rPr>
          <w:highlight w:val="green"/>
        </w:rPr>
        <w:t>Finance</w:t>
      </w:r>
      <w:r w:rsidRPr="00695D92">
        <w:rPr>
          <w:highlight w:val="green"/>
        </w:rPr>
        <w:t xml:space="preserve"> Officer, and Director</w:t>
      </w:r>
      <w:r w:rsidR="00D04E02">
        <w:rPr>
          <w:highlight w:val="green"/>
        </w:rPr>
        <w:t>(s)</w:t>
      </w:r>
      <w:r w:rsidRPr="00695D92">
        <w:rPr>
          <w:highlight w:val="green"/>
        </w:rPr>
        <w:t xml:space="preserve">. </w:t>
      </w:r>
    </w:p>
    <w:p w14:paraId="188157CF" w14:textId="77777777" w:rsidR="00AC0630" w:rsidRPr="00AC3820" w:rsidRDefault="00AC0630" w:rsidP="00BF5ECF">
      <w:pPr>
        <w:pStyle w:val="Heading5"/>
        <w:rPr>
          <w:color w:val="000000" w:themeColor="text1"/>
        </w:rPr>
      </w:pPr>
      <w:r w:rsidRPr="00AC3820">
        <w:rPr>
          <w:color w:val="000000" w:themeColor="text1"/>
        </w:rPr>
        <w:t>Recr</w:t>
      </w:r>
      <w:r w:rsidR="00BF5ECF" w:rsidRPr="00AC3820">
        <w:rPr>
          <w:color w:val="000000" w:themeColor="text1"/>
        </w:rPr>
        <w:t>u</w:t>
      </w:r>
      <w:r w:rsidRPr="00AC3820">
        <w:rPr>
          <w:color w:val="000000" w:themeColor="text1"/>
        </w:rPr>
        <w:t>itment Procedures</w:t>
      </w:r>
    </w:p>
    <w:p w14:paraId="35126D61" w14:textId="77777777" w:rsidR="00AC0630" w:rsidRDefault="00AC0630" w:rsidP="00AC0630">
      <w:pPr>
        <w:pStyle w:val="Body"/>
        <w:rPr>
          <w:i/>
          <w:iCs/>
          <w:color w:val="000000" w:themeColor="text1"/>
        </w:rPr>
      </w:pPr>
      <w:r w:rsidRPr="00AC3820">
        <w:rPr>
          <w:i/>
          <w:iCs/>
          <w:color w:val="000000" w:themeColor="text1"/>
        </w:rPr>
        <w:t>Provide a recruitment process to identify, screen, and recruit participants as it aligns with the methodological approach. Present the inclusion and exclusion criteria for participating in the project. Suggested length 2-3 paragraphs.</w:t>
      </w:r>
    </w:p>
    <w:p w14:paraId="7D3C1A35" w14:textId="77777777" w:rsidR="00D505B2" w:rsidRDefault="00D505B2" w:rsidP="00D505B2">
      <w:pPr>
        <w:pStyle w:val="ui-markdownparagraph"/>
        <w:ind w:firstLine="720"/>
      </w:pPr>
      <w:r>
        <w:t>The target population for this generic qualitative inquiry is defined as U.S. IT, network, systems, infrastructure, or operations managers in small and medium-sized enterprises who have a direct operational role in IT disaster-recovery coordination that uses an external recovery platform, managed recovery service, ITDRPaaS, or a functionally equivalent cloud-recovery capability (Caelli et al., 2003; Kahlke, 2014; Percy et al., 2015). An SME in this study is bounded at 10 to 200 personnel so that the population remains inside SME governance rather than large-enterprise command structures. The population is not vendor staff whose only role is to operate a recovery platform for clients, and it is not executives who hold no operational recovery responsibility. That definition keeps the inquiry on managers who can recount how competing restoration claims were handled when restoration had to be ranked, delayed, or declared done.</w:t>
      </w:r>
    </w:p>
    <w:p w14:paraId="05C6651C" w14:textId="77777777" w:rsidR="00D505B2" w:rsidRDefault="00D505B2" w:rsidP="00D505B2">
      <w:pPr>
        <w:pStyle w:val="ui-markdownparagraph"/>
        <w:ind w:firstLine="720"/>
      </w:pPr>
      <w:r>
        <w:t>Membership in the population further requires recent, firsthand, platform-mediated recovery experience. A qualifying member must be able to name at least one disruption, failover, recovery test, or operational recovery in the preceding 36 months in which the external capability was used. That named event is the unit of talk for the critical-incident interview (</w:t>
      </w:r>
      <w:r w:rsidRPr="00D04E02">
        <w:rPr>
          <w:b w:val="0"/>
          <w:bCs/>
        </w:rPr>
        <w:t>Flanagan, 1954; Chell, 2004</w:t>
      </w:r>
      <w:r>
        <w:t>). A manager who cannot name such an event is not in the population and will not enter the sample. This recency and platform bound distinguishes the population from the broader set of IT managers who only know a written plan or a vendor demonstration.</w:t>
      </w:r>
    </w:p>
    <w:p w14:paraId="27218E68" w14:textId="74B1523E" w:rsidR="00D505B2" w:rsidRDefault="00D505B2" w:rsidP="00D505B2">
      <w:pPr>
        <w:pStyle w:val="ui-markdownparagraph"/>
        <w:ind w:firstLine="720"/>
      </w:pPr>
      <w:r>
        <w:rPr>
          <w:rFonts w:ascii="Times New Roman" w:hAnsi="Times New Roman" w:eastAsia="Times New Roman"/>
          <w:b w:val="0"/>
          <w:sz w:val="24"/>
        </w:rPr>
        <w:t>This population definition is the pool from which the locked sample of 12 participants will be drawn. It is not itself the sample, and it is not a statistically representative frame of all U.S. SME recovery settings (Creswell &amp; Poth, 2024; Percy et al., 2015). The definition is written this tightly because information power depends on sample specificity: a narrow class of SME recovery events and a dense participant profile increase the information available from each interview (Malterud et al., 2016). The 12-participant sample, the inclusion and exclusion screens, and the individual recruitment path all depend on this population boundary remaining stable.</w:t>
      </w:r>
      <w:r w:rsidRPr="00AD3765">
        <w:rPr>
          <w:highlight w:val="cyan"/>
        </w:rPr>
      </w:r>
      <w:r w:rsidR="00AD3765" w:rsidRPr="00AD3765">
        <w:rPr>
          <w:highlight w:val="cyan"/>
        </w:rPr>
      </w:r>
      <w:r w:rsidRPr="00AD3765">
        <w:rPr>
          <w:highlight w:val="cyan"/>
        </w:rPr>
      </w:r>
      <w:r/>
      <w:r w:rsidRPr="00CC218E">
        <w:rPr>
          <w:highlight w:val="cyan"/>
        </w:rPr>
      </w:r>
      <w:r w:rsidRPr="00F75B74">
        <w:rPr>
          <w:highlight w:val="cyan"/>
        </w:rPr>
      </w:r>
      <w:r/>
    </w:p>
    <w:p w14:paraId="1A941523" w14:textId="77777777" w:rsidR="00D505B2" w:rsidRPr="00D505B2" w:rsidRDefault="00D505B2" w:rsidP="00AC0630">
      <w:pPr>
        <w:pStyle w:val="Body"/>
        <w:rPr>
          <w:color w:val="000000" w:themeColor="text1"/>
        </w:rPr>
      </w:pPr>
    </w:p>
    <w:p w14:paraId="1EFAF02B" w14:textId="2CD8F9D0" w:rsidR="00AC0630" w:rsidRPr="00AC3820" w:rsidRDefault="00AC0630" w:rsidP="00BF5ECF">
      <w:pPr>
        <w:pStyle w:val="Heading5"/>
        <w:rPr>
          <w:color w:val="000000" w:themeColor="text1"/>
        </w:rPr>
      </w:pPr>
      <w:r w:rsidRPr="00AC3820">
        <w:rPr>
          <w:color w:val="000000" w:themeColor="text1"/>
        </w:rPr>
        <w:t>Data Collection Process</w:t>
      </w:r>
      <w:commentRangeEnd w:id="32"/>
      <w:r w:rsidR="00B5783E" w:rsidRPr="00AC3820">
        <w:rPr>
          <w:rStyle w:val="CommentReference"/>
          <w:color w:val="000000" w:themeColor="text1"/>
          <w:sz w:val="24"/>
          <w:szCs w:val="26"/>
        </w:rPr>
        <w:commentReference w:id="32"/>
      </w:r>
      <w:commentRangeEnd w:id="33"/>
      <w:r w:rsidR="00B5783E" w:rsidRPr="00AC3820">
        <w:rPr>
          <w:rStyle w:val="CommentReference"/>
          <w:color w:val="000000" w:themeColor="text1"/>
          <w:sz w:val="24"/>
          <w:szCs w:val="26"/>
        </w:rPr>
        <w:commentReference w:id="33"/>
      </w:r>
    </w:p>
    <w:p w14:paraId="1BDC5181" w14:textId="77777777" w:rsidR="00AC0630" w:rsidRDefault="00AC0630" w:rsidP="00AC0630">
      <w:pPr>
        <w:pStyle w:val="Body"/>
        <w:rPr>
          <w:i/>
          <w:iCs/>
          <w:color w:val="000000" w:themeColor="text1"/>
        </w:rPr>
      </w:pPr>
      <w:r w:rsidRPr="00AC3820">
        <w:rPr>
          <w:i/>
          <w:iCs/>
          <w:color w:val="000000" w:themeColor="text1"/>
        </w:rPr>
        <w:t>Provide a logical step-by-step data collection process as it aligns with the methodological approach. Suggest</w:t>
      </w:r>
      <w:r w:rsidR="007C0764" w:rsidRPr="00AC3820">
        <w:rPr>
          <w:i/>
          <w:iCs/>
          <w:color w:val="000000" w:themeColor="text1"/>
        </w:rPr>
        <w:t>ed</w:t>
      </w:r>
      <w:r w:rsidRPr="00AC3820">
        <w:rPr>
          <w:i/>
          <w:iCs/>
          <w:color w:val="000000" w:themeColor="text1"/>
        </w:rPr>
        <w:t xml:space="preserve"> length 3-4 paragraphs.</w:t>
      </w:r>
    </w:p>
    <w:p w14:paraId="10A00206" w14:textId="77777777" w:rsidR="00123D5B" w:rsidRDefault="00123D5B" w:rsidP="00123D5B">
      <w:pPr>
        <w:pStyle w:val="NormalWeb"/>
        <w:ind w:firstLine="720"/>
      </w:pPr>
      <w:r>
        <w:rPr>
          <w:rFonts w:ascii="Times New Roman" w:hAnsi="Times New Roman" w:eastAsia="Times New Roman"/>
          <w:sz w:val="24"/>
        </w:rPr>
        <w:t>Following institutional approval, the researcher will finalize the semi-structured interview protocol, consent form, and screening instrument. The protocol will be reviewed by an SME panel and tested in two or three mock or pilot interviews with individuals who meet the professional profile but will not enter the n = 12 sample. Pilot feedback will assess question clarity, neutrality, construct coverage, sequencing, and probe usefulness. Revisions will keep the questions aligned with generic qualitative inquiry and with the conceptual chain: stakeholder salience, decision rights, escalation pathways, evidentiary standards, and recoverability assurance (Caelli et al., 2003; Mitchell et al., 1997; Percy et al., 2015).</w:t>
      </w:r>
    </w:p>
    <w:p w14:paraId="657A5604" w14:textId="77777777" w:rsidR="00123D5B" w:rsidRDefault="00123D5B" w:rsidP="00123D5B">
      <w:pPr>
        <w:pStyle w:val="pdq2pgselectionanchorcontainer"/>
        <w:ind w:firstLine="720"/>
      </w:pPr>
      <w:r>
        <w:rPr>
          <w:rFonts w:ascii="Times New Roman" w:hAnsi="Times New Roman" w:eastAsia="Times New Roman"/>
          <w:sz w:val="24"/>
        </w:rPr>
        <w:t>Critical-incident prompts will ask participants to describe one specific disruption, failover, recovery test, or restoration event. Follow-up probes will examine what occurred, who made or influenced decisions, how competing demands were prioritized, when escalation occurred, and what was treated as proof of recovery (Flanagan, 1954; Chell, 2004). No artifacts will be requested or collected. If a manager names a matrix, ticket, or test record, that naming is part of the interview account.</w:t>
      </w:r>
    </w:p>
    <w:p w14:paraId="2142B1A2" w14:textId="79FA69F0" w:rsidR="00123D5B" w:rsidRDefault="00123D5B" w:rsidP="00123D5B">
      <w:pPr>
        <w:pStyle w:val="NormalWeb"/>
        <w:ind w:firstLine="720"/>
      </w:pPr>
      <w:r>
        <w:rPr>
          <w:rFonts w:ascii="Times New Roman" w:hAnsi="Times New Roman" w:eastAsia="Times New Roman"/>
          <w:sz w:val="24"/>
        </w:rPr>
        <w:t>After each interview, the recording will be transcribed, checked against the audio, de-identified, and assigned a participant code. The researcher will prepare field notes and reflexive memos. Participants may be contacted to clarify materially ambiguous statements without being asked to approve the researcher’s final interpretation. Verified transcripts and audit-trail documentation will be imported into Delve for organization and retrieval during hybrid deductive–inductive codebook thematic analysis. Delve will support data management and coding; the analytic method remains thematic analysis (Fereday &amp; Muir-Cochrane, 2006; Carcary, 2020).</w:t>
      </w:r>
      <w:r w:rsidR="00CC218E"/>
      <w:r/>
    </w:p>
    <w:p w14:paraId="6F264FC1" w14:textId="77777777" w:rsidR="00123D5B" w:rsidRPr="00123D5B" w:rsidRDefault="00123D5B" w:rsidP="00AC0630">
      <w:pPr>
        <w:pStyle w:val="Body"/>
        <w:rPr>
          <w:color w:val="000000" w:themeColor="text1"/>
        </w:rPr>
      </w:pPr>
    </w:p>
    <w:p w14:paraId="6E2F77F6" w14:textId="77777777" w:rsidR="00AC0630" w:rsidRPr="00AC3820" w:rsidRDefault="00AC0630" w:rsidP="00BF5ECF">
      <w:pPr>
        <w:pStyle w:val="Heading5"/>
        <w:rPr>
          <w:color w:val="000000" w:themeColor="text1"/>
        </w:rPr>
      </w:pPr>
      <w:r w:rsidRPr="00AC3820">
        <w:rPr>
          <w:color w:val="000000" w:themeColor="text1"/>
        </w:rPr>
        <w:t>Ethical Considerations</w:t>
      </w:r>
    </w:p>
    <w:p w14:paraId="2E19F7C1" w14:textId="77777777" w:rsidR="00BF5ECF" w:rsidRPr="00AC3820" w:rsidRDefault="00AC0630" w:rsidP="00AC0630">
      <w:pPr>
        <w:pStyle w:val="Body"/>
        <w:rPr>
          <w:i/>
          <w:iCs/>
          <w:color w:val="000000" w:themeColor="text1"/>
        </w:rPr>
      </w:pPr>
      <w:r w:rsidRPr="00AC3820">
        <w:rPr>
          <w:i/>
          <w:iCs/>
          <w:color w:val="000000" w:themeColor="text1"/>
        </w:rPr>
        <w:t xml:space="preserve">Identify potential ethical issues and provide </w:t>
      </w:r>
      <w:r w:rsidR="00BF5ECF" w:rsidRPr="00AC3820">
        <w:rPr>
          <w:i/>
          <w:iCs/>
          <w:color w:val="000000" w:themeColor="text1"/>
        </w:rPr>
        <w:t xml:space="preserve">a proposed plan to adhere to strict ethical standards. Include details regarding privacy, confidentiality, and data security procedures and concerns. Suggested length </w:t>
      </w:r>
      <w:r w:rsidR="00BF5ECF" w:rsidRPr="00DE29C6">
        <w:rPr>
          <w:i/>
          <w:iCs/>
          <w:color w:val="000000" w:themeColor="text1"/>
          <w:highlight w:val="yellow"/>
        </w:rPr>
        <w:t>1-2 paragraphs</w:t>
      </w:r>
      <w:r w:rsidR="00BF5ECF" w:rsidRPr="00AC3820">
        <w:rPr>
          <w:i/>
          <w:iCs/>
          <w:color w:val="000000" w:themeColor="text1"/>
        </w:rPr>
        <w:t>.</w:t>
      </w:r>
    </w:p>
    <w:p w14:paraId="4AA00DCC" w14:textId="72E196D5" w:rsidR="004B3856" w:rsidRDefault="004B3856" w:rsidP="004B3856">
      <w:pPr>
        <w:pStyle w:val="ui-markdownparagraph"/>
        <w:ind w:firstLine="720"/>
      </w:pPr>
      <w:r w:rsidRPr="004B3856">
        <w:rPr>
          <w:rFonts w:ascii="Times New Roman" w:hAnsi="Times New Roman" w:eastAsia="Times New Roman"/>
          <w:b w:val="0"/>
          <w:sz w:val="24"/>
          <w:highlight w:val="yellow"/>
        </w:rPr>
        <w:t>Ethics is a guiding principle in qualitative research. It shapes study design, the process of discovery, and the significance of the findings, and it requires the researcher to weigh the human cost of inquiry (Miteu, 2024). This generic qualitative inquiry will utilize U.S. small and medium-sized enterprise (SME) IT, network, systems, infrastructure, or operations managers in firms of 10 to 200 personnel. In that setting, ethical risk is concentrated: a named recovery event, a role title, and a platform type can re-identify a person or firm more easily than in a large enterprise. The study will therefore treat data management, respect for persons, honesty and integrity, and responsible dissemination as operational requirements, not as a checklist (Miteu, 2024). The researcher will not begin identification, screening, or scheduling until the Capella University Institutional Review Board has granted written approval. The design follows the Belmont Report’s principles of respect for persons, beneficence, and justice (National Commission for the Protection of Human Subjects of Biomedical and Behavioral Research, 1979). Respect for persons will be enacted through voluntary participation, signed electronic consent, a recorded permission-to-record check, and the right to skip any question or stop at any time without penalty. Beneficence will be enacted by treating SME organizational disclosure as both a compliance issue and a Gap-data threat: the researcher will not recruit through a supervisor, owner, employer command chain, or vendor account manager; collection remains interviews only; identifiers will be stripped to P##, role only, SME-X, and Platform-X; and member checking will be a seven-day factual review of sequence, roles, and named proof so contested recovery decisions are not edited out. Justice will be enacted by placing the research burden on operational U.S. SME managers who can name a qualifying event, and by excluding vendor-only staff and command-visible recruitment paths.</w:t>
      </w:r>
      <w:r w:rsidRPr="004B3856">
        <w:rPr>
          <w:highlight w:val="yellow"/>
        </w:rPr>
      </w:r>
      <w:r w:rsidRPr="004B3856">
        <w:rPr>
          <w:highlight w:val="yellow"/>
        </w:rPr>
      </w:r>
      <w:r w:rsidRPr="004B3856">
        <w:rPr>
          <w:highlight w:val="yellow"/>
        </w:rPr>
      </w:r>
      <w:r w:rsidRPr="004B3856">
        <w:rPr>
          <w:highlight w:val="yellow"/>
        </w:rPr>
      </w:r>
      <w:r w:rsidRPr="004B3856">
        <w:rPr>
          <w:highlight w:val="yellow"/>
        </w:rPr>
      </w:r>
      <w:r/>
    </w:p>
    <w:p w14:paraId="793E2971" w14:textId="018AA65B" w:rsidR="004B3856" w:rsidRDefault="004B3856" w:rsidP="004B3856">
      <w:pPr>
        <w:pStyle w:val="ui-markdownparagraph"/>
        <w:ind w:firstLine="720"/>
      </w:pPr>
      <w:r w:rsidRPr="004B3856">
        <w:rPr>
          <w:rFonts w:ascii="Times New Roman" w:hAnsi="Times New Roman" w:eastAsia="Times New Roman"/>
          <w:b w:val="0"/>
          <w:sz w:val="24"/>
          <w:highlight w:val="yellow"/>
        </w:rPr>
        <w:t>Honesty and integrity will govern collection, storage, analysis, reporting, and any later Q&amp;A about the study (Miteu, 2024). Recordings and RAW notes will be stored in an encrypted, password-protected directory separate from CLEAN transcripts and the Delve audit nest. The researcher will not continue a session from memory if recording fails, will not invent artifact contents a manager did not state, and will not claim that Delvetool performed the analysis. Findings and will be disseminated as de-identified patterned accounts of named U.S. SME recovery events, without employer, owner, vendor, or product names, so the study can report how managers enacted whose claim counted, who decided, and what counted as enough proof without exposing the participant or the firm.</w:t>
      </w:r>
      <w:r w:rsidR="00123D5B">
        <w:rPr>
          <w:highlight w:val="yellow"/>
        </w:rPr>
      </w:r>
      <w:r w:rsidRPr="004B3856">
        <w:rPr>
          <w:highlight w:val="yellow"/>
        </w:rPr>
      </w:r>
    </w:p>
    <w:p w14:paraId="4EED5544" w14:textId="77777777" w:rsidR="00BF5ECF" w:rsidRPr="00AC3820" w:rsidRDefault="00BF5ECF" w:rsidP="00BF5ECF">
      <w:pPr>
        <w:pStyle w:val="Heading2"/>
        <w:rPr>
          <w:color w:val="000000" w:themeColor="text1"/>
        </w:rPr>
      </w:pPr>
      <w:r w:rsidRPr="00AC3820">
        <w:rPr>
          <w:color w:val="000000" w:themeColor="text1"/>
        </w:rPr>
        <w:t>Proposed Data Analysis Plan</w:t>
      </w:r>
    </w:p>
    <w:p w14:paraId="01ECF789" w14:textId="77777777" w:rsidR="00AC0630" w:rsidRPr="00AC3820" w:rsidRDefault="00BF5ECF" w:rsidP="00891FB6">
      <w:pPr>
        <w:pStyle w:val="Body"/>
        <w:shd w:val="clear" w:color="auto" w:fill="E7E6E6"/>
        <w:rPr>
          <w:color w:val="000000" w:themeColor="text1"/>
        </w:rPr>
      </w:pPr>
      <w:r w:rsidRPr="00AC3820">
        <w:rPr>
          <w:i/>
          <w:iCs/>
          <w:color w:val="000000" w:themeColor="text1"/>
        </w:rPr>
        <w:t xml:space="preserve">Articulate data analysis techniques appropriate to project framework. </w:t>
      </w:r>
      <w:r w:rsidRPr="00AC3820">
        <w:rPr>
          <w:color w:val="000000" w:themeColor="text1"/>
        </w:rPr>
        <w:t xml:space="preserve"> </w:t>
      </w:r>
    </w:p>
    <w:p w14:paraId="7AE0F079" w14:textId="77777777" w:rsidR="00AC0630" w:rsidRPr="00AC3820" w:rsidRDefault="00AC0630" w:rsidP="00AC0630">
      <w:pPr>
        <w:pStyle w:val="Body"/>
        <w:rPr>
          <w:i/>
          <w:iCs/>
          <w:color w:val="000000" w:themeColor="text1"/>
        </w:rPr>
      </w:pPr>
      <w:r w:rsidRPr="00AC3820">
        <w:rPr>
          <w:i/>
          <w:iCs/>
          <w:color w:val="000000" w:themeColor="text1"/>
        </w:rPr>
        <w:t xml:space="preserve"> </w:t>
      </w:r>
    </w:p>
    <w:p w14:paraId="22764A85" w14:textId="77777777" w:rsidR="00AC0630" w:rsidRDefault="00BF5ECF" w:rsidP="00BF5ECF">
      <w:pPr>
        <w:pStyle w:val="Body"/>
        <w:rPr>
          <w:i/>
          <w:iCs/>
          <w:color w:val="000000" w:themeColor="text1"/>
        </w:rPr>
      </w:pPr>
      <w:r w:rsidRPr="00AC3820">
        <w:rPr>
          <w:i/>
          <w:iCs/>
          <w:color w:val="000000" w:themeColor="text1"/>
        </w:rPr>
        <w:t>Present a plan to analyze and present data with techniques that are appropriate to the project, framework, data sources, and sample size. Suggest</w:t>
      </w:r>
      <w:r w:rsidR="007C0764" w:rsidRPr="00AC3820">
        <w:rPr>
          <w:i/>
          <w:iCs/>
          <w:color w:val="000000" w:themeColor="text1"/>
        </w:rPr>
        <w:t>ed</w:t>
      </w:r>
      <w:r w:rsidRPr="00AC3820">
        <w:rPr>
          <w:i/>
          <w:iCs/>
          <w:color w:val="000000" w:themeColor="text1"/>
        </w:rPr>
        <w:t xml:space="preserve"> length 3-4 paragraphs.</w:t>
      </w:r>
    </w:p>
    <w:p w14:paraId="496EE48A" w14:textId="77777777" w:rsidR="00FB5178" w:rsidRDefault="00FB5178" w:rsidP="00BF5ECF">
      <w:pPr>
        <w:pStyle w:val="Body"/>
        <w:rPr>
          <w:i/>
          <w:iCs/>
          <w:color w:val="000000" w:themeColor="text1"/>
        </w:rPr>
      </w:pPr>
    </w:p>
    <w:p w14:paraId="00BCC010" w14:textId="77777777" w:rsidR="00320DC6" w:rsidRDefault="00320DC6" w:rsidP="00320DC6">
      <w:pPr>
        <w:pStyle w:val="ui-markdownparagraph"/>
      </w:pPr>
      <w:r>
        <w:rPr>
          <w:rFonts w:ascii="Times New Roman" w:hAnsi="Times New Roman" w:eastAsia="Times New Roman"/>
          <w:sz w:val="24"/>
        </w:rPr>
        <w:t>The researcher will analyze de-identified critical-incident interviews from the locked sample of 12 U.S. SME IT, network, systems, infrastructure, or operations managers using hybrid deductive–inductive codebook thematic analysis within a generic qualitative inquiry (Caelli et al., 2003; Fereday &amp; Muir-Cochrane, 2006; Kahlke, 2014; Percy et al., 2015). Before coding, the researcher will complete a scope register that records the purpose, research question, framework role, eligibility rules, participant count, and required deliverables, and will keep three work areas separate: preserved RAW recordings, CLEAN analytic files, and presentation outputs. Each interview will receive a stable identifier. The researcher will produce a verbatim transcript, strip person, firm, vendor, and product names, complete a seven-day factual member check, and read each CLEAN transcript in full before formal coding (Lincoln &amp; Guba, 1985). Delve will store CLEAN transcripts, the versioned codebook, memos, and snippet URLs. Delve will not perform the analysis.</w:t>
      </w:r>
      <w:r w:rsidRPr="00320DC6">
        <w:rPr>
          <w:highlight w:val="cyan"/>
        </w:rPr>
      </w:r>
      <w:r/>
      <w:r w:rsidRPr="00320DC6">
        <w:rPr>
          <w:highlight w:val="cyan"/>
        </w:rPr>
      </w:r>
      <w:r/>
      <w:r w:rsidRPr="00320DC6">
        <w:rPr>
          <w:highlight w:val="cyan"/>
        </w:rPr>
      </w:r>
      <w:r/>
      <w:r/>
    </w:p>
    <w:p w14:paraId="6420E965" w14:textId="128CC29D" w:rsidR="00320DC6" w:rsidRDefault="00320DC6" w:rsidP="00320DC6">
      <w:pPr>
        <w:pStyle w:val="ui-markdownparagraph"/>
      </w:pPr>
      <w:r>
        <w:rPr>
          <w:rFonts w:ascii="Times New Roman" w:hAnsi="Times New Roman" w:eastAsia="Times New Roman"/>
          <w:b w:val="0"/>
          <w:sz w:val="24"/>
        </w:rPr>
        <w:t>Second, the researcher will import the nested start-list of STRUCTURAL, FRAMEWORK_DEDUCTIVE, and BOUNDARY codes and create one excerpt record for each bounded passage that requires analysis, attaching its source locator, speaker, incident context, and provisional code (Fereday &amp; Muir-Cochrane, 2006; Carcary, 2020). A passage may receive more than one code when it conveys distinct ideas. Power, legitimacy, and urgency will function as sensitizing probes, not predetermined theme titles (Mitchell et al., 1997). Decision rights, escalation, evidentiary standards, and recoverability assurance will be coded as enactment evidence, not as a fourth salience attribute. Each code definition will state its meaning, inclusion criteria, exclusion criteria, and a source-linked example; uncertain assignments will be flagged for review. EMERGENT child codes will remain empty until meaning units are locked (Braun &amp; Clarke, 2019; Taylor &amp; Bogdan, 1998). Coding changes will be recorded with the date, reason, and affected records. Spreadsheet lookup and Delve retrieval may support these records; interpretive approval will remain with the researcher (Fereday &amp; Muir-Cochrane, 2006).</w:t>
      </w:r>
      <w:r w:rsidR="00CC218E" w:rsidRPr="00CC218E">
        <w:rPr>
          <w:highlight w:val="cyan"/>
        </w:rPr>
      </w:r>
      <w:r w:rsidR="00CC218E" w:rsidRPr="00CC218E">
        <w:rPr>
          <w:highlight w:val="cyan"/>
        </w:rPr>
      </w:r>
      <w:r w:rsidR="00CC218E" w:rsidRPr="00CC218E">
        <w:rPr>
          <w:highlight w:val="cyan"/>
        </w:rPr>
      </w:r>
      <w:r w:rsidR="00CC218E" w:rsidRPr="00CC218E">
        <w:rPr>
          <w:highlight w:val="cyan"/>
        </w:rPr>
      </w:r>
      <w:r w:rsidR="00CC218E" w:rsidRPr="00CC218E">
        <w:rPr>
          <w:highlight w:val="cyan"/>
        </w:rPr>
      </w:r>
      <w:r w:rsidR="00CC218E"/>
      <w:r/>
    </w:p>
    <w:p w14:paraId="5DA6C1C0" w14:textId="0DC34B4D" w:rsidR="00320DC6" w:rsidRDefault="00320DC6" w:rsidP="00320DC6">
      <w:pPr>
        <w:pStyle w:val="ui-markdownparagraph"/>
      </w:pPr>
      <w:r>
        <w:rPr>
          <w:rFonts w:ascii="Times New Roman" w:hAnsi="Times New Roman" w:eastAsia="Times New Roman"/>
          <w:b w:val="0"/>
          <w:sz w:val="24"/>
        </w:rPr>
        <w:t>Third, the researcher will lock meaning units that state a practice claim before any theme name is written, confirm each unit with a named excerpt and a negative or boundary case, and group related units only when they describe the same salience-to-assurance bargain rather than the same recovery topic (Braun &amp; Clarke, 2019; Taylor &amp; Bogdan, 1998; Walker, 2026). For every proposed theme, the researcher will record its central claim, contributing categories, representative excerpts, exceptions, and research-question relevance, then return to the original passages to inspect context. Candidate categories may be retained, revised, split, combined, or rejected, with earlier versions preserved. This is iterative interpretive work, not an automatic promotion of frequently used labels into themes, and it is not reflexive thematic analysis as the analytic method (Braun &amp; Clarke, 2019; Fereday &amp; Muir-Cochrane, 2006). The locked n = 12 will be reported as the planned participant count, not as proof of saturation; adequacy will be assessed through richness, relevant variation, question coverage, and whether later interviews still change the meaning-unit inventory (Malterud et al., 2016; Naeem et al., 2024).</w:t>
      </w:r>
      <w:r w:rsidRPr="00CC218E">
        <w:rPr>
          <w:highlight w:val="cyan"/>
        </w:rPr>
      </w:r>
      <w:r w:rsidR="00CC218E" w:rsidRPr="00CC218E">
        <w:rPr>
          <w:highlight w:val="cyan"/>
        </w:rPr>
      </w:r>
      <w:r w:rsidRPr="00CC218E">
        <w:rPr>
          <w:highlight w:val="cyan"/>
        </w:rPr>
      </w:r>
      <w:r/>
      <w:r w:rsidRPr="00CC218E">
        <w:rPr>
          <w:highlight w:val="cyan"/>
        </w:rPr>
      </w:r>
      <w:r w:rsidR="00CC218E" w:rsidRPr="00CC218E">
        <w:rPr>
          <w:highlight w:val="cyan"/>
        </w:rPr>
      </w:r>
      <w:r/>
      <w:r w:rsidRPr="00CC218E">
        <w:rPr>
          <w:highlight w:val="cyan"/>
        </w:rPr>
      </w:r>
      <w:r/>
      <w:r w:rsidRPr="00CC218E">
        <w:rPr>
          <w:highlight w:val="cyan"/>
        </w:rPr>
      </w:r>
      <w:r/>
    </w:p>
    <w:p w14:paraId="6163C3EE" w14:textId="77777777" w:rsidR="00320DC6" w:rsidRDefault="00320DC6" w:rsidP="00320DC6">
      <w:pPr>
        <w:pStyle w:val="ui-markdownparagraph"/>
      </w:pPr>
      <w:r>
        <w:rPr>
          <w:rFonts w:ascii="Times New Roman" w:hAnsi="Times New Roman" w:eastAsia="Times New Roman"/>
          <w:b w:val="0"/>
          <w:sz w:val="24"/>
        </w:rPr>
        <w:t>Fourth, the researcher will write two separate syntheses from the reviewed theme records: one for stakeholder-claim management and salience shifts, and one for decision rights, escalation, and recoverability assurance (</w:t>
      </w:r>
      <w:r/>
      <w:r>
        <w:rPr>
          <w:rFonts w:ascii="Times New Roman" w:hAnsi="Times New Roman" w:eastAsia="Times New Roman"/>
          <w:b/>
          <w:sz w:val="24"/>
        </w:rPr>
        <w:t>Lester et al., 2020</w:t>
      </w:r>
      <w:r>
        <w:rPr>
          <w:rFonts w:ascii="Times New Roman" w:hAnsi="Times New Roman" w:eastAsia="Times New Roman"/>
          <w:b w:val="0"/>
          <w:sz w:val="24"/>
        </w:rPr>
        <w:t>; Percy et al., 2015). Presentation will include a meaning-unit evidence table, a theme-to-question map, and a narrative that pairs each interpretive claim with source-verified excerpts and relevant boundary cases, including Every published quotation, participant label, source locator, and thematic claim will receive a source check; table titles and theme names will be compared with the narrative. Participant counts, excerpt counts, and source counts will remain separate. The researcher will close the revision log, record unresolved gaps, and release a dated version of the report, codebook, and CSV nest (Carcary, 2020). Clerical software and retrieval aids will not replace researcher interpretation; every quotation and thematic claim will remain grounded in the CLEAN transcript and the dated audit trail (Nowell et al., 2017). Findings will distinguish managers’ reported interpretations from independently documented actions and will not claim statistical generalization.</w:t>
      </w:r>
    </w:p>
    <w:p w14:paraId="140E42C7" w14:textId="77777777" w:rsidR="00FB5178" w:rsidRPr="00FB5178" w:rsidRDefault="00FB5178" w:rsidP="00BF5ECF">
      <w:pPr>
        <w:pStyle w:val="Body"/>
        <w:rPr>
          <w:color w:val="000000" w:themeColor="text1"/>
        </w:rPr>
      </w:pPr>
    </w:p>
    <w:p w14:paraId="2F15A4C3" w14:textId="77777777" w:rsidR="00BF5ECF" w:rsidRPr="00AC3820" w:rsidRDefault="00BF5ECF" w:rsidP="00BF5ECF">
      <w:pPr>
        <w:pStyle w:val="Body"/>
        <w:rPr>
          <w:i/>
          <w:iCs/>
          <w:color w:val="000000" w:themeColor="text1"/>
        </w:rPr>
      </w:pPr>
    </w:p>
    <w:p w14:paraId="6C5E9B83" w14:textId="77777777" w:rsidR="00BF5ECF" w:rsidRPr="00AC3820" w:rsidRDefault="00BF5ECF" w:rsidP="00BF5ECF">
      <w:pPr>
        <w:pStyle w:val="Body"/>
        <w:rPr>
          <w:i/>
          <w:iCs/>
          <w:color w:val="000000" w:themeColor="text1"/>
        </w:rPr>
      </w:pPr>
    </w:p>
    <w:p w14:paraId="0480E628" w14:textId="77777777" w:rsidR="00BF5ECF" w:rsidRPr="00AC3820" w:rsidRDefault="005C07EF" w:rsidP="00BF5ECF">
      <w:pPr>
        <w:pStyle w:val="Heading5"/>
        <w:rPr>
          <w:color w:val="000000" w:themeColor="text1"/>
        </w:rPr>
      </w:pPr>
      <w:r w:rsidRPr="00AC3820">
        <w:rPr>
          <w:color w:val="000000" w:themeColor="text1"/>
        </w:rPr>
        <w:br w:type="page"/>
      </w:r>
      <w:commentRangeStart w:id="34"/>
      <w:commentRangeStart w:id="35"/>
      <w:r w:rsidR="00BF5ECF" w:rsidRPr="00AC3820">
        <w:rPr>
          <w:rFonts w:cs="Arial"/>
          <w:iCs w:val="0"/>
          <w:color w:val="000000" w:themeColor="text1"/>
          <w:sz w:val="32"/>
          <w:szCs w:val="32"/>
        </w:rPr>
        <w:lastRenderedPageBreak/>
        <w:t>References</w:t>
      </w:r>
      <w:commentRangeEnd w:id="34"/>
      <w:r w:rsidR="00D26D7D" w:rsidRPr="00AC3820">
        <w:rPr>
          <w:rStyle w:val="CommentReference"/>
          <w:color w:val="000000" w:themeColor="text1"/>
          <w:sz w:val="24"/>
          <w:szCs w:val="26"/>
        </w:rPr>
        <w:commentReference w:id="34"/>
      </w:r>
      <w:commentRangeEnd w:id="35"/>
      <w:r w:rsidR="000C2D96" w:rsidRPr="00AC3820">
        <w:rPr>
          <w:rStyle w:val="CommentReference"/>
          <w:color w:val="000000" w:themeColor="text1"/>
          <w:sz w:val="24"/>
          <w:szCs w:val="26"/>
        </w:rPr>
        <w:commentReference w:id="35"/>
      </w:r>
    </w:p>
    <w:p w14:paraId="600A3FDB" w14:textId="77777777" w:rsidR="00BF5ECF" w:rsidRPr="00AC3820" w:rsidRDefault="00BF5ECF" w:rsidP="00BF5ECF">
      <w:pPr>
        <w:pStyle w:val="Body"/>
        <w:rPr>
          <w:i/>
          <w:iCs/>
          <w:color w:val="000000" w:themeColor="text1"/>
        </w:rPr>
      </w:pPr>
      <w:r w:rsidRPr="00AC3820">
        <w:rPr>
          <w:i/>
          <w:iCs/>
          <w:color w:val="000000" w:themeColor="text1"/>
        </w:rPr>
        <w:t xml:space="preserve">APA formatted reference section that includes a reference for each citation used in text. </w:t>
      </w:r>
    </w:p>
    <w:p w14:paraId="04409EA9" w14:textId="77777777" w:rsidR="006106AF" w:rsidRPr="00AC3820" w:rsidRDefault="006106AF" w:rsidP="006106AF">
      <w:pPr>
        <w:pStyle w:val="Body"/>
        <w:rPr>
          <w:color w:val="000000" w:themeColor="text1"/>
        </w:rPr>
      </w:pPr>
    </w:p>
    <w:p w14:paraId="3E1374AA"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Agle, B. R., Mitchell, R. K., &amp; Sonnenfeld, J. A. (1999). Who matters to CEOs? An investigation of stakeholder attributes and salience, corporate performance, and CEO values. </w:t>
      </w:r>
      <w:r>
        <w:rPr>
          <w:rFonts w:ascii="Times New Roman" w:hAnsi="Times New Roman" w:eastAsia="Times New Roman"/>
          <w:b w:val="0"/>
          <w:i/>
          <w:sz w:val="24"/>
        </w:rPr>
        <w:t>Academy of Management Journal, 42</w:t>
      </w:r>
      <w:r>
        <w:rPr>
          <w:rFonts w:ascii="Times New Roman" w:hAnsi="Times New Roman" w:eastAsia="Times New Roman"/>
          <w:b w:val="0"/>
          <w:i w:val="0"/>
          <w:sz w:val="24"/>
        </w:rPr>
        <w:t xml:space="preserve">(5), 507–525. </w:t>
      </w:r>
      <w:hyperlink r:id="rId71">
        <w:r>
          <w:rPr>
            <w:color w:val="0563C1"/>
            <w:u w:val="single"/>
            <w:rFonts w:ascii="Times New Roman" w:hAnsi="Times New Roman"/>
            <w:sz w:val="24"/>
          </w:rPr>
          <w:t xml:space="preserve">https://doi.org/10.5465/256973</w:t>
        </w:r>
      </w:hyperlink>
    </w:p>
    <w:p w14:paraId="0B6F6B3D"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Agle, B. R., Donaldson, T., Freeman, R. E., Jensen, M. C., Mitchell, R. K., &amp; Wood, D. J. (2008). Dialogue: Toward superior stakeholder theory. </w:t>
      </w:r>
      <w:r>
        <w:rPr>
          <w:rFonts w:ascii="Times New Roman" w:hAnsi="Times New Roman" w:eastAsia="Times New Roman"/>
          <w:b w:val="0"/>
          <w:i/>
          <w:sz w:val="24"/>
        </w:rPr>
        <w:t>Business Ethics Quarterly, 18</w:t>
      </w:r>
      <w:r>
        <w:rPr>
          <w:rFonts w:ascii="Times New Roman" w:hAnsi="Times New Roman" w:eastAsia="Times New Roman"/>
          <w:b w:val="0"/>
          <w:i w:val="0"/>
          <w:sz w:val="24"/>
        </w:rPr>
        <w:t xml:space="preserve">(2), 153–190. </w:t>
      </w:r>
      <w:hyperlink r:id="rId16">
        <w:r>
          <w:rPr>
            <w:color w:val="0563C1"/>
            <w:u w:val="single"/>
            <w:rFonts w:ascii="Times New Roman" w:hAnsi="Times New Roman"/>
            <w:sz w:val="24"/>
          </w:rPr>
          <w:t xml:space="preserve">https://doi.org/10.5840/beq200818214</w:t>
        </w:r>
      </w:hyperlink>
    </w:p>
    <w:p w14:paraId="28B03BC0" w14:textId="77777777" w:rsidR="0028214A" w:rsidRDefault="0089165D" w:rsidP="0028214A">
      <w:pPr>
        <w:spacing w:line="480" w:lineRule="auto"/>
        <w:ind w:left="630" w:hanging="630"/>
      </w:pPr>
      <w:r w:rsidRPr="00AC3820">
        <w:rPr>
          <w:rFonts w:ascii="Times New Roman" w:hAnsi="Times New Roman" w:eastAsia="Times New Roman"/>
          <w:b w:val="0"/>
          <w:i w:val="0"/>
          <w:color w:val="000000" w:themeColor="text1"/>
          <w:sz w:val="24"/>
        </w:rPr>
        <w:t xml:space="preserve">Ampel, B. M., Samtani, S., Zhu, H., Chen, H., &amp; Nunamaker, J. F., Jr. (2024). Improving threat mitigation through a cybersecurity risk management framework: A computational design science approach. </w:t>
      </w:r>
      <w:r>
        <w:rPr>
          <w:rFonts w:ascii="Times New Roman" w:hAnsi="Times New Roman" w:eastAsia="Times New Roman"/>
          <w:b w:val="0"/>
          <w:i/>
          <w:sz w:val="24"/>
        </w:rPr>
        <w:t>Journal of Management Information Systems, 41</w:t>
      </w:r>
      <w:r>
        <w:rPr>
          <w:rFonts w:ascii="Times New Roman" w:hAnsi="Times New Roman" w:eastAsia="Times New Roman"/>
          <w:b w:val="0"/>
          <w:i w:val="0"/>
          <w:sz w:val="24"/>
        </w:rPr>
        <w:t xml:space="preserve">(1), 236–265. </w:t>
      </w:r>
      <w:hyperlink r:id="rId72">
        <w:r>
          <w:rPr>
            <w:color w:val="0563C1"/>
            <w:u w:val="single"/>
            <w:rFonts w:ascii="Times New Roman" w:hAnsi="Times New Roman"/>
            <w:sz w:val="24"/>
          </w:rPr>
          <w:t xml:space="preserve">https://doi.org/10.1080/07421222.2023.2301178</w:t>
        </w:r>
      </w:hyperlink>
    </w:p>
    <w:p w14:paraId="375D435E" w14:textId="77777777" w:rsidR="0028214A" w:rsidRDefault="0028214A" w:rsidP="0028214A">
      <w:pPr>
        <w:spacing w:line="480" w:lineRule="auto"/>
        <w:ind w:left="630" w:hanging="630"/>
      </w:pPr>
      <w:r w:rsidRPr="0028214A">
        <w:rPr>
          <w:rFonts w:ascii="Times New Roman" w:hAnsi="Times New Roman" w:eastAsia="Times New Roman"/>
          <w:b w:val="0"/>
          <w:i w:val="0"/>
          <w:sz w:val="24"/>
          <w:highlight w:val="yellow"/>
        </w:rPr>
        <w:t xml:space="preserve">Braun, V., &amp; Clarke, V. (2019). Reflecting on reflexive thematic analysis. </w:t>
      </w:r>
      <w:r>
        <w:rPr>
          <w:b w:val="0"/>
          <w:i w:val="0"/>
        </w:rPr>
      </w:r>
      <w:r>
        <w:rPr>
          <w:b w:val="0"/>
          <w:i w:val="0"/>
          <w:iCs/>
        </w:rPr>
      </w:r>
      <w:r>
        <w:rPr>
          <w:b w:val="0"/>
          <w:i w:val="0"/>
        </w:rPr>
      </w:r>
      <w:r>
        <w:rPr>
          <w:b w:val="0"/>
          <w:i w:val="0"/>
          <w:iCs/>
        </w:rPr>
      </w:r>
      <w:r>
        <w:rPr>
          <w:b w:val="0"/>
          <w:i w:val="0"/>
        </w:rPr>
      </w:r>
      <w:r>
        <w:rPr>
          <w:rFonts w:ascii="Times New Roman" w:hAnsi="Times New Roman" w:eastAsia="Times New Roman"/>
          <w:b w:val="0"/>
          <w:i/>
          <w:sz w:val="24"/>
        </w:rPr>
        <w:t>Qualitative Research in Sport, Exercise and Health, 11</w:t>
      </w:r>
      <w:r>
        <w:rPr>
          <w:rFonts w:ascii="Times New Roman" w:hAnsi="Times New Roman" w:eastAsia="Times New Roman"/>
          <w:b w:val="0"/>
          <w:i w:val="0"/>
          <w:sz w:val="24"/>
        </w:rPr>
        <w:t xml:space="preserve">(4), 589–597. </w:t>
      </w:r>
      <w:hyperlink r:id="rId17">
        <w:r>
          <w:rPr>
            <w:color w:val="0563C1"/>
            <w:u w:val="single"/>
            <w:rFonts w:ascii="Times New Roman" w:hAnsi="Times New Roman"/>
            <w:sz w:val="24"/>
          </w:rPr>
          <w:t xml:space="preserve">https://doi.org/10.1080/2159676X.2019.1628806</w:t>
        </w:r>
      </w:hyperlink>
    </w:p>
    <w:p>
      <w:pPr>
        <w:spacing w:line="480" w:lineRule="auto"/>
      </w:pPr>
      <w:r>
        <w:rPr>
          <w:rFonts w:ascii="Times New Roman" w:hAnsi="Times New Roman" w:eastAsia="Times New Roman"/>
          <w:b/>
          <w:i w:val="0"/>
          <w:sz w:val="24"/>
        </w:rPr>
        <w:t xml:space="preserve">Brinkmann, S., &amp; Kvale, S. (2017). Ethics in qualitative psychological research. In C. Willig &amp; W. Stainton Rogers (Eds.), </w:t>
      </w:r>
      <w:r>
        <w:rPr>
          <w:rFonts w:ascii="Times New Roman" w:hAnsi="Times New Roman" w:eastAsia="Times New Roman"/>
          <w:b/>
          <w:i/>
          <w:sz w:val="24"/>
        </w:rPr>
        <w:t>The SAGE handbook of qualitative research in psychology</w:t>
      </w:r>
      <w:r>
        <w:rPr>
          <w:rFonts w:ascii="Times New Roman" w:hAnsi="Times New Roman" w:eastAsia="Times New Roman"/>
          <w:b/>
          <w:i w:val="0"/>
          <w:sz w:val="24"/>
        </w:rPr>
        <w:t xml:space="preserve"> (2nd ed., pp. 259–273). SAGE. </w:t>
      </w:r>
    </w:p>
    <w:p w14:paraId="406A290B" w14:textId="0B9A3E86" w:rsidR="0089165D" w:rsidRPr="00320DC6" w:rsidRDefault="0089165D" w:rsidP="0028214A">
      <w:pPr>
        <w:spacing w:line="480" w:lineRule="auto"/>
        <w:ind w:left="630" w:hanging="630"/>
        <w:rPr>
          <w:highlight w:val="cyan"/>
        </w:rPr>
      </w:pPr>
      <w:r w:rsidRPr="00AC3820">
        <w:rPr>
          <w:rFonts w:ascii="Times New Roman" w:hAnsi="Times New Roman" w:eastAsia="Times New Roman"/>
          <w:b w:val="0"/>
          <w:i w:val="0"/>
          <w:color w:val="000000" w:themeColor="text1"/>
          <w:sz w:val="24"/>
        </w:rPr>
        <w:t xml:space="preserve">Butterfield, L. D., Borgen, W. A., Amundson, N. E., &amp; Maglio, A.-S. T. (2005). Fifty years of the critical incident technique: 1954–2004 and beyond. </w:t>
      </w:r>
      <w:r w:rsidRPr="00320DC6">
        <w:rPr>
          <w:b w:val="0"/>
          <w:i w:val="0"/>
          <w:color w:val="000000" w:themeColor="text1"/>
          <w:highlight w:val="cyan"/>
        </w:rPr>
      </w:r>
      <w:r>
        <w:rPr>
          <w:rFonts w:ascii="Times New Roman" w:hAnsi="Times New Roman" w:eastAsia="Times New Roman"/>
          <w:b w:val="0"/>
          <w:i/>
          <w:sz w:val="24"/>
        </w:rPr>
        <w:t>Qualitative Research, 5</w:t>
      </w:r>
      <w:r>
        <w:rPr>
          <w:rFonts w:ascii="Times New Roman" w:hAnsi="Times New Roman" w:eastAsia="Times New Roman"/>
          <w:b w:val="0"/>
          <w:i w:val="0"/>
          <w:sz w:val="24"/>
        </w:rPr>
        <w:t xml:space="preserve">(4), 475–497. </w:t>
      </w:r>
      <w:hyperlink r:id="rId73">
        <w:r>
          <w:rPr>
            <w:color w:val="0563C1"/>
            <w:u w:val="single"/>
            <w:rFonts w:ascii="Times New Roman" w:hAnsi="Times New Roman"/>
            <w:sz w:val="24"/>
          </w:rPr>
          <w:t xml:space="preserve">https://doi.org/10.1177/1468794105056924</w:t>
        </w:r>
      </w:hyperlink>
    </w:p>
    <w:p w14:paraId="5E5C38A4" w14:textId="77777777" w:rsidR="00320DC6" w:rsidRDefault="0089165D" w:rsidP="0089165D">
      <w:pPr>
        <w:spacing w:line="480" w:lineRule="auto"/>
        <w:ind w:left="630" w:hanging="630"/>
      </w:pPr>
      <w:r w:rsidRPr="00320DC6">
        <w:rPr>
          <w:rFonts w:ascii="Times New Roman" w:hAnsi="Times New Roman" w:eastAsia="Times New Roman"/>
          <w:b w:val="0"/>
          <w:i w:val="0"/>
          <w:color w:val="000000" w:themeColor="text1"/>
          <w:sz w:val="24"/>
          <w:highlight w:val="cyan"/>
        </w:rPr>
        <w:t xml:space="preserve">Caelli, K., Ray, L., &amp; Mill, J. (2003). “Clear as mud”: Toward greater clarity in generic qualitative research. </w:t>
      </w:r>
      <w:r w:rsidRPr="00AC3820">
        <w:rPr>
          <w:b w:val="0"/>
          <w:i w:val="0"/>
          <w:color w:val="000000" w:themeColor="text1"/>
        </w:rPr>
      </w:r>
      <w:r w:rsidR="00320DC6">
        <w:rPr>
          <w:b w:val="0"/>
          <w:i w:val="0"/>
        </w:rPr>
      </w:r>
      <w:r>
        <w:rPr>
          <w:rFonts w:ascii="Times New Roman" w:hAnsi="Times New Roman" w:eastAsia="Times New Roman"/>
          <w:b w:val="0"/>
          <w:i/>
          <w:sz w:val="24"/>
        </w:rPr>
        <w:t>International Journal of Qualitative Methods, 2</w:t>
      </w:r>
      <w:r>
        <w:rPr>
          <w:rFonts w:ascii="Times New Roman" w:hAnsi="Times New Roman" w:eastAsia="Times New Roman"/>
          <w:b w:val="0"/>
          <w:i w:val="0"/>
          <w:sz w:val="24"/>
        </w:rPr>
        <w:t xml:space="preserve">(2), 1–13. </w:t>
      </w:r>
      <w:hyperlink r:id="rId18">
        <w:r>
          <w:rPr>
            <w:color w:val="0563C1"/>
            <w:u w:val="single"/>
            <w:rFonts w:ascii="Times New Roman" w:hAnsi="Times New Roman"/>
            <w:sz w:val="24"/>
          </w:rPr>
          <w:t xml:space="preserve">https://doi.org/10.1177/160940690300200201</w:t>
        </w:r>
      </w:hyperlink>
    </w:p>
    <w:p>
      <w:pPr>
        <w:spacing w:line="480" w:lineRule="auto"/>
      </w:pPr>
      <w:r>
        <w:rPr>
          <w:rFonts w:ascii="Times New Roman" w:hAnsi="Times New Roman" w:eastAsia="Times New Roman"/>
          <w:b w:val="0"/>
          <w:i w:val="0"/>
          <w:sz w:val="24"/>
        </w:rPr>
        <w:t xml:space="preserve">Capella University. (2024). </w:t>
      </w:r>
      <w:r>
        <w:rPr>
          <w:rFonts w:ascii="Times New Roman" w:hAnsi="Times New Roman" w:eastAsia="Times New Roman"/>
          <w:b w:val="0"/>
          <w:i/>
          <w:sz w:val="24"/>
        </w:rPr>
        <w:t>University catalog: Doctor of Philosophy (PhD) in Business Management, Information Technology Management specialization</w:t>
      </w:r>
      <w:r>
        <w:rPr>
          <w:rFonts w:ascii="Times New Roman" w:hAnsi="Times New Roman" w:eastAsia="Times New Roman"/>
          <w:b w:val="0"/>
          <w:i w:val="0"/>
          <w:sz w:val="24"/>
        </w:rPr>
        <w:t>. Capella University.</w:t>
      </w:r>
    </w:p>
    <w:p w14:paraId="43B56822" w14:textId="40ECFABF" w:rsidR="0089165D" w:rsidRPr="00AC3820" w:rsidRDefault="00320DC6" w:rsidP="0089165D">
      <w:pPr>
        <w:spacing w:line="480" w:lineRule="auto"/>
        <w:ind w:left="630" w:hanging="630"/>
        <w:rPr>
          <w:color w:val="000000" w:themeColor="text1"/>
        </w:rPr>
      </w:pPr>
      <w:r w:rsidRPr="00320DC6">
        <w:rPr>
          <w:rFonts w:ascii="Times New Roman" w:hAnsi="Times New Roman" w:eastAsia="Times New Roman"/>
          <w:b w:val="0"/>
          <w:i w:val="0"/>
          <w:sz w:val="24"/>
          <w:highlight w:val="cyan"/>
        </w:rPr>
        <w:t xml:space="preserve">Carcary, M. (2020). The research audit trail: Methodological guidance for application in practice. </w:t>
      </w:r>
      <w:r>
        <w:rPr>
          <w:b w:val="0"/>
          <w:i w:val="0"/>
        </w:rPr>
      </w:r>
      <w:r>
        <w:rPr>
          <w:b w:val="0"/>
          <w:i w:val="0"/>
          <w:iCs/>
        </w:rPr>
      </w:r>
      <w:r>
        <w:rPr>
          <w:b w:val="0"/>
          <w:i w:val="0"/>
        </w:rPr>
      </w:r>
      <w:r>
        <w:rPr>
          <w:rFonts w:ascii="Times New Roman" w:hAnsi="Times New Roman" w:eastAsia="Times New Roman"/>
          <w:b w:val="0"/>
          <w:i/>
          <w:sz w:val="24"/>
        </w:rPr>
        <w:t>Electronic Journal of Business Research Methods, 18</w:t>
      </w:r>
      <w:r>
        <w:rPr>
          <w:rFonts w:ascii="Times New Roman" w:hAnsi="Times New Roman" w:eastAsia="Times New Roman"/>
          <w:b w:val="0"/>
          <w:i w:val="0"/>
          <w:sz w:val="24"/>
        </w:rPr>
        <w:t xml:space="preserve">(2), 166–177. </w:t>
      </w:r>
      <w:hyperlink r:id="rId74">
        <w:r>
          <w:rPr>
            <w:color w:val="0563C1"/>
            <w:u w:val="single"/>
            <w:rFonts w:ascii="Times New Roman" w:hAnsi="Times New Roman"/>
            <w:sz w:val="24"/>
          </w:rPr>
          <w:t xml:space="preserve">https://doi.org/10.34190/jbrm.18.2.008</w:t>
        </w:r>
      </w:hyperlink>
    </w:p>
    <w:p>
      <w:pPr>
        <w:spacing w:line="480" w:lineRule="auto"/>
      </w:pPr>
      <w:r>
        <w:rPr>
          <w:rFonts w:ascii="Times New Roman" w:hAnsi="Times New Roman" w:eastAsia="Times New Roman"/>
          <w:b w:val="0"/>
          <w:i w:val="0"/>
          <w:sz w:val="24"/>
        </w:rPr>
        <w:t xml:space="preserve">Chell, E. (2004). Critical incident technique. In C. Cassell &amp; G. Symon (Eds.), </w:t>
      </w:r>
      <w:r>
        <w:rPr>
          <w:rFonts w:ascii="Times New Roman" w:hAnsi="Times New Roman" w:eastAsia="Times New Roman"/>
          <w:b w:val="0"/>
          <w:i/>
          <w:sz w:val="24"/>
        </w:rPr>
        <w:t>Essential guide to qualitative methods in organizational research</w:t>
      </w:r>
      <w:r>
        <w:rPr>
          <w:rFonts w:ascii="Times New Roman" w:hAnsi="Times New Roman" w:eastAsia="Times New Roman"/>
          <w:b w:val="0"/>
          <w:i w:val="0"/>
          <w:sz w:val="24"/>
        </w:rPr>
        <w:t xml:space="preserve"> (pp. 45–60). SAGE.</w:t>
      </w:r>
    </w:p>
    <w:p w14:paraId="2168B1BA"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i w:val="0"/>
          <w:color w:val="000000" w:themeColor="text1"/>
          <w:sz w:val="24"/>
        </w:rPr>
        <w:t xml:space="preserve">Cooper, S., &amp; Endacott, R. (2007). Generic qualitative research: A design for qualitative research in emergency care? </w:t>
      </w:r>
      <w:r>
        <w:rPr>
          <w:rFonts w:ascii="Times New Roman" w:hAnsi="Times New Roman" w:eastAsia="Times New Roman"/>
          <w:b/>
          <w:i/>
          <w:sz w:val="24"/>
        </w:rPr>
        <w:t>Emergency Medicine Journal, 24</w:t>
      </w:r>
      <w:r>
        <w:rPr>
          <w:rFonts w:ascii="Times New Roman" w:hAnsi="Times New Roman" w:eastAsia="Times New Roman"/>
          <w:b/>
          <w:i w:val="0"/>
          <w:sz w:val="24"/>
        </w:rPr>
        <w:t xml:space="preserve">(12), 816–819. </w:t>
      </w:r>
      <w:hyperlink r:id="rId19">
        <w:r>
          <w:rPr>
            <w:color w:val="0563C1"/>
            <w:u w:val="single"/>
            <w:rFonts w:ascii="Times New Roman" w:hAnsi="Times New Roman"/>
            <w:sz w:val="24"/>
            <w:b/>
          </w:rPr>
          <w:t xml:space="preserve">https://doi.org/10.1136/emj.2007.050641</w:t>
        </w:r>
      </w:hyperlink>
    </w:p>
    <w:p w14:paraId="4876EA16"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i w:val="0"/>
          <w:color w:val="000000" w:themeColor="text1"/>
          <w:sz w:val="24"/>
        </w:rPr>
        <w:t xml:space="preserve">Creswell, J. W., &amp; Miller, D. L. (2000). Determining validity in qualitative inquiry. </w:t>
      </w:r>
      <w:r>
        <w:rPr>
          <w:rFonts w:ascii="Times New Roman" w:hAnsi="Times New Roman" w:eastAsia="Times New Roman"/>
          <w:b/>
          <w:i/>
          <w:sz w:val="24"/>
        </w:rPr>
        <w:t>Theory Into Practice, 39</w:t>
      </w:r>
      <w:r>
        <w:rPr>
          <w:rFonts w:ascii="Times New Roman" w:hAnsi="Times New Roman" w:eastAsia="Times New Roman"/>
          <w:b/>
          <w:i w:val="0"/>
          <w:sz w:val="24"/>
        </w:rPr>
        <w:t xml:space="preserve">(3), 124–130. </w:t>
      </w:r>
      <w:hyperlink r:id="rId75">
        <w:r>
          <w:rPr>
            <w:color w:val="0563C1"/>
            <w:u w:val="single"/>
            <w:rFonts w:ascii="Times New Roman" w:hAnsi="Times New Roman"/>
            <w:sz w:val="24"/>
            <w:b/>
          </w:rPr>
          <w:t xml:space="preserve">https://doi.org/10.1207/s15430421tip3903_2</w:t>
        </w:r>
      </w:hyperlink>
    </w:p>
    <w:p w14:paraId="14FF2CB4" w14:textId="1A50B925" w:rsidR="0089165D" w:rsidRPr="00AC3820" w:rsidRDefault="0089165D" w:rsidP="0089165D">
      <w:pPr>
        <w:spacing w:line="480" w:lineRule="auto"/>
        <w:ind w:left="630" w:hanging="630"/>
        <w:rPr>
          <w:color w:val="000000" w:themeColor="text1"/>
        </w:rPr>
      </w:pPr>
      <w:r w:rsidRPr="00AD3765">
        <w:rPr>
          <w:rFonts w:ascii="Times New Roman" w:hAnsi="Times New Roman" w:eastAsia="Times New Roman"/>
          <w:b w:val="0"/>
          <w:i w:val="0"/>
          <w:color w:val="000000" w:themeColor="text1"/>
          <w:sz w:val="24"/>
          <w:highlight w:val="cyan"/>
        </w:rPr>
        <w:t xml:space="preserve">Creswell, J. W., &amp; Poth, C. N. (2024). </w:t>
      </w:r>
      <w:r w:rsidRPr="00AD3765">
        <w:rPr>
          <w:b w:val="0"/>
          <w:i w:val="0"/>
          <w:color w:val="000000" w:themeColor="text1"/>
          <w:highlight w:val="green"/>
        </w:rPr>
      </w:r>
      <w:r w:rsidR="00AD3765" w:rsidRPr="00AD3765">
        <w:rPr>
          <w:b w:val="0"/>
          <w:i w:val="0"/>
          <w:color w:val="000000" w:themeColor="text1"/>
          <w:highlight w:val="green"/>
        </w:rPr>
      </w:r>
      <w:r w:rsidRPr="00AD3765">
        <w:rPr>
          <w:b w:val="0"/>
          <w:i w:val="0"/>
          <w:color w:val="000000" w:themeColor="text1"/>
          <w:highlight w:val="green"/>
        </w:rPr>
      </w:r>
      <w:r w:rsidRPr="00AC3820">
        <w:rPr>
          <w:b w:val="0"/>
          <w:i w:val="0"/>
          <w:color w:val="000000" w:themeColor="text1"/>
        </w:rPr>
      </w:r>
      <w:r>
        <w:rPr>
          <w:rFonts w:ascii="Times New Roman" w:hAnsi="Times New Roman" w:eastAsia="Times New Roman"/>
          <w:b w:val="0"/>
          <w:i/>
          <w:sz w:val="24"/>
        </w:rPr>
        <w:t>Qualitative inquiry and research design: Choosing among five approaches</w:t>
      </w:r>
      <w:r>
        <w:rPr>
          <w:rFonts w:ascii="Times New Roman" w:hAnsi="Times New Roman" w:eastAsia="Times New Roman"/>
          <w:b w:val="0"/>
          <w:i w:val="0"/>
          <w:sz w:val="24"/>
        </w:rPr>
        <w:t xml:space="preserve"> (5th ed.). SAGE.</w:t>
      </w:r>
    </w:p>
    <w:p w14:paraId="1C62BFA6"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Donaldson, T., &amp; Preston, L. E. (1995). The stakeholder theory of the corporation: Concepts, evidence, and implications. </w:t>
      </w:r>
      <w:r w:rsidR="00202E6F" w:rsidRPr="00AC3820">
        <w:rPr>
          <w:b w:val="0"/>
          <w:i w:val="0"/>
          <w:color w:val="000000" w:themeColor="text1"/>
        </w:rPr>
      </w:r>
      <w:r w:rsidRPr="00AC3820">
        <w:rPr>
          <w:b w:val="0"/>
          <w:i w:val="0"/>
          <w:color w:val="000000" w:themeColor="text1"/>
        </w:rPr>
      </w:r>
      <w:r>
        <w:rPr>
          <w:rFonts w:ascii="Times New Roman" w:hAnsi="Times New Roman" w:eastAsia="Times New Roman"/>
          <w:b w:val="0"/>
          <w:i/>
          <w:sz w:val="24"/>
        </w:rPr>
        <w:t>Academy of Management Review, 20</w:t>
      </w:r>
      <w:r>
        <w:rPr>
          <w:rFonts w:ascii="Times New Roman" w:hAnsi="Times New Roman" w:eastAsia="Times New Roman"/>
          <w:b w:val="0"/>
          <w:i w:val="0"/>
          <w:sz w:val="24"/>
        </w:rPr>
        <w:t xml:space="preserve">(1), 65–91. </w:t>
      </w:r>
      <w:hyperlink r:id="rId76">
        <w:r>
          <w:rPr>
            <w:color w:val="0563C1"/>
            <w:u w:val="single"/>
            <w:rFonts w:ascii="Times New Roman" w:hAnsi="Times New Roman"/>
            <w:sz w:val="24"/>
          </w:rPr>
          <w:t xml:space="preserve">https://doi.org/10.5465/amr.1995.9503271992</w:t>
        </w:r>
      </w:hyperlink>
    </w:p>
    <w:p w14:paraId="135EF702"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Dorobantu, S., Henisz, W. J., &amp; Nartey, L. J. (2024). Firm–stakeholder dialogue and the media: The evolution of stakeholder evaluations in different informational environments. </w:t>
      </w:r>
      <w:r>
        <w:rPr>
          <w:rFonts w:ascii="Times New Roman" w:hAnsi="Times New Roman" w:eastAsia="Times New Roman"/>
          <w:b w:val="0"/>
          <w:i/>
          <w:sz w:val="24"/>
        </w:rPr>
        <w:t>Academy of Management Journal, 67</w:t>
      </w:r>
      <w:r>
        <w:rPr>
          <w:rFonts w:ascii="Times New Roman" w:hAnsi="Times New Roman" w:eastAsia="Times New Roman"/>
          <w:b w:val="0"/>
          <w:i w:val="0"/>
          <w:sz w:val="24"/>
        </w:rPr>
        <w:t xml:space="preserve">(1), 92–125. </w:t>
      </w:r>
      <w:hyperlink r:id="rId77">
        <w:r>
          <w:rPr>
            <w:color w:val="0563C1"/>
            <w:u w:val="single"/>
            <w:rFonts w:ascii="Times New Roman" w:hAnsi="Times New Roman"/>
            <w:sz w:val="24"/>
          </w:rPr>
          <w:t xml:space="preserve">https://doi.org/10.5465/amj.2021.0103</w:t>
        </w:r>
      </w:hyperlink>
    </w:p>
    <w:p w14:paraId="13174C62" w14:textId="77777777" w:rsidR="006C0B44" w:rsidRPr="00AC3820" w:rsidRDefault="0089165D" w:rsidP="006C0B44">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Ekinci, Y., Rodrigo, P., Japutra, A., Çifci, S., Tee, M., &amp; Jia, Y. (2025). Assessing small and medium-size enterprise CEOs’ attitude towards business growth: The impact of event risk. </w:t>
      </w:r>
      <w:r>
        <w:rPr>
          <w:rFonts w:ascii="Times New Roman" w:hAnsi="Times New Roman" w:eastAsia="Times New Roman"/>
          <w:b w:val="0"/>
          <w:i/>
          <w:sz w:val="24"/>
        </w:rPr>
        <w:t>Journal of Business Economics and Management, 26</w:t>
      </w:r>
      <w:r>
        <w:rPr>
          <w:rFonts w:ascii="Times New Roman" w:hAnsi="Times New Roman" w:eastAsia="Times New Roman"/>
          <w:b w:val="0"/>
          <w:i w:val="0"/>
          <w:sz w:val="24"/>
        </w:rPr>
        <w:t xml:space="preserve">(3), 533–554. </w:t>
      </w:r>
      <w:hyperlink r:id="rId78">
        <w:r>
          <w:rPr>
            <w:color w:val="0563C1"/>
            <w:u w:val="single"/>
            <w:rFonts w:ascii="Times New Roman" w:hAnsi="Times New Roman"/>
            <w:sz w:val="24"/>
          </w:rPr>
          <w:t xml:space="preserve">https://doi.org/10.3846/jbem.2025.23519</w:t>
        </w:r>
      </w:hyperlink>
    </w:p>
    <w:p w14:paraId="6DC975CE" w14:textId="5F888305" w:rsidR="006C0B44" w:rsidRPr="00AC3820" w:rsidRDefault="006C0B44" w:rsidP="006C0B44">
      <w:pPr>
        <w:spacing w:line="480" w:lineRule="auto"/>
        <w:ind w:left="630" w:hanging="630"/>
        <w:rPr>
          <w:color w:val="000000" w:themeColor="text1"/>
        </w:rPr>
      </w:pPr>
      <w:r w:rsidRPr="00AC3820">
        <w:rPr>
          <w:rFonts w:ascii="Times New Roman" w:hAnsi="Times New Roman" w:eastAsia="Times New Roman"/>
          <w:b/>
          <w:i w:val="0"/>
          <w:color w:val="000000" w:themeColor="text1"/>
          <w:sz w:val="24"/>
        </w:rPr>
        <w:t xml:space="preserve">Erdiaw-Kwasie, M. O., Alam, K., &amp; Shahiduzzaman, M. (2017). Towards understanding stakeholder salience transition and relational approach to ‘better’ corporate social responsibility: A case for a proposed model in practice. </w:t>
      </w:r>
      <w:r>
        <w:rPr>
          <w:rFonts w:ascii="Times New Roman" w:hAnsi="Times New Roman" w:eastAsia="Times New Roman"/>
          <w:b/>
          <w:i/>
          <w:sz w:val="24"/>
        </w:rPr>
        <w:t>Journal of Business Ethics, 144</w:t>
      </w:r>
      <w:r>
        <w:rPr>
          <w:rFonts w:ascii="Times New Roman" w:hAnsi="Times New Roman" w:eastAsia="Times New Roman"/>
          <w:b/>
          <w:i w:val="0"/>
          <w:sz w:val="24"/>
        </w:rPr>
        <w:t xml:space="preserve">(1), 85–101. </w:t>
      </w:r>
      <w:hyperlink r:id="rId21">
        <w:r>
          <w:rPr>
            <w:color w:val="0563C1"/>
            <w:u w:val="single"/>
            <w:rFonts w:ascii="Times New Roman" w:hAnsi="Times New Roman"/>
            <w:sz w:val="24"/>
            <w:b/>
          </w:rPr>
          <w:t xml:space="preserve">https://doi.org/10.1007/s10551-015-2805-z</w:t>
        </w:r>
      </w:hyperlink>
    </w:p>
    <w:p w14:paraId="79A13593" w14:textId="77777777" w:rsidR="0089165D" w:rsidRPr="00AC3820" w:rsidRDefault="0089165D" w:rsidP="0089165D">
      <w:pPr>
        <w:spacing w:line="480" w:lineRule="auto"/>
        <w:ind w:left="630" w:hanging="630"/>
        <w:rPr>
          <w:color w:val="000000" w:themeColor="text1"/>
        </w:rPr>
      </w:pPr>
      <w:r w:rsidRPr="00C17561">
        <w:rPr>
          <w:rFonts w:ascii="Times New Roman" w:hAnsi="Times New Roman" w:eastAsia="Times New Roman"/>
          <w:b w:val="0"/>
          <w:i w:val="0"/>
          <w:color w:val="000000" w:themeColor="text1"/>
          <w:sz w:val="24"/>
          <w:highlight w:val="cyan"/>
        </w:rPr>
        <w:t xml:space="preserve">Farahbod, K., Shayo, C., &amp; Varzandeh, J. (2022). Six sigma and lean operations in cybersecurity management. </w:t>
      </w:r>
      <w:r w:rsidRPr="00AC3820">
        <w:rPr>
          <w:b w:val="0"/>
          <w:i w:val="0"/>
          <w:color w:val="000000" w:themeColor="text1"/>
        </w:rPr>
      </w:r>
      <w:r>
        <w:rPr>
          <w:rFonts w:ascii="Times New Roman" w:hAnsi="Times New Roman" w:eastAsia="Times New Roman"/>
          <w:b w:val="0"/>
          <w:i/>
          <w:sz w:val="24"/>
        </w:rPr>
        <w:t>Journal of Business and Behavioral Sciences, 34</w:t>
      </w:r>
      <w:r>
        <w:rPr>
          <w:rFonts w:ascii="Times New Roman" w:hAnsi="Times New Roman" w:eastAsia="Times New Roman"/>
          <w:b w:val="0"/>
          <w:i w:val="0"/>
          <w:sz w:val="24"/>
        </w:rPr>
        <w:t>(1), 99–109.</w:t>
      </w:r>
    </w:p>
    <w:p w14:paraId="38913E1E"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Federal Bureau of Investigation. (2024). </w:t>
      </w:r>
      <w:r>
        <w:rPr>
          <w:rFonts w:ascii="Times New Roman" w:hAnsi="Times New Roman" w:eastAsia="Times New Roman"/>
          <w:b w:val="0"/>
          <w:i/>
          <w:sz w:val="24"/>
        </w:rPr>
        <w:t>Internet crime report 2024</w:t>
      </w:r>
      <w:r>
        <w:rPr>
          <w:rFonts w:ascii="Times New Roman" w:hAnsi="Times New Roman" w:eastAsia="Times New Roman"/>
          <w:b w:val="0"/>
          <w:i w:val="0"/>
          <w:sz w:val="24"/>
        </w:rPr>
        <w:t xml:space="preserve">. </w:t>
      </w:r>
      <w:hyperlink r:id="rId79">
        <w:r>
          <w:rPr>
            <w:color w:val="0563C1"/>
            <w:u w:val="single"/>
            <w:rFonts w:ascii="Times New Roman" w:hAnsi="Times New Roman"/>
            <w:sz w:val="24"/>
          </w:rPr>
          <w:t xml:space="preserve">https://www.ic3.gov/AnnualReport/Reports/2024_IC3Report.pdf</w:t>
        </w:r>
      </w:hyperlink>
    </w:p>
    <w:p>
      <w:r>
        <w:rPr>
          <w:rFonts w:ascii="Times New Roman" w:hAnsi="Times New Roman" w:eastAsia="Times New Roman"/>
          <w:b w:val="0"/>
          <w:i w:val="0"/>
          <w:sz w:val="24"/>
        </w:rPr>
        <w:t xml:space="preserve">Fereday, J., &amp; Muir-Cochrane, E. (2006). Demonstrating rigor using thematic analysis: A hybrid approach of inductive and deductive coding and theme development. </w:t>
      </w:r>
      <w:r>
        <w:rPr>
          <w:rFonts w:ascii="Times New Roman" w:hAnsi="Times New Roman" w:eastAsia="Times New Roman"/>
          <w:b w:val="0"/>
          <w:i/>
          <w:sz w:val="24"/>
        </w:rPr>
        <w:t>International Journal of Qualitative Methods, 5</w:t>
      </w:r>
      <w:r>
        <w:rPr>
          <w:rFonts w:ascii="Times New Roman" w:hAnsi="Times New Roman" w:eastAsia="Times New Roman"/>
          <w:b w:val="0"/>
          <w:i w:val="0"/>
          <w:sz w:val="24"/>
        </w:rPr>
        <w:t xml:space="preserve">(1), 80–92. </w:t>
      </w:r>
      <w:hyperlink r:id="rId80">
        <w:r>
          <w:rPr>
            <w:color w:val="0563C1"/>
            <w:u w:val="single"/>
            <w:rFonts w:ascii="Times New Roman" w:hAnsi="Times New Roman"/>
            <w:sz w:val="24"/>
          </w:rPr>
          <w:t xml:space="preserve">https://doi.org/10.1177/160940690600500107</w:t>
        </w:r>
      </w:hyperlink>
    </w:p>
    <w:p w14:paraId="3708C629" w14:textId="2138DCB3" w:rsidR="0089165D" w:rsidRDefault="0089165D" w:rsidP="0089165D">
      <w:pPr>
        <w:spacing w:line="480" w:lineRule="auto"/>
        <w:ind w:left="630" w:hanging="630"/>
        <w:rPr>
          <w:color w:val="000000" w:themeColor="text1"/>
        </w:rPr>
      </w:pPr>
      <w:r w:rsidRPr="00AC3820">
        <w:rPr>
          <w:rFonts w:ascii="Times New Roman" w:hAnsi="Times New Roman" w:eastAsia="Times New Roman"/>
          <w:b/>
          <w:i w:val="0"/>
          <w:color w:val="000000" w:themeColor="text1"/>
          <w:sz w:val="24"/>
        </w:rPr>
        <w:t xml:space="preserve">Fischer, D., Brettel, M., &amp; Mauer, R. (2020). The three dimensions of sustainability: A delicate balancing act for entrepreneurs made more complex by stakeholder expectations. </w:t>
      </w:r>
      <w:r w:rsidRPr="00AC3820">
        <w:rPr>
          <w:b w:val="0"/>
          <w:i w:val="0"/>
          <w:color w:val="000000" w:themeColor="text1"/>
        </w:rPr>
      </w:r>
      <w:r>
        <w:rPr>
          <w:rFonts w:ascii="Times New Roman" w:hAnsi="Times New Roman" w:eastAsia="Times New Roman"/>
          <w:b/>
          <w:i/>
          <w:sz w:val="24"/>
        </w:rPr>
        <w:t>Journal of Business Ethics, 163</w:t>
      </w:r>
      <w:r>
        <w:rPr>
          <w:rFonts w:ascii="Times New Roman" w:hAnsi="Times New Roman" w:eastAsia="Times New Roman"/>
          <w:b/>
          <w:i w:val="0"/>
          <w:sz w:val="24"/>
        </w:rPr>
        <w:t xml:space="preserve">(1), 87–106. </w:t>
      </w:r>
      <w:hyperlink r:id="rId23">
        <w:r>
          <w:rPr>
            <w:color w:val="0563C1"/>
            <w:u w:val="single"/>
            <w:rFonts w:ascii="Times New Roman" w:hAnsi="Times New Roman"/>
            <w:sz w:val="24"/>
            <w:b/>
          </w:rPr>
          <w:t xml:space="preserve">https://doi.org/10.1007/s10551-018-4012-1</w:t>
        </w:r>
      </w:hyperlink>
    </w:p>
    <w:p w14:paraId="7F19CB5E" w14:textId="236B823A" w:rsidR="00106231" w:rsidRPr="00AC3820" w:rsidRDefault="00106231" w:rsidP="0089165D">
      <w:pPr>
        <w:spacing w:line="480" w:lineRule="auto"/>
        <w:ind w:left="630" w:hanging="630"/>
        <w:rPr>
          <w:color w:val="000000" w:themeColor="text1"/>
        </w:rPr>
      </w:pPr>
      <w:r w:rsidRPr="00106231">
        <w:rPr>
          <w:rFonts w:ascii="Times New Roman" w:hAnsi="Times New Roman" w:eastAsia="Times New Roman"/>
          <w:b w:val="0"/>
          <w:i w:val="0"/>
          <w:sz w:val="24"/>
          <w:highlight w:val="yellow"/>
        </w:rPr>
        <w:t xml:space="preserve">Flanagan, J. C. (1954). The critical incident technique. </w:t>
      </w:r>
      <w:r>
        <w:rPr>
          <w:b w:val="0"/>
          <w:i w:val="0"/>
        </w:rPr>
      </w:r>
      <w:r>
        <w:rPr>
          <w:b w:val="0"/>
          <w:i w:val="0"/>
          <w:iCs/>
        </w:rPr>
      </w:r>
      <w:r>
        <w:rPr>
          <w:b w:val="0"/>
          <w:i w:val="0"/>
        </w:rPr>
      </w:r>
      <w:r>
        <w:rPr>
          <w:b w:val="0"/>
          <w:i w:val="0"/>
          <w:iCs/>
        </w:rPr>
      </w:r>
      <w:r>
        <w:rPr>
          <w:b w:val="0"/>
          <w:i w:val="0"/>
        </w:rPr>
      </w:r>
      <w:r>
        <w:rPr>
          <w:rFonts w:ascii="Times New Roman" w:hAnsi="Times New Roman" w:eastAsia="Times New Roman"/>
          <w:b w:val="0"/>
          <w:i/>
          <w:sz w:val="24"/>
        </w:rPr>
        <w:t>Psychological Bulletin, 51</w:t>
      </w:r>
      <w:r>
        <w:rPr>
          <w:rFonts w:ascii="Times New Roman" w:hAnsi="Times New Roman" w:eastAsia="Times New Roman"/>
          <w:b w:val="0"/>
          <w:i w:val="0"/>
          <w:sz w:val="24"/>
        </w:rPr>
        <w:t xml:space="preserve">(4), 327–358. </w:t>
      </w:r>
      <w:hyperlink r:id="rId81">
        <w:r>
          <w:rPr>
            <w:color w:val="0563C1"/>
            <w:u w:val="single"/>
            <w:rFonts w:ascii="Times New Roman" w:hAnsi="Times New Roman"/>
            <w:sz w:val="24"/>
          </w:rPr>
          <w:t xml:space="preserve">https://doi.org/10.1037/h0061470</w:t>
        </w:r>
      </w:hyperlink>
    </w:p>
    <w:p w14:paraId="66A6F4C0"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Freeman, R. E. (1984). </w:t>
      </w:r>
      <w:r>
        <w:rPr>
          <w:rFonts w:ascii="Times New Roman" w:hAnsi="Times New Roman" w:eastAsia="Times New Roman"/>
          <w:b w:val="0"/>
          <w:i/>
          <w:sz w:val="24"/>
        </w:rPr>
        <w:t>Strategic management: A stakeholder approach</w:t>
      </w:r>
      <w:r>
        <w:rPr>
          <w:rFonts w:ascii="Times New Roman" w:hAnsi="Times New Roman" w:eastAsia="Times New Roman"/>
          <w:b w:val="0"/>
          <w:i w:val="0"/>
          <w:sz w:val="24"/>
        </w:rPr>
        <w:t>. Pitman.</w:t>
      </w:r>
    </w:p>
    <w:p>
      <w:pPr>
        <w:spacing w:line="480" w:lineRule="auto"/>
      </w:pPr>
      <w:r>
        <w:rPr>
          <w:rFonts w:ascii="Times New Roman" w:hAnsi="Times New Roman" w:eastAsia="Times New Roman"/>
          <w:b w:val="0"/>
          <w:i w:val="0"/>
          <w:sz w:val="24"/>
        </w:rPr>
        <w:t xml:space="preserve">Freeman, R. E. (2008). </w:t>
      </w:r>
      <w:r>
        <w:rPr>
          <w:rFonts w:ascii="Times New Roman" w:hAnsi="Times New Roman" w:eastAsia="Times New Roman"/>
          <w:b w:val="0"/>
          <w:i/>
          <w:sz w:val="24"/>
        </w:rPr>
        <w:t>Managing for stakeholders: Survival, reputation, and success</w:t>
      </w:r>
      <w:r>
        <w:rPr>
          <w:rFonts w:ascii="Times New Roman" w:hAnsi="Times New Roman" w:eastAsia="Times New Roman"/>
          <w:b w:val="0"/>
          <w:i w:val="0"/>
          <w:sz w:val="24"/>
        </w:rPr>
        <w:t>. Yale University Press.</w:t>
      </w:r>
    </w:p>
    <w:p w14:paraId="5DCDD433" w14:textId="7FE01A98" w:rsidR="00AD3765" w:rsidRPr="00AD3765" w:rsidRDefault="00AD3765" w:rsidP="0089165D">
      <w:pPr>
        <w:spacing w:line="480" w:lineRule="auto"/>
        <w:ind w:left="630" w:hanging="630"/>
        <w:rPr>
          <w:b/>
          <w:bCs/>
          <w:color w:val="000000" w:themeColor="text1"/>
        </w:rPr>
      </w:pPr>
      <w:r w:rsidRPr="00AD3765">
        <w:rPr>
          <w:rFonts w:ascii="Times New Roman" w:hAnsi="Times New Roman" w:eastAsia="Times New Roman"/>
          <w:b w:val="0"/>
          <w:bCs/>
          <w:i w:val="0"/>
          <w:color w:val="000000" w:themeColor="text1"/>
          <w:sz w:val="24"/>
          <w:highlight w:val="yellow"/>
        </w:rPr>
        <w:t xml:space="preserve">Freeman, R. E. (2009). Stakeholder theory: 25 years later. </w:t>
      </w:r>
      <w:r>
        <w:rPr>
          <w:rFonts w:ascii="Times New Roman" w:hAnsi="Times New Roman" w:eastAsia="Times New Roman"/>
          <w:b w:val="0"/>
          <w:i w:val="0"/>
          <w:sz w:val="24"/>
        </w:rPr>
      </w:r>
      <w:r>
        <w:rPr>
          <w:rFonts w:ascii="Times New Roman" w:hAnsi="Times New Roman" w:eastAsia="Times New Roman"/>
          <w:b w:val="0"/>
          <w:i/>
          <w:sz w:val="24"/>
        </w:rPr>
        <w:t>Philosophy of Management, 8</w:t>
      </w:r>
      <w:r>
        <w:rPr>
          <w:rFonts w:ascii="Times New Roman" w:hAnsi="Times New Roman" w:eastAsia="Times New Roman"/>
          <w:b w:val="0"/>
          <w:i w:val="0"/>
          <w:sz w:val="24"/>
        </w:rPr>
        <w:t xml:space="preserve">(3), 97–107. </w:t>
      </w:r>
      <w:hyperlink r:id="rId27">
        <w:r>
          <w:rPr>
            <w:color w:val="0563C1"/>
            <w:u w:val="single"/>
            <w:rFonts w:ascii="Times New Roman" w:hAnsi="Times New Roman"/>
            <w:sz w:val="24"/>
          </w:rPr>
          <w:t xml:space="preserve">https://doi.org/10.5840/pom20098310</w:t>
        </w:r>
      </w:hyperlink>
    </w:p>
    <w:p w14:paraId="2E084C22" w14:textId="1FD231D1"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Freeman, R. E., Gilbert, D. R., Jr., &amp; Hartman, E. (1988). Values and the foundations of strategic management. </w:t>
      </w:r>
      <w:r>
        <w:rPr>
          <w:rFonts w:ascii="Times New Roman" w:hAnsi="Times New Roman" w:eastAsia="Times New Roman"/>
          <w:b w:val="0"/>
          <w:i/>
          <w:sz w:val="24"/>
        </w:rPr>
        <w:t>Journal of Business Ethics, 7</w:t>
      </w:r>
      <w:r>
        <w:rPr>
          <w:rFonts w:ascii="Times New Roman" w:hAnsi="Times New Roman" w:eastAsia="Times New Roman"/>
          <w:b w:val="0"/>
          <w:i w:val="0"/>
          <w:sz w:val="24"/>
        </w:rPr>
        <w:t xml:space="preserve">(11), 821–834. </w:t>
      </w:r>
      <w:hyperlink r:id="rId82">
        <w:r>
          <w:rPr>
            <w:color w:val="0563C1"/>
            <w:u w:val="single"/>
            <w:rFonts w:ascii="Times New Roman" w:hAnsi="Times New Roman"/>
            <w:sz w:val="24"/>
          </w:rPr>
          <w:t xml:space="preserve">https://doi.org/10.1007/BF00383045</w:t>
        </w:r>
      </w:hyperlink>
    </w:p>
    <w:p w14:paraId="0F5D7ACA"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Freeman, R. E., Martin, K., &amp; Parmar, B. (2007). Stakeholder capitalism. </w:t>
      </w:r>
      <w:r>
        <w:rPr>
          <w:rFonts w:ascii="Times New Roman" w:hAnsi="Times New Roman" w:eastAsia="Times New Roman"/>
          <w:b w:val="0"/>
          <w:i/>
          <w:sz w:val="24"/>
        </w:rPr>
        <w:t>Journal of Business Ethics, 74</w:t>
      </w:r>
      <w:r>
        <w:rPr>
          <w:rFonts w:ascii="Times New Roman" w:hAnsi="Times New Roman" w:eastAsia="Times New Roman"/>
          <w:b w:val="0"/>
          <w:i w:val="0"/>
          <w:sz w:val="24"/>
        </w:rPr>
        <w:t xml:space="preserve">(4), 303–314. </w:t>
      </w:r>
      <w:hyperlink r:id="rId83">
        <w:r>
          <w:rPr>
            <w:color w:val="0563C1"/>
            <w:u w:val="single"/>
            <w:rFonts w:ascii="Times New Roman" w:hAnsi="Times New Roman"/>
            <w:sz w:val="24"/>
          </w:rPr>
          <w:t xml:space="preserve">https://doi.org/10.1007/s10551-007-9517-y</w:t>
        </w:r>
      </w:hyperlink>
    </w:p>
    <w:p w14:paraId="103C40F9"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Freeman, R. E., Phillips, R., &amp; Sisodia, R. (2020). Tensions in stakeholder theory. </w:t>
      </w:r>
      <w:r>
        <w:rPr>
          <w:rFonts w:ascii="Times New Roman" w:hAnsi="Times New Roman" w:eastAsia="Times New Roman"/>
          <w:b w:val="0"/>
          <w:i/>
          <w:sz w:val="24"/>
        </w:rPr>
        <w:t>Business &amp; Society, 59</w:t>
      </w:r>
      <w:r>
        <w:rPr>
          <w:rFonts w:ascii="Times New Roman" w:hAnsi="Times New Roman" w:eastAsia="Times New Roman"/>
          <w:b w:val="0"/>
          <w:i w:val="0"/>
          <w:sz w:val="24"/>
        </w:rPr>
        <w:t xml:space="preserve">(2), 213–231. </w:t>
      </w:r>
      <w:hyperlink r:id="rId70">
        <w:r>
          <w:rPr>
            <w:color w:val="0563C1"/>
            <w:u w:val="single"/>
            <w:rFonts w:ascii="Times New Roman" w:hAnsi="Times New Roman"/>
            <w:sz w:val="24"/>
          </w:rPr>
          <w:t xml:space="preserve">https://doi.org/10.1177/0007650318773750</w:t>
        </w:r>
      </w:hyperlink>
    </w:p>
    <w:p w14:paraId="72953CA9"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Freeman, R. E., Wicks, A. C., &amp; Parmar, B. (2004). Stakeholder theory and the corporate objective revisited. </w:t>
      </w:r>
      <w:r>
        <w:rPr>
          <w:rFonts w:ascii="Times New Roman" w:hAnsi="Times New Roman" w:eastAsia="Times New Roman"/>
          <w:b w:val="0"/>
          <w:i/>
          <w:sz w:val="24"/>
        </w:rPr>
        <w:t>Organization Science, 15</w:t>
      </w:r>
      <w:r>
        <w:rPr>
          <w:rFonts w:ascii="Times New Roman" w:hAnsi="Times New Roman" w:eastAsia="Times New Roman"/>
          <w:b w:val="0"/>
          <w:i w:val="0"/>
          <w:sz w:val="24"/>
        </w:rPr>
        <w:t xml:space="preserve">(3), 364–369. </w:t>
      </w:r>
      <w:hyperlink r:id="rId84">
        <w:r>
          <w:rPr>
            <w:color w:val="0563C1"/>
            <w:u w:val="single"/>
            <w:rFonts w:ascii="Times New Roman" w:hAnsi="Times New Roman"/>
            <w:sz w:val="24"/>
          </w:rPr>
          <w:t xml:space="preserve">https://doi.org/10.1287/orsc.1040.0066</w:t>
        </w:r>
      </w:hyperlink>
    </w:p>
    <w:p w14:paraId="6245260A"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i w:val="0"/>
          <w:color w:val="000000" w:themeColor="text1"/>
          <w:sz w:val="24"/>
        </w:rPr>
        <w:t xml:space="preserve">Fusch, P., Fusch, G. E., &amp; Ness, L. R. (2018). Denzin’s paradigm shift: Revisiting triangulation in qualitative research. </w:t>
      </w:r>
      <w:r w:rsidRPr="00AC3820">
        <w:rPr>
          <w:b w:val="0"/>
          <w:i w:val="0"/>
          <w:color w:val="000000" w:themeColor="text1"/>
        </w:rPr>
      </w:r>
      <w:r>
        <w:rPr>
          <w:rFonts w:ascii="Times New Roman" w:hAnsi="Times New Roman" w:eastAsia="Times New Roman"/>
          <w:b/>
          <w:i/>
          <w:sz w:val="24"/>
        </w:rPr>
        <w:t>Journal of Social Change, 10</w:t>
      </w:r>
      <w:r>
        <w:rPr>
          <w:rFonts w:ascii="Times New Roman" w:hAnsi="Times New Roman" w:eastAsia="Times New Roman"/>
          <w:b/>
          <w:i w:val="0"/>
          <w:sz w:val="24"/>
        </w:rPr>
        <w:t xml:space="preserve">(1), 19–32. </w:t>
      </w:r>
      <w:hyperlink r:id="rId32">
        <w:r>
          <w:rPr>
            <w:color w:val="0563C1"/>
            <w:u w:val="single"/>
            <w:rFonts w:ascii="Times New Roman" w:hAnsi="Times New Roman"/>
            <w:sz w:val="24"/>
            <w:b/>
          </w:rPr>
          <w:t xml:space="preserve">https://doi.org/10.5590/JOSC.2018.10.1.02</w:t>
        </w:r>
      </w:hyperlink>
    </w:p>
    <w:p w14:paraId="11D13736"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Gabriel, C., &amp; Shafique, K. (2024). An ethical salience framework to achieve sustainable development goals. </w:t>
      </w:r>
      <w:r>
        <w:rPr>
          <w:rFonts w:ascii="Times New Roman" w:hAnsi="Times New Roman" w:eastAsia="Times New Roman"/>
          <w:b w:val="0"/>
          <w:i/>
          <w:sz w:val="24"/>
        </w:rPr>
        <w:t>Sustainable Development, 32</w:t>
      </w:r>
      <w:r>
        <w:rPr>
          <w:rFonts w:ascii="Times New Roman" w:hAnsi="Times New Roman" w:eastAsia="Times New Roman"/>
          <w:b w:val="0"/>
          <w:i w:val="0"/>
          <w:sz w:val="24"/>
        </w:rPr>
        <w:t xml:space="preserve">(4), 3213–3225. </w:t>
      </w:r>
      <w:hyperlink r:id="rId85">
        <w:r>
          <w:rPr>
            <w:color w:val="0563C1"/>
            <w:u w:val="single"/>
            <w:rFonts w:ascii="Times New Roman" w:hAnsi="Times New Roman"/>
            <w:sz w:val="24"/>
          </w:rPr>
          <w:t xml:space="preserve">https://doi.org/10.1002/sd.2840</w:t>
        </w:r>
      </w:hyperlink>
    </w:p>
    <w:p w14:paraId="223FC379"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Guba, E. G., &amp; Lincoln, Y. S. (1994). Competing paradigms in qualitative research. In N. K. Denzin &amp; Y. S. Lincoln (Eds.), </w:t>
      </w:r>
      <w:r>
        <w:rPr>
          <w:rFonts w:ascii="Times New Roman" w:hAnsi="Times New Roman" w:eastAsia="Times New Roman"/>
          <w:b w:val="0"/>
          <w:i/>
          <w:sz w:val="24"/>
        </w:rPr>
        <w:t>Handbook of qualitative research</w:t>
      </w:r>
      <w:r>
        <w:rPr>
          <w:rFonts w:ascii="Times New Roman" w:hAnsi="Times New Roman" w:eastAsia="Times New Roman"/>
          <w:b w:val="0"/>
          <w:i w:val="0"/>
          <w:sz w:val="24"/>
        </w:rPr>
        <w:t xml:space="preserve"> (pp. 105–117). SAGE.</w:t>
      </w:r>
    </w:p>
    <w:p w14:paraId="033ABCEC"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Guest, G., Bunce, A., &amp; Johnson, L. (2006). How many interviews are enough? An experiment with data saturation and variability. </w:t>
      </w:r>
      <w:r>
        <w:rPr>
          <w:rFonts w:ascii="Times New Roman" w:hAnsi="Times New Roman" w:eastAsia="Times New Roman"/>
          <w:b w:val="0"/>
          <w:i/>
          <w:sz w:val="24"/>
        </w:rPr>
        <w:t>Field Methods, 18</w:t>
      </w:r>
      <w:r>
        <w:rPr>
          <w:rFonts w:ascii="Times New Roman" w:hAnsi="Times New Roman" w:eastAsia="Times New Roman"/>
          <w:b w:val="0"/>
          <w:i w:val="0"/>
          <w:sz w:val="24"/>
        </w:rPr>
        <w:t xml:space="preserve">(1), 59–82. </w:t>
      </w:r>
      <w:hyperlink r:id="rId86">
        <w:r>
          <w:rPr>
            <w:color w:val="0563C1"/>
            <w:u w:val="single"/>
            <w:rFonts w:ascii="Times New Roman" w:hAnsi="Times New Roman"/>
            <w:sz w:val="24"/>
          </w:rPr>
          <w:t xml:space="preserve">https://doi.org/10.1177/1525822X05279903</w:t>
        </w:r>
      </w:hyperlink>
    </w:p>
    <w:p w14:paraId="0383BBDD" w14:textId="77777777" w:rsidR="001B1529" w:rsidRDefault="0089165D" w:rsidP="001B1529">
      <w:pPr>
        <w:spacing w:line="480" w:lineRule="auto"/>
        <w:ind w:left="630" w:hanging="630"/>
      </w:pPr>
      <w:r w:rsidRPr="00AC3820">
        <w:rPr>
          <w:rFonts w:ascii="Times New Roman" w:hAnsi="Times New Roman" w:eastAsia="Times New Roman"/>
          <w:b w:val="0"/>
          <w:i w:val="0"/>
          <w:color w:val="000000" w:themeColor="text1"/>
          <w:sz w:val="24"/>
        </w:rPr>
        <w:t xml:space="preserve">Kahlke, R. M. (2014). Generic qualitative approaches: Pitfalls and benefits of methodological mixology. </w:t>
      </w:r>
      <w:r>
        <w:rPr>
          <w:rFonts w:ascii="Times New Roman" w:hAnsi="Times New Roman" w:eastAsia="Times New Roman"/>
          <w:b w:val="0"/>
          <w:i/>
          <w:sz w:val="24"/>
        </w:rPr>
        <w:t>International Journal of Qualitative Methods, 13</w:t>
      </w:r>
      <w:r>
        <w:rPr>
          <w:rFonts w:ascii="Times New Roman" w:hAnsi="Times New Roman" w:eastAsia="Times New Roman"/>
          <w:b w:val="0"/>
          <w:i w:val="0"/>
          <w:sz w:val="24"/>
        </w:rPr>
        <w:t xml:space="preserve">(1), 37–52. </w:t>
      </w:r>
      <w:hyperlink r:id="rId36">
        <w:r>
          <w:rPr>
            <w:color w:val="0563C1"/>
            <w:u w:val="single"/>
            <w:rFonts w:ascii="Times New Roman" w:hAnsi="Times New Roman"/>
            <w:sz w:val="24"/>
          </w:rPr>
          <w:t xml:space="preserve">https://doi.org/10.1177/160940691401300119</w:t>
        </w:r>
      </w:hyperlink>
    </w:p>
    <w:p w14:paraId="240044FB" w14:textId="349FE28D" w:rsidR="007A693C" w:rsidRDefault="007A693C" w:rsidP="001B1529">
      <w:pPr>
        <w:spacing w:line="480" w:lineRule="auto"/>
        <w:ind w:left="630" w:hanging="630"/>
      </w:pPr>
      <w:r w:rsidRPr="007A693C">
        <w:rPr>
          <w:rFonts w:ascii="Times New Roman" w:hAnsi="Times New Roman" w:eastAsia="Times New Roman"/>
          <w:b/>
          <w:i w:val="0"/>
          <w:sz w:val="24"/>
          <w:highlight w:val="cyan"/>
        </w:rPr>
        <w:t xml:space="preserve">Kenny, C., Weber, C., &amp; Bratton, K. (2017). The characteristics of interpersonal networks in disaster response. </w:t>
      </w:r>
      <w:r>
        <w:rPr>
          <w:b w:val="0"/>
          <w:i w:val="0"/>
        </w:rPr>
      </w:r>
      <w:r>
        <w:rPr>
          <w:rStyle w:val="Emphasis"/>
          <w:b w:val="0"/>
          <w:i w:val="0"/>
        </w:rPr>
      </w:r>
      <w:r>
        <w:rPr>
          <w:b w:val="0"/>
          <w:i w:val="0"/>
        </w:rPr>
      </w:r>
      <w:r>
        <w:rPr>
          <w:rFonts w:ascii="Times New Roman" w:hAnsi="Times New Roman" w:eastAsia="Times New Roman"/>
          <w:b/>
          <w:i/>
          <w:sz w:val="24"/>
        </w:rPr>
        <w:t>Social Science Quarterly, 98</w:t>
      </w:r>
      <w:r>
        <w:rPr>
          <w:rFonts w:ascii="Times New Roman" w:hAnsi="Times New Roman" w:eastAsia="Times New Roman"/>
          <w:b/>
          <w:i w:val="0"/>
          <w:sz w:val="24"/>
        </w:rPr>
        <w:t xml:space="preserve">(2), 566–583. </w:t>
      </w:r>
      <w:hyperlink r:id="rId87">
        <w:r>
          <w:rPr>
            <w:color w:val="0563C1"/>
            <w:u w:val="single"/>
            <w:rFonts w:ascii="Times New Roman" w:hAnsi="Times New Roman"/>
            <w:sz w:val="24"/>
            <w:b/>
          </w:rPr>
          <w:t xml:space="preserve">https://doi.org/10.1111/ssqu.12328</w:t>
        </w:r>
      </w:hyperlink>
    </w:p>
    <w:p w14:paraId="278D99F8" w14:textId="77777777" w:rsidR="00F770BC" w:rsidRDefault="001B1529" w:rsidP="001B1529">
      <w:pPr>
        <w:spacing w:line="480" w:lineRule="auto"/>
        <w:ind w:left="630" w:hanging="630"/>
      </w:pPr>
      <w:r w:rsidRPr="001B1529">
        <w:rPr>
          <w:rFonts w:ascii="Times New Roman" w:hAnsi="Times New Roman" w:eastAsia="Times New Roman"/>
          <w:b/>
          <w:i w:val="0"/>
          <w:sz w:val="24"/>
          <w:highlight w:val="yellow"/>
        </w:rPr>
        <w:t xml:space="preserve">Koerber, A., &amp; McMichael, L. (2008). Qualitative sampling methods: A primer for technical communicators. </w:t>
      </w:r>
      <w:r>
        <w:rPr>
          <w:b w:val="0"/>
          <w:i w:val="0"/>
        </w:rPr>
      </w:r>
      <w:r>
        <w:rPr>
          <w:b w:val="0"/>
          <w:i w:val="0"/>
          <w:iCs/>
        </w:rPr>
      </w:r>
      <w:r>
        <w:rPr>
          <w:b w:val="0"/>
          <w:i w:val="0"/>
        </w:rPr>
      </w:r>
      <w:r>
        <w:rPr>
          <w:b w:val="0"/>
          <w:i w:val="0"/>
          <w:iCs/>
        </w:rPr>
      </w:r>
      <w:r>
        <w:rPr>
          <w:b w:val="0"/>
          <w:i w:val="0"/>
        </w:rPr>
      </w:r>
      <w:r>
        <w:rPr>
          <w:rFonts w:ascii="Times New Roman" w:hAnsi="Times New Roman" w:eastAsia="Times New Roman"/>
          <w:b/>
          <w:i/>
          <w:sz w:val="24"/>
        </w:rPr>
        <w:t>Journal of Business and Technical Communication, 22</w:t>
      </w:r>
      <w:r>
        <w:rPr>
          <w:rFonts w:ascii="Times New Roman" w:hAnsi="Times New Roman" w:eastAsia="Times New Roman"/>
          <w:b/>
          <w:i w:val="0"/>
          <w:sz w:val="24"/>
        </w:rPr>
        <w:t xml:space="preserve">(4), 454–473. </w:t>
      </w:r>
      <w:hyperlink r:id="rId88">
        <w:r>
          <w:rPr>
            <w:color w:val="0563C1"/>
            <w:u w:val="single"/>
            <w:rFonts w:ascii="Times New Roman" w:hAnsi="Times New Roman"/>
            <w:sz w:val="24"/>
            <w:b/>
          </w:rPr>
          <w:t xml:space="preserve">https://doi.org/10.1177/1050651908320362</w:t>
        </w:r>
      </w:hyperlink>
    </w:p>
    <w:p w14:paraId="59EA7CF9" w14:textId="77777777" w:rsidR="00106231" w:rsidRDefault="0089165D" w:rsidP="001B1529">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Korstjens, I., &amp; Moser, A. (2018). Series: Practical guidance to qualitative research. Part 4: Trustworthiness and publishing. </w:t>
      </w:r>
      <w:r w:rsidRPr="00AC3820">
        <w:rPr>
          <w:b w:val="0"/>
          <w:i w:val="0"/>
          <w:color w:val="000000" w:themeColor="text1"/>
        </w:rPr>
      </w:r>
      <w:r>
        <w:rPr>
          <w:rFonts w:ascii="Times New Roman" w:hAnsi="Times New Roman" w:eastAsia="Times New Roman"/>
          <w:b w:val="0"/>
          <w:i/>
          <w:sz w:val="24"/>
        </w:rPr>
        <w:t>European Journal of General Practice, 24</w:t>
      </w:r>
      <w:r>
        <w:rPr>
          <w:rFonts w:ascii="Times New Roman" w:hAnsi="Times New Roman" w:eastAsia="Times New Roman"/>
          <w:b w:val="0"/>
          <w:i w:val="0"/>
          <w:sz w:val="24"/>
        </w:rPr>
        <w:t xml:space="preserve">(1), 120–124. </w:t>
      </w:r>
      <w:hyperlink r:id="rId89">
        <w:r>
          <w:rPr>
            <w:color w:val="0563C1"/>
            <w:u w:val="single"/>
            <w:rFonts w:ascii="Times New Roman" w:hAnsi="Times New Roman"/>
            <w:sz w:val="24"/>
          </w:rPr>
          <w:t xml:space="preserve">https://doi.org/10.1080/13814788.2017.1375092</w:t>
        </w:r>
      </w:hyperlink>
    </w:p>
    <w:p w14:paraId="4687E2F9" w14:textId="60ACA2B2" w:rsidR="0089165D" w:rsidRPr="001B1529" w:rsidRDefault="00106231" w:rsidP="001B1529">
      <w:pPr>
        <w:spacing w:line="480" w:lineRule="auto"/>
        <w:ind w:left="630" w:hanging="630"/>
      </w:pPr>
      <w:r w:rsidRPr="00106231">
        <w:rPr>
          <w:rFonts w:ascii="Times New Roman" w:hAnsi="Times New Roman" w:eastAsia="Times New Roman"/>
          <w:b w:val="0"/>
          <w:i w:val="0"/>
          <w:sz w:val="24"/>
          <w:highlight w:val="yellow"/>
        </w:rPr>
        <w:t xml:space="preserve">Kvale, S., &amp; Brinkmann, S. (2015). </w:t>
      </w:r>
      <w:r>
        <w:rPr>
          <w:b w:val="0"/>
          <w:i w:val="0"/>
        </w:rPr>
      </w:r>
      <w:r>
        <w:rPr>
          <w:b w:val="0"/>
          <w:i w:val="0"/>
        </w:rPr>
      </w:r>
      <w:r>
        <w:rPr>
          <w:b w:val="0"/>
          <w:i w:val="0"/>
        </w:rPr>
      </w:r>
      <w:r>
        <w:rPr>
          <w:rFonts w:ascii="Times New Roman" w:hAnsi="Times New Roman" w:eastAsia="Times New Roman"/>
          <w:b w:val="0"/>
          <w:i/>
          <w:sz w:val="24"/>
        </w:rPr>
        <w:t>InterViews: Learning the craft of qualitative research interviewing</w:t>
      </w:r>
      <w:r>
        <w:rPr>
          <w:rFonts w:ascii="Times New Roman" w:hAnsi="Times New Roman" w:eastAsia="Times New Roman"/>
          <w:b w:val="0"/>
          <w:i w:val="0"/>
          <w:sz w:val="24"/>
        </w:rPr>
        <w:t xml:space="preserve"> (3rd ed.). SAGE.</w:t>
      </w:r>
    </w:p>
    <w:p w14:paraId="661B5561" w14:textId="77777777" w:rsidR="0089165D" w:rsidRDefault="0089165D" w:rsidP="0089165D">
      <w:pPr>
        <w:spacing w:line="480" w:lineRule="auto"/>
        <w:ind w:left="630" w:hanging="630"/>
      </w:pPr>
      <w:r w:rsidRPr="00320DC6">
        <w:rPr>
          <w:rFonts w:ascii="Times New Roman" w:hAnsi="Times New Roman" w:eastAsia="Times New Roman"/>
          <w:b/>
          <w:i w:val="0"/>
          <w:color w:val="000000" w:themeColor="text1"/>
          <w:sz w:val="24"/>
          <w:highlight w:val="cyan"/>
        </w:rPr>
        <w:t xml:space="preserve">Lester, J. N., Cho, Y., &amp; Lochmiller, C. R. (2020). Learning to do qualitative data analysis: A starting point. </w:t>
      </w:r>
      <w:r w:rsidRPr="00AC3820">
        <w:rPr>
          <w:b w:val="0"/>
          <w:i w:val="0"/>
          <w:color w:val="000000" w:themeColor="text1"/>
        </w:rPr>
      </w:r>
      <w:r>
        <w:rPr>
          <w:rFonts w:ascii="Times New Roman" w:hAnsi="Times New Roman" w:eastAsia="Times New Roman"/>
          <w:b/>
          <w:i/>
          <w:sz w:val="24"/>
        </w:rPr>
        <w:t>Human Resource Development Review, 19</w:t>
      </w:r>
      <w:r>
        <w:rPr>
          <w:rFonts w:ascii="Times New Roman" w:hAnsi="Times New Roman" w:eastAsia="Times New Roman"/>
          <w:b/>
          <w:i w:val="0"/>
          <w:sz w:val="24"/>
        </w:rPr>
        <w:t xml:space="preserve">(1), 94–106. </w:t>
      </w:r>
      <w:hyperlink r:id="rId90">
        <w:r>
          <w:rPr>
            <w:color w:val="0563C1"/>
            <w:u w:val="single"/>
            <w:rFonts w:ascii="Times New Roman" w:hAnsi="Times New Roman"/>
            <w:sz w:val="24"/>
            <w:b/>
          </w:rPr>
          <w:t xml:space="preserve">https://doi.org/10.1177/1534484320903890</w:t>
        </w:r>
      </w:hyperlink>
    </w:p>
    <w:p w14:paraId="27F6C307" w14:textId="091FF9A9" w:rsidR="001B1529" w:rsidRPr="001B1529" w:rsidRDefault="001B1529" w:rsidP="0089165D">
      <w:pPr>
        <w:spacing w:line="480" w:lineRule="auto"/>
        <w:ind w:left="630" w:hanging="630"/>
        <w:rPr>
          <w:b/>
          <w:bCs/>
          <w:color w:val="000000" w:themeColor="text1"/>
        </w:rPr>
      </w:pPr>
      <w:r w:rsidRPr="001B1529">
        <w:rPr>
          <w:rFonts w:ascii="Times New Roman" w:hAnsi="Times New Roman" w:eastAsia="Times New Roman"/>
          <w:b w:val="0"/>
          <w:bCs/>
          <w:i w:val="0"/>
          <w:sz w:val="24"/>
          <w:highlight w:val="yellow"/>
        </w:rPr>
        <w:t xml:space="preserve">Lincoln, Y. S., &amp; Guba, E. G. (1985). </w:t>
      </w:r>
      <w:r>
        <w:rPr>
          <w:rFonts w:ascii="Times New Roman" w:hAnsi="Times New Roman" w:eastAsia="Times New Roman"/>
          <w:b w:val="0"/>
          <w:i/>
          <w:sz w:val="24"/>
        </w:rPr>
        <w:t>Naturalistic inquiry</w:t>
      </w:r>
      <w:r>
        <w:rPr>
          <w:rFonts w:ascii="Times New Roman" w:hAnsi="Times New Roman" w:eastAsia="Times New Roman"/>
          <w:b w:val="0"/>
          <w:i w:val="0"/>
          <w:sz w:val="24"/>
        </w:rPr>
        <w:t>. SAGE.</w:t>
      </w:r>
    </w:p>
    <w:p w14:paraId="47C9D758" w14:textId="77777777" w:rsidR="00720AE5" w:rsidRPr="00AC3820" w:rsidRDefault="0089165D" w:rsidP="00720AE5">
      <w:pPr>
        <w:spacing w:line="480" w:lineRule="auto"/>
        <w:ind w:left="630" w:hanging="630"/>
        <w:rPr>
          <w:color w:val="000000" w:themeColor="text1"/>
        </w:rPr>
      </w:pPr>
      <w:r w:rsidRPr="00AC3820">
        <w:rPr>
          <w:rFonts w:ascii="Times New Roman" w:hAnsi="Times New Roman" w:eastAsia="Times New Roman"/>
          <w:b/>
          <w:i w:val="0"/>
          <w:color w:val="000000" w:themeColor="text1"/>
          <w:sz w:val="24"/>
        </w:rPr>
        <w:t xml:space="preserve">Liu, W., Liu, R., Chen, H., &amp; Mboga, J. (2020). Perspectives on disruptive technology and innovation. </w:t>
      </w:r>
      <w:r>
        <w:rPr>
          <w:rFonts w:ascii="Times New Roman" w:hAnsi="Times New Roman" w:eastAsia="Times New Roman"/>
          <w:b/>
          <w:i/>
          <w:sz w:val="24"/>
        </w:rPr>
        <w:t>International Journal of Conflict Management, 31</w:t>
      </w:r>
      <w:r>
        <w:rPr>
          <w:rFonts w:ascii="Times New Roman" w:hAnsi="Times New Roman" w:eastAsia="Times New Roman"/>
          <w:b/>
          <w:i w:val="0"/>
          <w:sz w:val="24"/>
        </w:rPr>
        <w:t xml:space="preserve">(3), 313–331. </w:t>
      </w:r>
      <w:hyperlink r:id="rId39">
        <w:r>
          <w:rPr>
            <w:color w:val="0563C1"/>
            <w:u w:val="single"/>
            <w:rFonts w:ascii="Times New Roman" w:hAnsi="Times New Roman"/>
            <w:sz w:val="24"/>
            <w:b/>
          </w:rPr>
          <w:t xml:space="preserve">https://doi.org/10.1108/IJCMA-09-2019-0172</w:t>
        </w:r>
      </w:hyperlink>
    </w:p>
    <w:p w14:paraId="5DDDD347" w14:textId="77777777" w:rsidR="00720AE5" w:rsidRPr="00AC3820" w:rsidRDefault="00720AE5" w:rsidP="00720AE5">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Lowry, M. R., Vance, A., &amp; Vance, M. D. (2025). Inexpert supervision: Field evidence on boards’ oversight of cybersecurity. </w:t>
      </w:r>
      <w:r>
        <w:rPr>
          <w:rFonts w:ascii="Times New Roman" w:hAnsi="Times New Roman" w:eastAsia="Times New Roman"/>
          <w:b w:val="0"/>
          <w:i/>
          <w:sz w:val="24"/>
        </w:rPr>
        <w:t>Management Science</w:t>
      </w:r>
      <w:r>
        <w:rPr>
          <w:rFonts w:ascii="Times New Roman" w:hAnsi="Times New Roman" w:eastAsia="Times New Roman"/>
          <w:b w:val="0"/>
          <w:i w:val="0"/>
          <w:sz w:val="24"/>
        </w:rPr>
        <w:t xml:space="preserve">. </w:t>
      </w:r>
      <w:hyperlink r:id="rId40">
        <w:r>
          <w:rPr>
            <w:color w:val="0563C1"/>
            <w:u w:val="single"/>
            <w:rFonts w:ascii="Times New Roman" w:hAnsi="Times New Roman"/>
            <w:sz w:val="24"/>
          </w:rPr>
          <w:t xml:space="preserve">https://doi.org/10.1287/mnsc.2023.04147</w:t>
        </w:r>
      </w:hyperlink>
    </w:p>
    <w:p w14:paraId="6CAC5F50" w14:textId="77777777" w:rsidR="0089165D" w:rsidRPr="00AC3820" w:rsidRDefault="0089165D" w:rsidP="0089165D">
      <w:pPr>
        <w:spacing w:line="480" w:lineRule="auto"/>
        <w:ind w:left="630" w:hanging="630"/>
        <w:rPr>
          <w:color w:val="000000" w:themeColor="text1"/>
        </w:rPr>
      </w:pPr>
      <w:r w:rsidRPr="001B1529">
        <w:rPr>
          <w:rFonts w:ascii="Times New Roman" w:hAnsi="Times New Roman" w:eastAsia="Times New Roman"/>
          <w:b w:val="0"/>
          <w:i w:val="0"/>
          <w:color w:val="000000" w:themeColor="text1"/>
          <w:sz w:val="24"/>
          <w:highlight w:val="yellow"/>
        </w:rPr>
        <w:t xml:space="preserve">Malterud, K., Siersma, V. D., &amp; Guassora, A. D. (2016). Sample size in qualitative interview studies: Guided by information power. </w:t>
      </w:r>
      <w:r w:rsidRPr="00AC3820">
        <w:rPr>
          <w:b w:val="0"/>
          <w:i w:val="0"/>
          <w:color w:val="000000" w:themeColor="text1"/>
        </w:rPr>
      </w:r>
      <w:r>
        <w:rPr>
          <w:rFonts w:ascii="Times New Roman" w:hAnsi="Times New Roman" w:eastAsia="Times New Roman"/>
          <w:b w:val="0"/>
          <w:i/>
          <w:sz w:val="24"/>
        </w:rPr>
        <w:t>Qualitative Health Research, 26</w:t>
      </w:r>
      <w:r>
        <w:rPr>
          <w:rFonts w:ascii="Times New Roman" w:hAnsi="Times New Roman" w:eastAsia="Times New Roman"/>
          <w:b w:val="0"/>
          <w:i w:val="0"/>
          <w:sz w:val="24"/>
        </w:rPr>
        <w:t xml:space="preserve">(13), 1753–1760. </w:t>
      </w:r>
      <w:hyperlink r:id="rId91">
        <w:r>
          <w:rPr>
            <w:color w:val="0563C1"/>
            <w:u w:val="single"/>
            <w:rFonts w:ascii="Times New Roman" w:hAnsi="Times New Roman"/>
            <w:sz w:val="24"/>
          </w:rPr>
          <w:t xml:space="preserve">https://doi.org/10.1177/1049732315617444</w:t>
        </w:r>
      </w:hyperlink>
    </w:p>
    <w:p w14:paraId="2BD174E1"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Mitchell, R. K., Agle, B. R., &amp; Wood, D. J. (1997). Toward a theory of stakeholder identification and salience: Defining the principle of who and what really counts. </w:t>
      </w:r>
      <w:r>
        <w:rPr>
          <w:rFonts w:ascii="Times New Roman" w:hAnsi="Times New Roman" w:eastAsia="Times New Roman"/>
          <w:b w:val="0"/>
          <w:i/>
          <w:sz w:val="24"/>
        </w:rPr>
        <w:t>Academy of Management Review, 22</w:t>
      </w:r>
      <w:r>
        <w:rPr>
          <w:rFonts w:ascii="Times New Roman" w:hAnsi="Times New Roman" w:eastAsia="Times New Roman"/>
          <w:b w:val="0"/>
          <w:i w:val="0"/>
          <w:sz w:val="24"/>
        </w:rPr>
        <w:t xml:space="preserve">(4), 853–886. </w:t>
      </w:r>
      <w:hyperlink r:id="rId92">
        <w:r>
          <w:rPr>
            <w:color w:val="0563C1"/>
            <w:u w:val="single"/>
            <w:rFonts w:ascii="Times New Roman" w:hAnsi="Times New Roman"/>
            <w:sz w:val="24"/>
          </w:rPr>
          <w:t xml:space="preserve">https://doi.org/10.5465/amr.1997.9711022105</w:t>
        </w:r>
      </w:hyperlink>
    </w:p>
    <w:p w14:paraId="1D7D961C"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Miteu, G. D. (2024). Ethics in scientific research: A lens into its importance, history, and future. </w:t>
      </w:r>
      <w:r w:rsidRPr="00AC3820">
        <w:rPr>
          <w:b w:val="0"/>
          <w:i w:val="0"/>
          <w:color w:val="000000" w:themeColor="text1"/>
        </w:rPr>
      </w:r>
      <w:r>
        <w:rPr>
          <w:rFonts w:ascii="Times New Roman" w:hAnsi="Times New Roman" w:eastAsia="Times New Roman"/>
          <w:b w:val="0"/>
          <w:i/>
          <w:sz w:val="24"/>
        </w:rPr>
        <w:t>Annals of Medicine and Surgery, 86</w:t>
      </w:r>
      <w:r>
        <w:rPr>
          <w:rFonts w:ascii="Times New Roman" w:hAnsi="Times New Roman" w:eastAsia="Times New Roman"/>
          <w:b w:val="0"/>
          <w:i w:val="0"/>
          <w:sz w:val="24"/>
        </w:rPr>
        <w:t xml:space="preserve">(5), 2395–2398. </w:t>
      </w:r>
      <w:hyperlink r:id="rId43">
        <w:r>
          <w:rPr>
            <w:color w:val="0563C1"/>
            <w:u w:val="single"/>
            <w:rFonts w:ascii="Times New Roman" w:hAnsi="Times New Roman"/>
            <w:sz w:val="24"/>
          </w:rPr>
          <w:t xml:space="preserve">https://doi.org/10.1097/MS9.0000000000001959</w:t>
        </w:r>
      </w:hyperlink>
    </w:p>
    <w:p w14:paraId="75F476C0" w14:textId="77777777" w:rsidR="0089165D" w:rsidRPr="00AC3820" w:rsidRDefault="0089165D" w:rsidP="0089165D">
      <w:pPr>
        <w:spacing w:line="480" w:lineRule="auto"/>
        <w:ind w:left="630" w:hanging="630"/>
        <w:rPr>
          <w:color w:val="000000" w:themeColor="text1"/>
        </w:rPr>
      </w:pPr>
      <w:r w:rsidRPr="00F75B74">
        <w:rPr>
          <w:rFonts w:ascii="Times New Roman" w:hAnsi="Times New Roman" w:eastAsia="Times New Roman"/>
          <w:b/>
          <w:i w:val="0"/>
          <w:color w:val="000000" w:themeColor="text1"/>
          <w:sz w:val="24"/>
          <w:highlight w:val="yellow"/>
        </w:rPr>
        <w:t xml:space="preserve">Mojtahedi, M., &amp; Oo, B. L. (2017). Critical attributes for proactive engagement of stakeholders in disaster risk management. </w:t>
      </w:r>
      <w:r w:rsidRPr="00AC3820">
        <w:rPr>
          <w:b w:val="0"/>
          <w:i w:val="0"/>
          <w:color w:val="000000" w:themeColor="text1"/>
        </w:rPr>
      </w:r>
      <w:r>
        <w:rPr>
          <w:rFonts w:ascii="Times New Roman" w:hAnsi="Times New Roman" w:eastAsia="Times New Roman"/>
          <w:b/>
          <w:i/>
          <w:sz w:val="24"/>
        </w:rPr>
        <w:t>International Journal of Disaster Risk Reduction, 21</w:t>
      </w:r>
      <w:r>
        <w:rPr>
          <w:rFonts w:ascii="Times New Roman" w:hAnsi="Times New Roman" w:eastAsia="Times New Roman"/>
          <w:b/>
          <w:i w:val="0"/>
          <w:sz w:val="24"/>
        </w:rPr>
        <w:t xml:space="preserve">, 35–43. </w:t>
      </w:r>
      <w:hyperlink r:id="rId93">
        <w:r>
          <w:rPr>
            <w:color w:val="0563C1"/>
            <w:u w:val="single"/>
            <w:rFonts w:ascii="Times New Roman" w:hAnsi="Times New Roman"/>
            <w:sz w:val="24"/>
            <w:b/>
          </w:rPr>
          <w:t xml:space="preserve">https://doi.org/10.1016/j.ijdrr.2016.10.017</w:t>
        </w:r>
      </w:hyperlink>
    </w:p>
    <w:p w14:paraId="3E7CA800" w14:textId="77777777" w:rsidR="0089165D" w:rsidRDefault="0089165D" w:rsidP="0089165D">
      <w:pPr>
        <w:spacing w:line="480" w:lineRule="auto"/>
        <w:ind w:left="630" w:hanging="630"/>
      </w:pPr>
      <w:r w:rsidRPr="008C1B5E">
        <w:rPr>
          <w:rFonts w:ascii="Times New Roman" w:hAnsi="Times New Roman" w:eastAsia="Times New Roman"/>
          <w:b w:val="0"/>
          <w:i w:val="0"/>
          <w:color w:val="000000" w:themeColor="text1"/>
          <w:sz w:val="24"/>
          <w:highlight w:val="cyan"/>
        </w:rPr>
        <w:t xml:space="preserve">Molete, O. B., Mokhele, S. E., Ntombela, S. D., &amp; Thango, B. A. (2025). The impact of IT strategic planning process on SME performance: A systematic review. </w:t>
      </w:r>
      <w:r w:rsidRPr="00AC3820">
        <w:rPr>
          <w:b w:val="0"/>
          <w:i w:val="0"/>
          <w:color w:val="000000" w:themeColor="text1"/>
        </w:rPr>
      </w:r>
      <w:r>
        <w:rPr>
          <w:rFonts w:ascii="Times New Roman" w:hAnsi="Times New Roman" w:eastAsia="Times New Roman"/>
          <w:b w:val="0"/>
          <w:i/>
          <w:sz w:val="24"/>
        </w:rPr>
        <w:t>Businesses, 5</w:t>
      </w:r>
      <w:r>
        <w:rPr>
          <w:rFonts w:ascii="Times New Roman" w:hAnsi="Times New Roman" w:eastAsia="Times New Roman"/>
          <w:b w:val="0"/>
          <w:i w:val="0"/>
          <w:sz w:val="24"/>
        </w:rPr>
        <w:t xml:space="preserve">(1), Article 2. </w:t>
      </w:r>
      <w:hyperlink r:id="rId44">
        <w:r>
          <w:rPr>
            <w:color w:val="0563C1"/>
            <w:u w:val="single"/>
            <w:rFonts w:ascii="Times New Roman" w:hAnsi="Times New Roman"/>
            <w:sz w:val="24"/>
          </w:rPr>
          <w:t xml:space="preserve">https://doi.org/10.3390/businesses5010002</w:t>
        </w:r>
      </w:hyperlink>
    </w:p>
    <w:p w14:paraId="5FA3F427" w14:textId="77777777" w:rsidR="00861114" w:rsidRDefault="00861114" w:rsidP="00861114">
      <w:pPr>
        <w:spacing w:line="480" w:lineRule="auto"/>
        <w:ind w:left="630" w:hanging="630"/>
      </w:pPr>
      <w:r w:rsidRPr="00861114">
        <w:rPr>
          <w:rFonts w:ascii="Times New Roman" w:hAnsi="Times New Roman" w:eastAsia="Times New Roman"/>
          <w:b w:val="0"/>
          <w:i w:val="0"/>
          <w:sz w:val="24"/>
          <w:highlight w:val="yellow"/>
        </w:rPr>
        <w:t xml:space="preserve">Naeem, M., Ozuem, W., Howell, K., &amp; Ranfagni, S. (2024). Demystification and actualisation of data saturation in qualitative research through thematic analysis. </w:t>
      </w:r>
      <w:r>
        <w:rPr>
          <w:b w:val="0"/>
          <w:i w:val="0"/>
        </w:rPr>
      </w:r>
      <w:r>
        <w:rPr>
          <w:b w:val="0"/>
          <w:i w:val="0"/>
          <w:iCs/>
        </w:rPr>
      </w:r>
      <w:r>
        <w:rPr>
          <w:b w:val="0"/>
          <w:i w:val="0"/>
        </w:rPr>
      </w:r>
      <w:r>
        <w:rPr>
          <w:b w:val="0"/>
          <w:i w:val="0"/>
        </w:rPr>
      </w:r>
      <w:r>
        <w:rPr>
          <w:rFonts w:ascii="Times New Roman" w:hAnsi="Times New Roman" w:eastAsia="Times New Roman"/>
          <w:b w:val="0"/>
          <w:i/>
          <w:sz w:val="24"/>
        </w:rPr>
        <w:t>International Journal of Qualitative Methods, 23</w:t>
      </w:r>
      <w:r>
        <w:rPr>
          <w:rFonts w:ascii="Times New Roman" w:hAnsi="Times New Roman" w:eastAsia="Times New Roman"/>
          <w:b w:val="0"/>
          <w:i w:val="0"/>
          <w:sz w:val="24"/>
        </w:rPr>
        <w:t xml:space="preserve">, 1–17. </w:t>
      </w:r>
      <w:hyperlink r:id="rId94">
        <w:r>
          <w:rPr>
            <w:color w:val="0563C1"/>
            <w:u w:val="single"/>
            <w:rFonts w:ascii="Times New Roman" w:hAnsi="Times New Roman"/>
            <w:sz w:val="24"/>
          </w:rPr>
          <w:t xml:space="preserve">https://doi.org/10.1177/16094069241229777</w:t>
        </w:r>
      </w:hyperlink>
    </w:p>
    <w:p w14:paraId="4F45D267"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i w:val="0"/>
          <w:color w:val="000000" w:themeColor="text1"/>
          <w:sz w:val="24"/>
        </w:rPr>
        <w:t xml:space="preserve">Narayanan, A., Finucane, M., Acosta, J., &amp; Wicker, A. (2020). From awareness to action: Accounting for infrastructure interdependencies in disaster response and recovery planning. </w:t>
      </w:r>
      <w:r>
        <w:rPr>
          <w:rFonts w:ascii="Times New Roman" w:hAnsi="Times New Roman" w:eastAsia="Times New Roman"/>
          <w:b/>
          <w:i/>
          <w:sz w:val="24"/>
        </w:rPr>
        <w:t>GeoHealth, 4</w:t>
      </w:r>
      <w:r>
        <w:rPr>
          <w:rFonts w:ascii="Times New Roman" w:hAnsi="Times New Roman" w:eastAsia="Times New Roman"/>
          <w:b/>
          <w:i w:val="0"/>
          <w:sz w:val="24"/>
        </w:rPr>
        <w:t xml:space="preserve">(7), Article e2020GH000251. </w:t>
      </w:r>
      <w:hyperlink r:id="rId47">
        <w:r>
          <w:rPr>
            <w:color w:val="0563C1"/>
            <w:u w:val="single"/>
            <w:rFonts w:ascii="Times New Roman" w:hAnsi="Times New Roman"/>
            <w:sz w:val="24"/>
            <w:b/>
          </w:rPr>
          <w:t xml:space="preserve">https://doi.org/10.1029/2020GH000251</w:t>
        </w:r>
      </w:hyperlink>
    </w:p>
    <w:p w14:paraId="717D5A0E" w14:textId="77777777" w:rsidR="0028214A"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National Commission for the Protection of Human Subjects of Biomedical and Behavioral Research. (1979). </w:t>
      </w:r>
      <w:r w:rsidRPr="00AC3820">
        <w:rPr>
          <w:b w:val="0"/>
          <w:i w:val="0"/>
          <w:color w:val="000000" w:themeColor="text1"/>
        </w:rPr>
      </w:r>
      <w:r>
        <w:rPr>
          <w:rFonts w:ascii="Times New Roman" w:hAnsi="Times New Roman" w:eastAsia="Times New Roman"/>
          <w:b w:val="0"/>
          <w:i/>
          <w:sz w:val="24"/>
        </w:rPr>
        <w:t>The Belmont report: Ethical principles and guidelines for the protection of human subjects of research</w:t>
      </w:r>
      <w:r>
        <w:rPr>
          <w:rFonts w:ascii="Times New Roman" w:hAnsi="Times New Roman" w:eastAsia="Times New Roman"/>
          <w:b w:val="0"/>
          <w:i w:val="0"/>
          <w:sz w:val="24"/>
        </w:rPr>
        <w:t xml:space="preserve">. U.S. Department of Health, Education, and Welfare. </w:t>
      </w:r>
      <w:hyperlink r:id="rId95">
        <w:r>
          <w:rPr>
            <w:color w:val="0563C1"/>
            <w:u w:val="single"/>
            <w:rFonts w:ascii="Times New Roman" w:hAnsi="Times New Roman"/>
            <w:sz w:val="24"/>
          </w:rPr>
          <w:t xml:space="preserve">https://www.hhs.gov/ohrp/regulations-and-policy/belmont-report/index.html</w:t>
        </w:r>
      </w:hyperlink>
    </w:p>
    <w:p w14:paraId="44A5A16B" w14:textId="2A73B054" w:rsidR="0089165D" w:rsidRDefault="0028214A" w:rsidP="0089165D">
      <w:pPr>
        <w:spacing w:line="480" w:lineRule="auto"/>
        <w:ind w:left="630" w:hanging="630"/>
      </w:pPr>
      <w:r w:rsidRPr="0028214A">
        <w:rPr>
          <w:rFonts w:ascii="Times New Roman" w:hAnsi="Times New Roman" w:eastAsia="Times New Roman"/>
          <w:b w:val="0"/>
          <w:i w:val="0"/>
          <w:sz w:val="24"/>
          <w:highlight w:val="yellow"/>
        </w:rPr>
        <w:t xml:space="preserve">Nowell, L. S., Norris, J. M., White, D. E., &amp; Moules, N. J. (2017). Thematic analysis: Striving to meet the trustworthiness criteria. </w:t>
      </w:r>
      <w:r>
        <w:rPr>
          <w:b w:val="0"/>
          <w:i w:val="0"/>
        </w:rPr>
      </w:r>
      <w:r>
        <w:rPr>
          <w:b w:val="0"/>
          <w:i w:val="0"/>
        </w:rPr>
      </w:r>
      <w:r>
        <w:rPr>
          <w:b w:val="0"/>
          <w:i w:val="0"/>
          <w:iCs/>
        </w:rPr>
      </w:r>
      <w:r>
        <w:rPr>
          <w:b w:val="0"/>
          <w:i w:val="0"/>
        </w:rPr>
      </w:r>
      <w:r>
        <w:rPr>
          <w:b w:val="0"/>
          <w:i w:val="0"/>
          <w:iCs/>
        </w:rPr>
      </w:r>
      <w:r>
        <w:rPr>
          <w:b w:val="0"/>
          <w:i w:val="0"/>
        </w:rPr>
      </w:r>
      <w:r>
        <w:rPr>
          <w:rFonts w:ascii="Times New Roman" w:hAnsi="Times New Roman" w:eastAsia="Times New Roman"/>
          <w:b w:val="0"/>
          <w:i/>
          <w:sz w:val="24"/>
        </w:rPr>
        <w:t>International Journal of Qualitative Methods, 16</w:t>
      </w:r>
      <w:r>
        <w:rPr>
          <w:rFonts w:ascii="Times New Roman" w:hAnsi="Times New Roman" w:eastAsia="Times New Roman"/>
          <w:b w:val="0"/>
          <w:i w:val="0"/>
          <w:sz w:val="24"/>
        </w:rPr>
        <w:t xml:space="preserve">(1), 1–13. </w:t>
      </w:r>
      <w:hyperlink r:id="rId96">
        <w:r>
          <w:rPr>
            <w:color w:val="0563C1"/>
            <w:u w:val="single"/>
            <w:rFonts w:ascii="Times New Roman" w:hAnsi="Times New Roman"/>
            <w:sz w:val="24"/>
          </w:rPr>
          <w:t xml:space="preserve">https://doi.org/10.1177/1609406917733847</w:t>
        </w:r>
      </w:hyperlink>
    </w:p>
    <w:p w14:paraId="5D075B52" w14:textId="4BC3D8E1" w:rsidR="00CC218E" w:rsidRPr="00AC3820" w:rsidRDefault="00CC218E" w:rsidP="0089165D">
      <w:pPr>
        <w:spacing w:line="480" w:lineRule="auto"/>
        <w:ind w:left="630" w:hanging="630"/>
        <w:rPr>
          <w:color w:val="000000" w:themeColor="text1"/>
        </w:rPr>
      </w:pPr>
      <w:r w:rsidRPr="00CC218E">
        <w:rPr>
          <w:rFonts w:ascii="Times New Roman" w:hAnsi="Times New Roman" w:eastAsia="Times New Roman"/>
          <w:b/>
          <w:i w:val="0"/>
          <w:sz w:val="24"/>
          <w:highlight w:val="yellow"/>
        </w:rPr>
        <w:t xml:space="preserve">Nowell, B., &amp; Albrecht, K. (2019). A reviewer’s guide to qualitative rigor. </w:t>
      </w:r>
      <w:r>
        <w:rPr>
          <w:b w:val="0"/>
          <w:i w:val="0"/>
        </w:rPr>
      </w:r>
      <w:r>
        <w:rPr>
          <w:b w:val="0"/>
          <w:i w:val="0"/>
          <w:iCs/>
        </w:rPr>
      </w:r>
      <w:r>
        <w:rPr>
          <w:b w:val="0"/>
          <w:i w:val="0"/>
        </w:rPr>
      </w:r>
      <w:r>
        <w:rPr>
          <w:b w:val="0"/>
          <w:i w:val="0"/>
          <w:iCs/>
        </w:rPr>
      </w:r>
      <w:r>
        <w:rPr>
          <w:b w:val="0"/>
          <w:i w:val="0"/>
        </w:rPr>
      </w:r>
      <w:r>
        <w:rPr>
          <w:rFonts w:ascii="Times New Roman" w:hAnsi="Times New Roman" w:eastAsia="Times New Roman"/>
          <w:b/>
          <w:i/>
          <w:sz w:val="24"/>
        </w:rPr>
        <w:t>Journal of Public Administration Research and Theory, 29</w:t>
      </w:r>
      <w:r>
        <w:rPr>
          <w:rFonts w:ascii="Times New Roman" w:hAnsi="Times New Roman" w:eastAsia="Times New Roman"/>
          <w:b/>
          <w:i w:val="0"/>
          <w:sz w:val="24"/>
        </w:rPr>
        <w:t xml:space="preserve">(2), 348–363. </w:t>
      </w:r>
      <w:hyperlink r:id="rId97">
        <w:r>
          <w:rPr>
            <w:color w:val="0563C1"/>
            <w:u w:val="single"/>
            <w:rFonts w:ascii="Times New Roman" w:hAnsi="Times New Roman"/>
            <w:sz w:val="24"/>
            <w:b/>
          </w:rPr>
          <w:t xml:space="preserve">https://doi.org/10.1093/jopart/muy052</w:t>
        </w:r>
      </w:hyperlink>
    </w:p>
    <w:p w14:paraId="212E6435"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i w:val="0"/>
          <w:color w:val="000000" w:themeColor="text1"/>
          <w:sz w:val="24"/>
        </w:rPr>
        <w:t xml:space="preserve">Örtenblad, A. (2007). Senge’s many faces: Problem or opportunity? </w:t>
      </w:r>
      <w:r w:rsidRPr="00AA13BF">
        <w:rPr>
          <w:b w:val="0"/>
          <w:i w:val="0"/>
          <w:color w:val="000000" w:themeColor="text1"/>
          <w:highlight w:val="cyan"/>
        </w:rPr>
      </w:r>
      <w:r w:rsidRPr="00AC3820">
        <w:rPr>
          <w:b w:val="0"/>
          <w:i w:val="0"/>
          <w:color w:val="000000" w:themeColor="text1"/>
        </w:rPr>
      </w:r>
      <w:r>
        <w:rPr>
          <w:rFonts w:ascii="Times New Roman" w:hAnsi="Times New Roman" w:eastAsia="Times New Roman"/>
          <w:b/>
          <w:i/>
          <w:sz w:val="24"/>
        </w:rPr>
        <w:t>The Learning Organization, 14</w:t>
      </w:r>
      <w:r>
        <w:rPr>
          <w:rFonts w:ascii="Times New Roman" w:hAnsi="Times New Roman" w:eastAsia="Times New Roman"/>
          <w:b/>
          <w:i w:val="0"/>
          <w:sz w:val="24"/>
        </w:rPr>
        <w:t xml:space="preserve">(2), 108–122. </w:t>
      </w:r>
      <w:hyperlink r:id="rId98">
        <w:r>
          <w:rPr>
            <w:color w:val="0563C1"/>
            <w:u w:val="single"/>
            <w:rFonts w:ascii="Times New Roman" w:hAnsi="Times New Roman"/>
            <w:sz w:val="24"/>
            <w:b/>
          </w:rPr>
          <w:t xml:space="preserve">https://doi.org/10.1108/09696470710726989</w:t>
        </w:r>
      </w:hyperlink>
    </w:p>
    <w:p w14:paraId="0BC71308"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Park, J., Son, Y., &amp; Angst, C. M. (2023). The value of centralized IT in building resilience during crises: Evidence from U.S. higher education’s transition to emergency remote teaching. </w:t>
      </w:r>
      <w:r w:rsidRPr="00AC3820">
        <w:rPr>
          <w:b w:val="0"/>
          <w:i w:val="0"/>
          <w:color w:val="000000" w:themeColor="text1"/>
        </w:rPr>
      </w:r>
      <w:r>
        <w:rPr>
          <w:rFonts w:ascii="Times New Roman" w:hAnsi="Times New Roman" w:eastAsia="Times New Roman"/>
          <w:b w:val="0"/>
          <w:i/>
          <w:sz w:val="24"/>
        </w:rPr>
        <w:t>MIS Quarterly, 47</w:t>
      </w:r>
      <w:r>
        <w:rPr>
          <w:rFonts w:ascii="Times New Roman" w:hAnsi="Times New Roman" w:eastAsia="Times New Roman"/>
          <w:b w:val="0"/>
          <w:i w:val="0"/>
          <w:sz w:val="24"/>
        </w:rPr>
        <w:t xml:space="preserve">(1), 451–482. </w:t>
      </w:r>
      <w:hyperlink r:id="rId51">
        <w:r>
          <w:rPr>
            <w:color w:val="0563C1"/>
            <w:u w:val="single"/>
            <w:rFonts w:ascii="Times New Roman" w:hAnsi="Times New Roman"/>
            <w:sz w:val="24"/>
          </w:rPr>
          <w:t xml:space="preserve">https://doi.org/10.25300/MISQ/2022/17265</w:t>
        </w:r>
      </w:hyperlink>
    </w:p>
    <w:p w14:paraId="29021AD6" w14:textId="77777777" w:rsidR="00FB5178" w:rsidRDefault="0089165D" w:rsidP="00FB5178">
      <w:pPr>
        <w:spacing w:line="480" w:lineRule="auto"/>
        <w:ind w:left="630" w:hanging="630"/>
        <w:rPr>
          <w:color w:val="000000" w:themeColor="text1"/>
        </w:rPr>
      </w:pPr>
      <w:r w:rsidRPr="00974A23">
        <w:rPr>
          <w:rFonts w:ascii="Times New Roman" w:hAnsi="Times New Roman" w:eastAsia="Times New Roman"/>
          <w:b w:val="0"/>
          <w:i w:val="0"/>
          <w:color w:val="000000" w:themeColor="text1"/>
          <w:sz w:val="24"/>
          <w:highlight w:val="yellow"/>
        </w:rPr>
        <w:t xml:space="preserve">Percy, W. H., Kostere, K., &amp; Kostere, S. (2015). Generic qualitative research in psychology. </w:t>
      </w:r>
      <w:r w:rsidRPr="00AC3820">
        <w:rPr>
          <w:b w:val="0"/>
          <w:i w:val="0"/>
          <w:color w:val="000000" w:themeColor="text1"/>
        </w:rPr>
      </w:r>
      <w:r>
        <w:rPr>
          <w:rFonts w:ascii="Times New Roman" w:hAnsi="Times New Roman" w:eastAsia="Times New Roman"/>
          <w:b w:val="0"/>
          <w:i/>
          <w:sz w:val="24"/>
        </w:rPr>
        <w:t>The Qualitative Report, 20</w:t>
      </w:r>
      <w:r>
        <w:rPr>
          <w:rFonts w:ascii="Times New Roman" w:hAnsi="Times New Roman" w:eastAsia="Times New Roman"/>
          <w:b w:val="0"/>
          <w:i w:val="0"/>
          <w:sz w:val="24"/>
        </w:rPr>
        <w:t xml:space="preserve">(2), 76–85. </w:t>
      </w:r>
      <w:hyperlink r:id="rId99">
        <w:r>
          <w:rPr>
            <w:color w:val="0563C1"/>
            <w:u w:val="single"/>
            <w:rFonts w:ascii="Times New Roman" w:hAnsi="Times New Roman"/>
            <w:sz w:val="24"/>
          </w:rPr>
          <w:t xml:space="preserve">https://doi.org/10.46743/2160-3715/2015.2097</w:t>
        </w:r>
      </w:hyperlink>
    </w:p>
    <w:p w14:paraId="7879937A" w14:textId="49E67422" w:rsidR="00FB5178" w:rsidRPr="00FB5178" w:rsidRDefault="00FB5178" w:rsidP="00FB5178">
      <w:pPr>
        <w:spacing w:line="480" w:lineRule="auto"/>
        <w:ind w:left="630" w:hanging="630"/>
        <w:rPr>
          <w:color w:val="000000" w:themeColor="text1"/>
        </w:rPr>
      </w:pPr>
      <w:r w:rsidRPr="00FB5178">
        <w:rPr>
          <w:rFonts w:ascii="Times New Roman" w:hAnsi="Times New Roman" w:eastAsia="Times New Roman"/>
          <w:b/>
          <w:i w:val="0"/>
          <w:sz w:val="24"/>
          <w:highlight w:val="cyan"/>
        </w:rPr>
        <w:t xml:space="preserve">Stieb, J. A. (2009). Assessing Freeman’s stakeholder theory. </w:t>
      </w:r>
      <w:r>
        <w:rPr>
          <w:b w:val="0"/>
          <w:i w:val="0"/>
        </w:rPr>
      </w:r>
      <w:r>
        <w:rPr>
          <w:b w:val="0"/>
          <w:i w:val="0"/>
          <w:iCs/>
        </w:rPr>
      </w:r>
      <w:r>
        <w:rPr>
          <w:b w:val="0"/>
          <w:i w:val="0"/>
        </w:rPr>
      </w:r>
      <w:r>
        <w:rPr>
          <w:rFonts w:ascii="Times New Roman" w:hAnsi="Times New Roman" w:eastAsia="Times New Roman"/>
          <w:b/>
          <w:i/>
          <w:sz w:val="24"/>
        </w:rPr>
        <w:t>Journal of Business Ethics, 87</w:t>
      </w:r>
      <w:r>
        <w:rPr>
          <w:rFonts w:ascii="Times New Roman" w:hAnsi="Times New Roman" w:eastAsia="Times New Roman"/>
          <w:b/>
          <w:i w:val="0"/>
          <w:sz w:val="24"/>
        </w:rPr>
        <w:t xml:space="preserve">(3), 401–414. </w:t>
      </w:r>
      <w:hyperlink r:id="rId52">
        <w:r>
          <w:rPr>
            <w:color w:val="0563C1"/>
            <w:u w:val="single"/>
            <w:rFonts w:ascii="Times New Roman" w:hAnsi="Times New Roman"/>
            <w:sz w:val="24"/>
            <w:b/>
          </w:rPr>
          <w:t xml:space="preserve">https://doi.org/10.1007/s10551-008-9928-4</w:t>
        </w:r>
      </w:hyperlink>
    </w:p>
    <w:p w14:paraId="67C01652" w14:textId="48F119A6"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Taylor, S. J., &amp; Bogdan, R. (1998). </w:t>
      </w:r>
      <w:r>
        <w:rPr>
          <w:rFonts w:ascii="Times New Roman" w:hAnsi="Times New Roman" w:eastAsia="Times New Roman"/>
          <w:b w:val="0"/>
          <w:i/>
          <w:sz w:val="24"/>
        </w:rPr>
        <w:t>Introduction to qualitative research methods: A guidebook and resource</w:t>
      </w:r>
      <w:r>
        <w:rPr>
          <w:rFonts w:ascii="Times New Roman" w:hAnsi="Times New Roman" w:eastAsia="Times New Roman"/>
          <w:b w:val="0"/>
          <w:i w:val="0"/>
          <w:sz w:val="24"/>
        </w:rPr>
        <w:t xml:space="preserve"> (3rd ed.). Wiley.</w:t>
      </w:r>
    </w:p>
    <w:p w14:paraId="4F25266C"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Tisdell, E. J., Merriam, S. B., &amp; Stuckey-Peyrot, H. L. (2025). </w:t>
      </w:r>
      <w:r>
        <w:rPr>
          <w:rFonts w:ascii="Times New Roman" w:hAnsi="Times New Roman" w:eastAsia="Times New Roman"/>
          <w:b w:val="0"/>
          <w:i/>
          <w:sz w:val="24"/>
        </w:rPr>
        <w:t>Qualitative research: A guide to design and implementation</w:t>
      </w:r>
      <w:r>
        <w:rPr>
          <w:rFonts w:ascii="Times New Roman" w:hAnsi="Times New Roman" w:eastAsia="Times New Roman"/>
          <w:b w:val="0"/>
          <w:i w:val="0"/>
          <w:sz w:val="24"/>
        </w:rPr>
        <w:t>. John Wiley &amp; Sons.</w:t>
      </w:r>
    </w:p>
    <w:p w14:paraId="5F3FE6E2"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Tracy, S. J. (2010). Qualitative quality: Eight “big-tent” criteria for excellent qualitative research. </w:t>
      </w:r>
      <w:r w:rsidRPr="00AC3820">
        <w:rPr>
          <w:b w:val="0"/>
          <w:i w:val="0"/>
          <w:color w:val="000000" w:themeColor="text1"/>
        </w:rPr>
      </w:r>
      <w:r>
        <w:rPr>
          <w:rFonts w:ascii="Times New Roman" w:hAnsi="Times New Roman" w:eastAsia="Times New Roman"/>
          <w:b w:val="0"/>
          <w:i/>
          <w:sz w:val="24"/>
        </w:rPr>
        <w:t>Qualitative Inquiry, 16</w:t>
      </w:r>
      <w:r>
        <w:rPr>
          <w:rFonts w:ascii="Times New Roman" w:hAnsi="Times New Roman" w:eastAsia="Times New Roman"/>
          <w:b w:val="0"/>
          <w:i w:val="0"/>
          <w:sz w:val="24"/>
        </w:rPr>
        <w:t xml:space="preserve">(10), 837–851. </w:t>
      </w:r>
      <w:hyperlink r:id="rId100">
        <w:r>
          <w:rPr>
            <w:color w:val="0563C1"/>
            <w:u w:val="single"/>
            <w:rFonts w:ascii="Times New Roman" w:hAnsi="Times New Roman"/>
            <w:sz w:val="24"/>
          </w:rPr>
          <w:t xml:space="preserve">https://doi.org/10.1177/1077800410383121</w:t>
        </w:r>
      </w:hyperlink>
    </w:p>
    <w:p>
      <w:pPr>
        <w:spacing w:line="480" w:lineRule="auto"/>
      </w:pPr>
      <w:r>
        <w:rPr>
          <w:rFonts w:ascii="Times New Roman" w:hAnsi="Times New Roman" w:eastAsia="Times New Roman"/>
          <w:b w:val="0"/>
          <w:i w:val="0"/>
          <w:sz w:val="24"/>
        </w:rPr>
        <w:t xml:space="preserve">van der Kamp, M., Tjemkes, B., Duplat, V., &amp; Jehn, K. (2023). On alliance teams: Conceptualization, review, and future research agenda. </w:t>
      </w:r>
      <w:r>
        <w:rPr>
          <w:rFonts w:ascii="Times New Roman" w:hAnsi="Times New Roman" w:eastAsia="Times New Roman"/>
          <w:b w:val="0"/>
          <w:i/>
          <w:sz w:val="24"/>
        </w:rPr>
        <w:t>Human Relations, 76</w:t>
      </w:r>
      <w:r>
        <w:rPr>
          <w:rFonts w:ascii="Times New Roman" w:hAnsi="Times New Roman" w:eastAsia="Times New Roman"/>
          <w:b w:val="0"/>
          <w:i w:val="0"/>
          <w:sz w:val="24"/>
        </w:rPr>
        <w:t xml:space="preserve">(9), 1382–1413. </w:t>
      </w:r>
      <w:hyperlink r:id="rId55">
        <w:r>
          <w:rPr>
            <w:color w:val="0563C1"/>
            <w:u w:val="single"/>
            <w:rFonts w:ascii="Times New Roman" w:hAnsi="Times New Roman"/>
            <w:sz w:val="24"/>
          </w:rPr>
          <w:t xml:space="preserve">https://doi.org/10.1177/00187267221104985</w:t>
        </w:r>
      </w:hyperlink>
    </w:p>
    <w:p w14:paraId="31894A4A"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de Vaujany, F.-X., Leclercq-Vandelannoitte, A., Aroles, J., Introna, L., &amp; Davidson, S. (2025). Rethinking responsibility in the digital age: A narrative approach. </w:t>
      </w:r>
      <w:r>
        <w:rPr>
          <w:rFonts w:ascii="Times New Roman" w:hAnsi="Times New Roman" w:eastAsia="Times New Roman"/>
          <w:b w:val="0"/>
          <w:i/>
          <w:sz w:val="24"/>
        </w:rPr>
        <w:t>MIS Quarterly, 49</w:t>
      </w:r>
      <w:r>
        <w:rPr>
          <w:rFonts w:ascii="Times New Roman" w:hAnsi="Times New Roman" w:eastAsia="Times New Roman"/>
          <w:b w:val="0"/>
          <w:i w:val="0"/>
          <w:sz w:val="24"/>
        </w:rPr>
        <w:t>(4), 1295–1318.</w:t>
      </w:r>
    </w:p>
    <w:p w14:paraId="7AF3B8B8"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Verizon. (2025). </w:t>
      </w:r>
      <w:r>
        <w:rPr>
          <w:rFonts w:ascii="Times New Roman" w:hAnsi="Times New Roman" w:eastAsia="Times New Roman"/>
          <w:b w:val="0"/>
          <w:i/>
          <w:sz w:val="24"/>
        </w:rPr>
        <w:t>2025 data breach investigations report</w:t>
      </w:r>
      <w:r>
        <w:rPr>
          <w:rFonts w:ascii="Times New Roman" w:hAnsi="Times New Roman" w:eastAsia="Times New Roman"/>
          <w:b w:val="0"/>
          <w:i w:val="0"/>
          <w:sz w:val="24"/>
        </w:rPr>
        <w:t xml:space="preserve">. </w:t>
      </w:r>
      <w:hyperlink r:id="rId101">
        <w:r>
          <w:rPr>
            <w:color w:val="0563C1"/>
            <w:u w:val="single"/>
            <w:rFonts w:ascii="Times New Roman" w:hAnsi="Times New Roman"/>
            <w:sz w:val="24"/>
          </w:rPr>
          <w:t xml:space="preserve">https://www.verizon.com/business/resources/reports/dbir/</w:t>
        </w:r>
      </w:hyperlink>
    </w:p>
    <w:p w14:paraId="730261C1"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Vos, J. (2022). A delicate balance: How structure, creativity and innovation play a role in advancing change. </w:t>
      </w:r>
      <w:r>
        <w:rPr>
          <w:rFonts w:ascii="Times New Roman" w:hAnsi="Times New Roman" w:eastAsia="Times New Roman"/>
          <w:b w:val="0"/>
          <w:i/>
          <w:sz w:val="24"/>
        </w:rPr>
        <w:t>HCM Sales, Marketing &amp; Alliance Excellence, 21</w:t>
      </w:r>
      <w:r>
        <w:rPr>
          <w:rFonts w:ascii="Times New Roman" w:hAnsi="Times New Roman" w:eastAsia="Times New Roman"/>
          <w:b w:val="0"/>
          <w:i w:val="0"/>
          <w:sz w:val="24"/>
        </w:rPr>
        <w:t>(11), 15–17.</w:t>
      </w:r>
    </w:p>
    <w:p w14:paraId="3D6D0D25"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Walker, M. (2026). </w:t>
      </w:r>
      <w:r w:rsidRPr="00AC3820">
        <w:rPr>
          <w:b w:val="0"/>
          <w:i w:val="0"/>
          <w:color w:val="000000" w:themeColor="text1"/>
        </w:rPr>
      </w:r>
      <w:r>
        <w:rPr>
          <w:rFonts w:ascii="Times New Roman" w:hAnsi="Times New Roman" w:eastAsia="Times New Roman"/>
          <w:b w:val="0"/>
          <w:i/>
          <w:sz w:val="24"/>
        </w:rPr>
        <w:t>GQI semi-structured interview guide: Where leverage sits</w:t>
      </w:r>
      <w:r>
        <w:rPr>
          <w:rFonts w:ascii="Times New Roman" w:hAnsi="Times New Roman" w:eastAsia="Times New Roman"/>
          <w:b w:val="0"/>
          <w:i w:val="0"/>
          <w:sz w:val="24"/>
        </w:rPr>
        <w:t xml:space="preserve"> (Instrument ID ITDR-GQI-INT-v0.1.1) [Unpublished research instrument]. Capella University.</w:t>
      </w:r>
    </w:p>
    <w:p w14:paraId="1B9E0ACD"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Weick, K. E. (1989). Theory construction as disciplined imagination. </w:t>
      </w:r>
      <w:r>
        <w:rPr>
          <w:rFonts w:ascii="Times New Roman" w:hAnsi="Times New Roman" w:eastAsia="Times New Roman"/>
          <w:b w:val="0"/>
          <w:i/>
          <w:sz w:val="24"/>
        </w:rPr>
        <w:t>Academy of Management Review, 14</w:t>
      </w:r>
      <w:r>
        <w:rPr>
          <w:rFonts w:ascii="Times New Roman" w:hAnsi="Times New Roman" w:eastAsia="Times New Roman"/>
          <w:b w:val="0"/>
          <w:i w:val="0"/>
          <w:sz w:val="24"/>
        </w:rPr>
        <w:t xml:space="preserve">(4), 516–531. </w:t>
      </w:r>
      <w:hyperlink r:id="rId59">
        <w:r>
          <w:rPr>
            <w:color w:val="0563C1"/>
            <w:u w:val="single"/>
            <w:rFonts w:ascii="Times New Roman" w:hAnsi="Times New Roman"/>
            <w:sz w:val="24"/>
          </w:rPr>
          <w:t xml:space="preserve">https://doi.org/10.5465/amr.1989.4308376</w:t>
        </w:r>
      </w:hyperlink>
    </w:p>
    <w:p w14:paraId="19112375" w14:textId="77777777" w:rsidR="0089165D" w:rsidRPr="00AC3820" w:rsidRDefault="0089165D" w:rsidP="0089165D">
      <w:pPr>
        <w:spacing w:line="480" w:lineRule="auto"/>
        <w:rPr>
          <w:color w:val="000000" w:themeColor="text1"/>
        </w:rPr>
      </w:pPr>
      <w:r w:rsidRPr="00AC3820">
        <w:rPr>
          <w:rFonts w:ascii="Times New Roman" w:hAnsi="Times New Roman" w:eastAsia="Times New Roman"/>
          <w:b w:val="0"/>
          <w:i w:val="0"/>
          <w:color w:val="000000" w:themeColor="text1"/>
          <w:sz w:val="24"/>
        </w:rPr>
        <w:t xml:space="preserve">Weill, P., &amp; Ross, J. W. (2004). </w:t>
      </w:r>
      <w:r>
        <w:rPr>
          <w:rFonts w:ascii="Times New Roman" w:hAnsi="Times New Roman" w:eastAsia="Times New Roman"/>
          <w:b w:val="0"/>
          <w:i/>
          <w:sz w:val="24"/>
        </w:rPr>
        <w:t>IT governance: How top performers manage IT decision rights for superior results</w:t>
      </w:r>
      <w:r>
        <w:rPr>
          <w:rFonts w:ascii="Times New Roman" w:hAnsi="Times New Roman" w:eastAsia="Times New Roman"/>
          <w:b w:val="0"/>
          <w:i w:val="0"/>
          <w:sz w:val="24"/>
        </w:rPr>
        <w:t>. Harvard Business School Press.</w:t>
      </w:r>
    </w:p>
    <w:p w14:paraId="4189EFD5"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i w:val="0"/>
          <w:color w:val="000000" w:themeColor="text1"/>
          <w:sz w:val="24"/>
        </w:rPr>
        <w:t xml:space="preserve">Williams, T. A., Gruber, D. A., Sutcliffe, K. M., Shepherd, D. A., &amp; Zhao, E. Y. (2017). Organizational response to adversity: Fusing crisis management and resilience research streams. </w:t>
      </w:r>
      <w:r>
        <w:rPr>
          <w:rFonts w:ascii="Times New Roman" w:hAnsi="Times New Roman" w:eastAsia="Times New Roman"/>
          <w:b/>
          <w:i/>
          <w:sz w:val="24"/>
        </w:rPr>
        <w:t>Academy of Management Annals, 11</w:t>
      </w:r>
      <w:r>
        <w:rPr>
          <w:rFonts w:ascii="Times New Roman" w:hAnsi="Times New Roman" w:eastAsia="Times New Roman"/>
          <w:b/>
          <w:i w:val="0"/>
          <w:sz w:val="24"/>
        </w:rPr>
        <w:t xml:space="preserve">(2), 733–769. </w:t>
      </w:r>
      <w:hyperlink r:id="rId102">
        <w:r>
          <w:rPr>
            <w:color w:val="0563C1"/>
            <w:u w:val="single"/>
            <w:rFonts w:ascii="Times New Roman" w:hAnsi="Times New Roman"/>
            <w:sz w:val="24"/>
            <w:b/>
          </w:rPr>
          <w:t xml:space="preserve">https://doi.org/10.5465/annals.2015.0134</w:t>
        </w:r>
      </w:hyperlink>
    </w:p>
    <w:p w14:paraId="56A319A5" w14:textId="106F84CA" w:rsidR="00EB61EE" w:rsidRPr="00AC3820" w:rsidRDefault="0089165D" w:rsidP="00EB61EE">
      <w:pPr>
        <w:spacing w:line="480" w:lineRule="auto"/>
        <w:ind w:left="630" w:hanging="630"/>
        <w:rPr>
          <w:color w:val="000000" w:themeColor="text1"/>
        </w:rPr>
      </w:pPr>
      <w:r w:rsidRPr="00EB61EE">
        <w:rPr>
          <w:rFonts w:ascii="Times New Roman" w:hAnsi="Times New Roman" w:eastAsia="Times New Roman"/>
          <w:b w:val="0"/>
          <w:i w:val="0"/>
          <w:color w:val="000000" w:themeColor="text1"/>
          <w:sz w:val="24"/>
          <w:highlight w:val="cyan"/>
        </w:rPr>
        <w:t xml:space="preserve">Wutich, A., Beresford, M., &amp; Bernard, H. R. (2024). Sample sizes for 10 types of qualitative data analysis: An integrative review, empirical guidance, and next steps. </w:t>
      </w:r>
      <w:r w:rsidRPr="00AC3820">
        <w:rPr>
          <w:b w:val="0"/>
          <w:i w:val="0"/>
          <w:color w:val="000000" w:themeColor="text1"/>
        </w:rPr>
      </w:r>
      <w:r>
        <w:rPr>
          <w:rFonts w:ascii="Times New Roman" w:hAnsi="Times New Roman" w:eastAsia="Times New Roman"/>
          <w:b w:val="0"/>
          <w:i/>
          <w:sz w:val="24"/>
        </w:rPr>
        <w:t>International Journal of Qualitative Methods, 23</w:t>
      </w:r>
      <w:r>
        <w:rPr>
          <w:rFonts w:ascii="Times New Roman" w:hAnsi="Times New Roman" w:eastAsia="Times New Roman"/>
          <w:b w:val="0"/>
          <w:i w:val="0"/>
          <w:sz w:val="24"/>
        </w:rPr>
        <w:t xml:space="preserve">, 1–23. </w:t>
      </w:r>
      <w:hyperlink r:id="rId103">
        <w:r>
          <w:rPr>
            <w:color w:val="0563C1"/>
            <w:u w:val="single"/>
            <w:rFonts w:ascii="Times New Roman" w:hAnsi="Times New Roman"/>
            <w:sz w:val="24"/>
          </w:rPr>
          <w:t xml:space="preserve">https://doi.org/10.1177/16094069241296206</w:t>
        </w:r>
      </w:hyperlink>
    </w:p>
    <w:p w14:paraId="3C3F438A"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color w:val="000000" w:themeColor="text1"/>
          <w:sz w:val="24"/>
        </w:rPr>
      </w:r>
    </w:p>
    <w:p w14:paraId="7E91D1E5" w14:textId="77777777" w:rsidR="00FB5178" w:rsidRDefault="0089165D" w:rsidP="0089165D">
      <w:pPr>
        <w:spacing w:line="480" w:lineRule="auto"/>
        <w:ind w:left="630" w:hanging="630"/>
        <w:rPr>
          <w:color w:val="000000" w:themeColor="text1"/>
        </w:rPr>
      </w:pPr>
      <w:r w:rsidRPr="00AC3820">
        <w:rPr>
          <w:rFonts w:ascii="Times New Roman" w:hAnsi="Times New Roman" w:eastAsia="Times New Roman"/>
          <w:b w:val="0"/>
          <w:color w:val="000000" w:themeColor="text1"/>
          <w:sz w:val="24"/>
        </w:rPr>
      </w:r>
    </w:p>
    <w:p w14:paraId="0FC2DCED" w14:textId="1DCA5C71" w:rsidR="00FB5178" w:rsidRPr="006C70C5" w:rsidRDefault="00FB5178" w:rsidP="0089165D">
      <w:pPr>
        <w:spacing w:line="480" w:lineRule="auto"/>
        <w:ind w:left="630" w:hanging="630"/>
        <w:rPr>
          <w:color w:val="000000" w:themeColor="text1"/>
        </w:rPr>
      </w:pPr>
      <w:r w:rsidRPr="00FB5178">
        <w:rPr>
          <w:rFonts w:ascii="Times New Roman" w:hAnsi="Times New Roman" w:eastAsia="Times New Roman"/>
          <w:b w:val="0"/>
          <w:sz w:val="24"/>
          <w:highlight w:val="cyan"/>
        </w:rPr>
      </w:r>
      <w:r/>
      <w:r>
        <w:rPr>
          <w:i/>
          <w:iCs/>
        </w:rPr>
      </w:r>
      <w:r/>
      <w:r>
        <w:rPr>
          <w:i/>
          <w:iCs/>
        </w:rPr>
      </w:r>
      <w:r/>
    </w:p>
    <w:sectPr w:rsidR="00FB5178" w:rsidRPr="006C70C5" w:rsidSect="0019353A">
      <w:headerReference w:type="even" r:id="rId61"/>
      <w:headerReference w:type="default" r:id="rId62"/>
      <w:footerReference w:type="even" r:id="rId63"/>
      <w:footerReference w:type="default" r:id="rId64"/>
      <w:headerReference w:type="first" r:id="rId65"/>
      <w:footerReference w:type="first" r:id="rId66"/>
      <w:pgSz w:w="12240" w:h="15840"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marc muchnick" w:date="2026-08-24T03:07:00Z" w:initials="mm">
    <w:p w14:paraId="734A10A1" w14:textId="77777777" w:rsidR="00F36A6F" w:rsidRDefault="00F36A6F" w:rsidP="00F36A6F">
      <w:r>
        <w:rPr>
          <w:rStyle w:val="CommentReference"/>
        </w:rPr>
        <w:annotationRef/>
      </w:r>
      <w:r>
        <w:rPr>
          <w:sz w:val="20"/>
          <w:szCs w:val="20"/>
        </w:rPr>
        <w:t>Hi Max – thank you for submitting your Wk 5 assignment!</w:t>
      </w:r>
    </w:p>
    <w:p w14:paraId="7B6CD843" w14:textId="77777777" w:rsidR="00F36A6F" w:rsidRDefault="00F36A6F" w:rsidP="00F36A6F"/>
    <w:p w14:paraId="19B17236" w14:textId="77777777" w:rsidR="00F36A6F" w:rsidRDefault="00F36A6F" w:rsidP="00F36A6F">
      <w:r>
        <w:rPr>
          <w:sz w:val="20"/>
          <w:szCs w:val="20"/>
        </w:rPr>
        <w:t>Good improvements overall. Please see my feedback below and let me know if you have any questions. As before, please be sure to address each comment in full as it pertains to the entire document. I look forward to your Wk 8 assignment. Also as before, please be sure to work off of this document so that my comments stay intact on the document.</w:t>
      </w:r>
    </w:p>
    <w:p w14:paraId="47773C70" w14:textId="77777777" w:rsidR="00F36A6F" w:rsidRDefault="00F36A6F" w:rsidP="00F36A6F"/>
    <w:p w14:paraId="44565EB7" w14:textId="77777777" w:rsidR="00F36A6F" w:rsidRDefault="00F36A6F" w:rsidP="00F36A6F">
      <w:r>
        <w:rPr>
          <w:sz w:val="20"/>
          <w:szCs w:val="20"/>
        </w:rPr>
        <w:t>Regards,</w:t>
      </w:r>
    </w:p>
    <w:p w14:paraId="407C7E01" w14:textId="77777777" w:rsidR="00F36A6F" w:rsidRDefault="00F36A6F" w:rsidP="00F36A6F"/>
    <w:p w14:paraId="66F96227" w14:textId="77777777" w:rsidR="00F36A6F" w:rsidRDefault="00F36A6F" w:rsidP="00F36A6F">
      <w:r>
        <w:rPr>
          <w:sz w:val="20"/>
          <w:szCs w:val="20"/>
        </w:rPr>
        <w:t>Marc</w:t>
      </w:r>
    </w:p>
  </w:comment>
  <w:comment w:id="1" w:author="marc muchnick" w:date="2026-08-02T12:37:00Z" w:initials="mm">
    <w:p w14:paraId="4E700B4D" w14:textId="77777777" w:rsidR="00595C3E" w:rsidRDefault="00595C3E" w:rsidP="00595C3E">
      <w:r>
        <w:rPr>
          <w:rStyle w:val="CommentReference"/>
        </w:rPr>
        <w:annotationRef/>
      </w:r>
      <w:r>
        <w:rPr>
          <w:sz w:val="20"/>
          <w:szCs w:val="20"/>
        </w:rPr>
        <w:t>Need to state your specialization and how project specifically aligns with it.</w:t>
      </w:r>
    </w:p>
  </w:comment>
  <w:comment w:id="2" w:author="marc muchnick" w:date="2026-08-24T09:31:00Z" w:initials="mm">
    <w:p w14:paraId="1DE5A190" w14:textId="77777777" w:rsidR="00D92E80" w:rsidRDefault="00D92E80" w:rsidP="00D92E80">
      <w:r>
        <w:rPr>
          <w:rStyle w:val="CommentReference"/>
        </w:rPr>
        <w:annotationRef/>
      </w:r>
      <w:r>
        <w:rPr>
          <w:sz w:val="20"/>
          <w:szCs w:val="20"/>
        </w:rPr>
        <w:t>same comment.</w:t>
      </w:r>
    </w:p>
  </w:comment>
  <w:comment w:id="3" w:author="marc muchnick" w:date="2026-08-02T12:37:00Z" w:initials="mm">
    <w:p w14:paraId="3B6E7625" w14:textId="77777777" w:rsidR="00595C3E" w:rsidRDefault="00595C3E" w:rsidP="00595C3E">
      <w:r>
        <w:rPr>
          <w:rStyle w:val="CommentReference"/>
        </w:rPr>
        <w:annotationRef/>
      </w:r>
      <w:r>
        <w:rPr>
          <w:sz w:val="20"/>
          <w:szCs w:val="20"/>
        </w:rPr>
        <w:t>source?</w:t>
      </w:r>
    </w:p>
  </w:comment>
  <w:comment w:id="4" w:author="marc muchnick" w:date="2026-08-24T09:31:00Z" w:initials="mm">
    <w:p w14:paraId="5DEE7F37" w14:textId="77777777" w:rsidR="00D92E80" w:rsidRDefault="00D92E80" w:rsidP="00D92E80">
      <w:r>
        <w:rPr>
          <w:rStyle w:val="CommentReference"/>
        </w:rPr>
        <w:annotationRef/>
      </w:r>
      <w:r>
        <w:rPr>
          <w:sz w:val="20"/>
          <w:szCs w:val="20"/>
        </w:rPr>
        <w:t>same comment</w:t>
      </w:r>
    </w:p>
  </w:comment>
  <w:comment w:id="5" w:author="marc muchnick" w:date="2026-08-02T12:38:00Z" w:initials="mm">
    <w:p w14:paraId="17B735DF" w14:textId="77777777" w:rsidR="00595C3E" w:rsidRDefault="00595C3E" w:rsidP="00595C3E">
      <w:r>
        <w:rPr>
          <w:rStyle w:val="CommentReference"/>
        </w:rPr>
        <w:annotationRef/>
      </w:r>
      <w:r>
        <w:rPr>
          <w:sz w:val="20"/>
          <w:szCs w:val="20"/>
        </w:rPr>
        <w:t xml:space="preserve">dated source. Sources need to be from within the last 3-5 years unless seminal or foundational work. </w:t>
      </w:r>
    </w:p>
    <w:p w14:paraId="6A9A69FA" w14:textId="77777777" w:rsidR="00595C3E" w:rsidRDefault="00595C3E" w:rsidP="00595C3E">
      <w:r>
        <w:rPr>
          <w:sz w:val="20"/>
          <w:szCs w:val="20"/>
        </w:rPr>
        <w:t>***Please address throughout the entire document.</w:t>
      </w:r>
    </w:p>
    <w:p w14:paraId="40E07DFA" w14:textId="77777777" w:rsidR="00595C3E" w:rsidRDefault="00595C3E" w:rsidP="00595C3E"/>
  </w:comment>
  <w:comment w:id="6" w:author="marc muchnick" w:date="2026-08-24T09:31:00Z" w:initials="mm">
    <w:p w14:paraId="0E0DB0DC" w14:textId="77777777" w:rsidR="00D92E80" w:rsidRDefault="00D92E80" w:rsidP="00D92E80">
      <w:r>
        <w:rPr>
          <w:rStyle w:val="CommentReference"/>
        </w:rPr>
        <w:annotationRef/>
      </w:r>
      <w:r>
        <w:rPr>
          <w:sz w:val="20"/>
          <w:szCs w:val="20"/>
        </w:rPr>
        <w:t>same comment</w:t>
      </w:r>
    </w:p>
  </w:comment>
  <w:comment w:id="7" w:author="M W" w:date="2026-08-16T11:37:00Z" w:initials="MW">
    <w:p w14:paraId="21E7C82E" w14:textId="77777777" w:rsidR="00570A44" w:rsidRDefault="00570A44" w:rsidP="00570A44">
      <w:r>
        <w:rPr>
          <w:rStyle w:val="CommentReference"/>
        </w:rPr>
        <w:annotationRef/>
      </w:r>
      <w:r>
        <w:rPr>
          <w:sz w:val="20"/>
          <w:szCs w:val="20"/>
        </w:rPr>
        <w:t xml:space="preserve"> REMOVE and change to better word, sentence construct</w:t>
      </w:r>
    </w:p>
  </w:comment>
  <w:comment w:id="8" w:author="M W" w:date="2026-08-16T14:37:00Z" w:initials="MW">
    <w:p w14:paraId="72202B5A" w14:textId="77777777" w:rsidR="00E320E4" w:rsidRDefault="00E320E4" w:rsidP="00E320E4">
      <w:r>
        <w:rPr>
          <w:rStyle w:val="CommentReference"/>
        </w:rPr>
        <w:annotationRef/>
      </w:r>
      <w:r>
        <w:rPr>
          <w:sz w:val="20"/>
          <w:szCs w:val="20"/>
        </w:rPr>
        <w:t xml:space="preserve"> Still not fully happy with this wording, doesnt flow. </w:t>
      </w:r>
    </w:p>
  </w:comment>
  <w:comment w:id="9" w:author="marc muchnick" w:date="2026-08-02T12:42:00Z" w:initials="mm">
    <w:p w14:paraId="0D83FF46" w14:textId="77777777" w:rsidR="00D26D7D" w:rsidRDefault="00D26D7D" w:rsidP="00D26D7D">
      <w:r>
        <w:rPr>
          <w:rStyle w:val="CommentReference"/>
        </w:rPr>
        <w:annotationRef/>
      </w:r>
      <w:r>
        <w:rPr>
          <w:sz w:val="20"/>
          <w:szCs w:val="20"/>
        </w:rPr>
        <w:t>State the term first followed by period then the definition.</w:t>
      </w:r>
    </w:p>
  </w:comment>
  <w:comment w:id="10" w:author="marc muchnick" w:date="2026-08-24T09:33:00Z" w:initials="mm">
    <w:p w14:paraId="275A305A" w14:textId="77777777" w:rsidR="00D92E80" w:rsidRDefault="00D92E80" w:rsidP="00D92E80">
      <w:r>
        <w:rPr>
          <w:rStyle w:val="CommentReference"/>
        </w:rPr>
        <w:annotationRef/>
      </w:r>
      <w:r>
        <w:rPr>
          <w:sz w:val="20"/>
          <w:szCs w:val="20"/>
        </w:rPr>
        <w:t>same comment.</w:t>
      </w:r>
    </w:p>
  </w:comment>
  <w:comment w:id="11" w:author="marc muchnick" w:date="2026-08-24T09:37:00Z" w:initials="mm">
    <w:p w14:paraId="15BA223F" w14:textId="77777777" w:rsidR="006B06AF" w:rsidRDefault="006B06AF" w:rsidP="006B06AF">
      <w:r>
        <w:rPr>
          <w:rStyle w:val="CommentReference"/>
        </w:rPr>
        <w:annotationRef/>
      </w:r>
      <w:r>
        <w:rPr>
          <w:sz w:val="20"/>
          <w:szCs w:val="20"/>
        </w:rPr>
        <w:t>remove - duplicate of previous sentence</w:t>
      </w:r>
    </w:p>
  </w:comment>
  <w:comment w:id="12" w:author="marc muchnick" w:date="2026-08-02T12:45:00Z" w:initials="mm">
    <w:p w14:paraId="61305A72" w14:textId="77777777" w:rsidR="00D26D7D" w:rsidRDefault="00D26D7D" w:rsidP="00D26D7D">
      <w:r>
        <w:rPr>
          <w:rStyle w:val="CommentReference"/>
        </w:rPr>
        <w:annotationRef/>
      </w:r>
      <w:r>
        <w:rPr>
          <w:sz w:val="20"/>
          <w:szCs w:val="20"/>
        </w:rPr>
        <w:t>size of population with source?</w:t>
      </w:r>
    </w:p>
  </w:comment>
  <w:comment w:id="13" w:author="M W" w:date="2026-08-16T13:22:00Z" w:initials="MW">
    <w:p w14:paraId="5D84FEBE" w14:textId="77777777" w:rsidR="00BB1B22" w:rsidRDefault="00BB1B22" w:rsidP="00BB1B22">
      <w:r>
        <w:rPr>
          <w:rStyle w:val="CommentReference"/>
        </w:rPr>
        <w:annotationRef/>
      </w:r>
      <w:hyperlink r:id="rId1" w:history="1">
        <w:r w:rsidRPr="0085242F">
          <w:rPr>
            <w:rStyle w:val="Hyperlink"/>
            <w:sz w:val="20"/>
            <w:szCs w:val="20"/>
          </w:rPr>
          <w:t>https://doi.org/10.3846/jbem.2025.23519</w:t>
        </w:r>
      </w:hyperlink>
      <w:r>
        <w:rPr>
          <w:sz w:val="20"/>
          <w:szCs w:val="20"/>
        </w:rPr>
        <w:t xml:space="preserve"> </w:t>
      </w:r>
    </w:p>
  </w:comment>
  <w:comment w:id="14" w:author="M W" w:date="2026-08-16T14:39:00Z" w:initials="MW">
    <w:p w14:paraId="5955BA26" w14:textId="77777777" w:rsidR="00E320E4" w:rsidRDefault="00E320E4" w:rsidP="00E320E4">
      <w:r>
        <w:rPr>
          <w:rStyle w:val="CommentReference"/>
        </w:rPr>
        <w:annotationRef/>
      </w:r>
      <w:r>
        <w:rPr>
          <w:sz w:val="20"/>
          <w:szCs w:val="20"/>
        </w:rPr>
        <w:t xml:space="preserve">10-200, expansion maybe </w:t>
      </w:r>
    </w:p>
    <w:p w14:paraId="2EF8ADBB" w14:textId="77777777" w:rsidR="00E320E4" w:rsidRDefault="00E320E4" w:rsidP="00E320E4">
      <w:r>
        <w:rPr>
          <w:sz w:val="20"/>
          <w:szCs w:val="20"/>
        </w:rPr>
        <w:t>250</w:t>
      </w:r>
    </w:p>
  </w:comment>
  <w:comment w:id="15" w:author="marc muchnick" w:date="2026-08-24T09:38:00Z" w:initials="mm">
    <w:p w14:paraId="7195C665" w14:textId="77777777" w:rsidR="006B06AF" w:rsidRDefault="006B06AF" w:rsidP="006B06AF">
      <w:r>
        <w:rPr>
          <w:rStyle w:val="CommentReference"/>
        </w:rPr>
        <w:annotationRef/>
      </w:r>
      <w:r>
        <w:rPr>
          <w:sz w:val="20"/>
          <w:szCs w:val="20"/>
        </w:rPr>
        <w:t xml:space="preserve">same comment </w:t>
      </w:r>
    </w:p>
  </w:comment>
  <w:comment w:id="16" w:author="marc muchnick" w:date="2026-08-02T12:44:00Z" w:initials="mm">
    <w:p w14:paraId="170AA35B" w14:textId="77777777" w:rsidR="00D26D7D" w:rsidRDefault="00D26D7D" w:rsidP="00D26D7D">
      <w:r>
        <w:rPr>
          <w:rStyle w:val="CommentReference"/>
        </w:rPr>
        <w:annotationRef/>
      </w:r>
      <w:r>
        <w:rPr>
          <w:sz w:val="20"/>
          <w:szCs w:val="20"/>
        </w:rPr>
        <w:t>15</w:t>
      </w:r>
    </w:p>
  </w:comment>
  <w:comment w:id="17" w:author="M W" w:date="2026-08-16T14:10:00Z" w:initials="MW">
    <w:p w14:paraId="2BED59CC" w14:textId="77777777" w:rsidR="0043707D" w:rsidRDefault="0043707D" w:rsidP="0043707D">
      <w:r>
        <w:rPr>
          <w:rStyle w:val="CommentReference"/>
        </w:rPr>
        <w:annotationRef/>
      </w:r>
      <w:r>
        <w:rPr>
          <w:sz w:val="20"/>
          <w:szCs w:val="20"/>
        </w:rPr>
        <w:t xml:space="preserve"> Updated</w:t>
      </w:r>
    </w:p>
  </w:comment>
  <w:comment w:id="18" w:author="marc muchnick" w:date="2026-08-24T09:39:00Z" w:initials="mm">
    <w:p w14:paraId="1FD7C632" w14:textId="77777777" w:rsidR="006B06AF" w:rsidRDefault="006B06AF" w:rsidP="006B06AF">
      <w:r>
        <w:rPr>
          <w:rStyle w:val="CommentReference"/>
        </w:rPr>
        <w:annotationRef/>
      </w:r>
      <w:r>
        <w:rPr>
          <w:sz w:val="20"/>
          <w:szCs w:val="20"/>
        </w:rPr>
        <w:t>School now is requiring a specific number instead of range - 12 is fine. Please correct throughout document.</w:t>
      </w:r>
    </w:p>
  </w:comment>
  <w:comment w:id="19" w:author="marc muchnick" w:date="2026-08-02T12:47:00Z" w:initials="mm">
    <w:p w14:paraId="0E2988AB" w14:textId="77777777" w:rsidR="00D26D7D" w:rsidRDefault="00D26D7D" w:rsidP="00D26D7D">
      <w:r>
        <w:rPr>
          <w:rStyle w:val="CommentReference"/>
        </w:rPr>
        <w:annotationRef/>
      </w:r>
      <w:r>
        <w:rPr>
          <w:sz w:val="20"/>
          <w:szCs w:val="20"/>
        </w:rPr>
        <w:t>need to discuss theoretical framework and how it informs the project as well here.</w:t>
      </w:r>
    </w:p>
  </w:comment>
  <w:comment w:id="20" w:author="marc muchnick" w:date="2026-08-24T09:43:00Z" w:initials="mm">
    <w:p w14:paraId="188CFFC0" w14:textId="77777777" w:rsidR="00995D09" w:rsidRDefault="00995D09" w:rsidP="00995D09">
      <w:r>
        <w:rPr>
          <w:rStyle w:val="CommentReference"/>
        </w:rPr>
        <w:annotationRef/>
      </w:r>
      <w:r>
        <w:rPr>
          <w:sz w:val="20"/>
          <w:szCs w:val="20"/>
        </w:rPr>
        <w:t>In this section you need to discuss the interview guide development process, including discussion of SME panel review (and why) as well as mock interviews/pilot test (and why). You do not need to complete these activities as part of this course though it is necessary to discuss them as next steps. ***Also need to provide an interview question alignment matrix with four columns from left to right: RQ/interview questions (listed and numbered)/alignment to RQ (insert bullet re: how aligned)/alignment to theoretical framework (insert bullet re: how aligned - also state your theoretical framework). See Project Plan example in courseroom Announcements posted at the beginning of the term.</w:t>
      </w:r>
    </w:p>
    <w:p w14:paraId="4D6A2CA6" w14:textId="77777777" w:rsidR="00995D09" w:rsidRDefault="00995D09" w:rsidP="00995D09"/>
  </w:comment>
  <w:comment w:id="21" w:author="marc muchnick" w:date="2026-08-24T09:42:00Z" w:initials="mm">
    <w:p w14:paraId="3C4652ED" w14:textId="77777777" w:rsidR="00995D09" w:rsidRDefault="00995D09" w:rsidP="00995D09">
      <w:r>
        <w:rPr>
          <w:rStyle w:val="CommentReference"/>
        </w:rPr>
        <w:annotationRef/>
      </w:r>
      <w:r>
        <w:rPr>
          <w:sz w:val="20"/>
          <w:szCs w:val="20"/>
        </w:rPr>
        <w:t>spacing</w:t>
      </w:r>
    </w:p>
  </w:comment>
  <w:comment w:id="22" w:author="marc muchnick" w:date="2026-08-24T19:49:00Z" w:initials="mm">
    <w:p w14:paraId="15856D18" w14:textId="77777777" w:rsidR="00857AF4" w:rsidRDefault="00857AF4" w:rsidP="00857AF4">
      <w:r>
        <w:rPr>
          <w:rStyle w:val="CommentReference"/>
        </w:rPr>
        <w:annotationRef/>
      </w:r>
      <w:r>
        <w:rPr>
          <w:sz w:val="20"/>
          <w:szCs w:val="20"/>
        </w:rPr>
        <w:t>no - interviews only. Please fix throughout document.</w:t>
      </w:r>
    </w:p>
  </w:comment>
  <w:comment w:id="23" w:author="marc muchnick" w:date="2026-08-24T19:50:00Z" w:initials="mm">
    <w:p w14:paraId="1BAF040A" w14:textId="77777777" w:rsidR="00857AF4" w:rsidRDefault="00857AF4" w:rsidP="00857AF4">
      <w:r>
        <w:rPr>
          <w:rStyle w:val="CommentReference"/>
        </w:rPr>
        <w:annotationRef/>
      </w:r>
      <w:r>
        <w:rPr>
          <w:sz w:val="20"/>
          <w:szCs w:val="20"/>
        </w:rPr>
        <w:t>no - interviews only. Please fix throughout document.</w:t>
      </w:r>
    </w:p>
  </w:comment>
  <w:comment w:id="24" w:author="marc muchnick" w:date="2026-08-24T19:50:00Z" w:initials="mm">
    <w:p w14:paraId="489316E2" w14:textId="77777777" w:rsidR="00857AF4" w:rsidRDefault="00857AF4" w:rsidP="00857AF4">
      <w:r>
        <w:rPr>
          <w:rStyle w:val="CommentReference"/>
        </w:rPr>
        <w:annotationRef/>
      </w:r>
      <w:r>
        <w:rPr>
          <w:sz w:val="20"/>
          <w:szCs w:val="20"/>
        </w:rPr>
        <w:t>no - interviews only. Please fix throughout document.</w:t>
      </w:r>
    </w:p>
  </w:comment>
  <w:comment w:id="25" w:author="M W" w:date="2026-08-16T16:58:00Z" w:initials="MW">
    <w:p w14:paraId="35624094" w14:textId="77777777" w:rsidR="00DD2554" w:rsidRDefault="00DD2554" w:rsidP="00DD2554">
      <w:r>
        <w:rPr>
          <w:rStyle w:val="CommentReference"/>
        </w:rPr>
        <w:annotationRef/>
      </w:r>
      <w:r>
        <w:rPr>
          <w:rFonts w:ascii="Arial" w:hAnsi="Arial"/>
          <w:sz w:val="20"/>
          <w:szCs w:val="20"/>
        </w:rPr>
        <w:t xml:space="preserve"> </w:t>
      </w:r>
    </w:p>
  </w:comment>
  <w:comment w:id="26" w:author="marc muchnick" w:date="2026-08-24T09:44:00Z" w:initials="mm">
    <w:p w14:paraId="2E55BF15" w14:textId="77777777" w:rsidR="00995D09" w:rsidRDefault="00995D09" w:rsidP="00995D09">
      <w:r>
        <w:rPr>
          <w:rStyle w:val="CommentReference"/>
        </w:rPr>
        <w:annotationRef/>
      </w:r>
      <w:r>
        <w:rPr>
          <w:sz w:val="20"/>
          <w:szCs w:val="20"/>
        </w:rPr>
        <w:t>no - interviews only. Please fix throughout entire document.</w:t>
      </w:r>
    </w:p>
  </w:comment>
  <w:comment w:id="27" w:author="marc muchnick" w:date="2026-08-24T09:46:00Z" w:initials="mm">
    <w:p w14:paraId="4A57C133" w14:textId="77777777" w:rsidR="00E6017D" w:rsidRDefault="00E6017D" w:rsidP="00E6017D">
      <w:r>
        <w:rPr>
          <w:rStyle w:val="CommentReference"/>
        </w:rPr>
        <w:annotationRef/>
      </w:r>
      <w:r>
        <w:rPr>
          <w:sz w:val="20"/>
          <w:szCs w:val="20"/>
        </w:rPr>
        <w:t>credibility</w:t>
      </w:r>
    </w:p>
  </w:comment>
  <w:comment w:id="28" w:author="M W" w:date="2026-09-05T21:23:00Z" w:initials="MW">
    <w:p w14:paraId="1297950E" w14:textId="77777777" w:rsidR="00BF6248" w:rsidRDefault="00BF6248" w:rsidP="00BF6248">
      <w:r>
        <w:rPr>
          <w:rStyle w:val="CommentReference"/>
        </w:rPr>
        <w:annotationRef/>
      </w:r>
      <w:r>
        <w:rPr>
          <w:sz w:val="20"/>
          <w:szCs w:val="20"/>
        </w:rPr>
        <w:t>Edited word. Adjusted sentence structure. Some</w:t>
      </w:r>
    </w:p>
    <w:p w14:paraId="2C29717C" w14:textId="77777777" w:rsidR="00BF6248" w:rsidRDefault="00BF6248" w:rsidP="00BF6248"/>
  </w:comment>
  <w:comment w:id="29" w:author="M W" w:date="2026-09-06T00:38:00Z" w:initials="MW">
    <w:p w14:paraId="17110248" w14:textId="77777777" w:rsidR="00EB61EE" w:rsidRDefault="00EB61EE" w:rsidP="00EB61EE">
      <w:r>
        <w:rPr>
          <w:rStyle w:val="CommentReference"/>
        </w:rPr>
        <w:annotationRef/>
      </w:r>
      <w:r>
        <w:rPr>
          <w:sz w:val="20"/>
          <w:szCs w:val="20"/>
        </w:rPr>
        <w:t>edited</w:t>
      </w:r>
    </w:p>
    <w:p w14:paraId="02915409" w14:textId="77777777" w:rsidR="00EB61EE" w:rsidRDefault="00EB61EE" w:rsidP="00EB61EE"/>
    <w:p w14:paraId="3EF8E4C9" w14:textId="77777777" w:rsidR="00EB61EE" w:rsidRDefault="00EB61EE" w:rsidP="00EB61EE"/>
  </w:comment>
  <w:comment w:id="30" w:author="marc muchnick" w:date="2026-08-24T09:46:00Z" w:initials="mm">
    <w:p w14:paraId="738951A0" w14:textId="77777777" w:rsidR="00D06C0D" w:rsidRDefault="00D06C0D" w:rsidP="00D06C0D">
      <w:r>
        <w:rPr>
          <w:rStyle w:val="CommentReference"/>
        </w:rPr>
        <w:annotationRef/>
      </w:r>
      <w:r>
        <w:rPr>
          <w:sz w:val="20"/>
          <w:szCs w:val="20"/>
        </w:rPr>
        <w:t>also expert review and pilot test/mock interviews re: interview guide.</w:t>
      </w:r>
    </w:p>
  </w:comment>
  <w:comment w:id="31" w:author="marc muchnick" w:date="2026-08-24T09:47:00Z" w:initials="mm">
    <w:p w14:paraId="6A795FA6" w14:textId="77777777" w:rsidR="00D954B2" w:rsidRDefault="00D954B2" w:rsidP="00D954B2">
      <w:r>
        <w:rPr>
          <w:rStyle w:val="CommentReference"/>
        </w:rPr>
        <w:annotationRef/>
      </w:r>
      <w:r>
        <w:rPr>
          <w:sz w:val="20"/>
          <w:szCs w:val="20"/>
        </w:rPr>
        <w:t>audit</w:t>
      </w:r>
    </w:p>
  </w:comment>
  <w:comment w:id="32" w:author="marc muchnick" w:date="2026-08-24T09:47:00Z" w:initials="mm">
    <w:p w14:paraId="18044054" w14:textId="77777777" w:rsidR="006E44C2" w:rsidRDefault="006E44C2" w:rsidP="006E44C2">
      <w:r>
        <w:rPr>
          <w:rStyle w:val="CommentReference"/>
        </w:rPr>
        <w:annotationRef/>
      </w:r>
      <w:r>
        <w:rPr>
          <w:sz w:val="20"/>
          <w:szCs w:val="20"/>
        </w:rPr>
        <w:t>need to complete.</w:t>
      </w:r>
    </w:p>
  </w:comment>
  <w:comment w:id="33" w:author="M W" w:date="2026-09-05T15:11:00Z" w:initials="MW">
    <w:p w14:paraId="6A090A9E" w14:textId="77777777" w:rsidR="00B5783E" w:rsidRDefault="00B5783E" w:rsidP="00B5783E">
      <w:r>
        <w:rPr>
          <w:rStyle w:val="CommentReference"/>
        </w:rPr>
        <w:annotationRef/>
      </w:r>
      <w:r>
        <w:rPr>
          <w:sz w:val="20"/>
          <w:szCs w:val="20"/>
        </w:rPr>
        <w:t xml:space="preserve"> Completing for input</w:t>
      </w:r>
    </w:p>
    <w:p w14:paraId="1CD31172" w14:textId="77777777" w:rsidR="00B5783E" w:rsidRDefault="00B5783E" w:rsidP="00B5783E"/>
  </w:comment>
  <w:comment w:id="34" w:author="marc muchnick" w:date="2026-08-02T12:47:00Z" w:initials="mm">
    <w:p w14:paraId="6A6CBAD8" w14:textId="77777777" w:rsidR="00D26D7D" w:rsidRDefault="00D26D7D" w:rsidP="00D26D7D">
      <w:r>
        <w:rPr>
          <w:rStyle w:val="CommentReference"/>
        </w:rPr>
        <w:annotationRef/>
      </w:r>
      <w:r>
        <w:rPr>
          <w:sz w:val="20"/>
          <w:szCs w:val="20"/>
        </w:rPr>
        <w:t>need to carefully edit each reference for APA 7th format.</w:t>
      </w:r>
    </w:p>
  </w:comment>
  <w:comment w:id="35" w:author="marc muchnick" w:date="2026-08-24T09:48:00Z" w:initials="mm">
    <w:p w14:paraId="044CCCD0" w14:textId="77777777" w:rsidR="000C2D96" w:rsidRDefault="000C2D96" w:rsidP="000C2D96">
      <w:r>
        <w:rPr>
          <w:rStyle w:val="CommentReference"/>
        </w:rPr>
        <w:annotationRef/>
      </w:r>
      <w:r>
        <w:rPr>
          <w:sz w:val="20"/>
          <w:szCs w:val="20"/>
        </w:rPr>
        <w:t>same comment. Also all dois and URLs need to be hot-linked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6F96227" w15:done="0"/>
  <w15:commentEx w15:paraId="4E700B4D" w15:done="0"/>
  <w15:commentEx w15:paraId="1DE5A190" w15:paraIdParent="4E700B4D" w15:done="0"/>
  <w15:commentEx w15:paraId="3B6E7625" w15:done="0"/>
  <w15:commentEx w15:paraId="5DEE7F37" w15:paraIdParent="3B6E7625" w15:done="0"/>
  <w15:commentEx w15:paraId="40E07DFA" w15:done="0"/>
  <w15:commentEx w15:paraId="0E0DB0DC" w15:paraIdParent="40E07DFA" w15:done="0"/>
  <w15:commentEx w15:paraId="21E7C82E" w15:done="0"/>
  <w15:commentEx w15:paraId="72202B5A" w15:paraIdParent="21E7C82E" w15:done="0"/>
  <w15:commentEx w15:paraId="0D83FF46" w15:done="0"/>
  <w15:commentEx w15:paraId="275A305A" w15:paraIdParent="0D83FF46" w15:done="0"/>
  <w15:commentEx w15:paraId="15BA223F" w15:done="0"/>
  <w15:commentEx w15:paraId="61305A72" w15:done="0"/>
  <w15:commentEx w15:paraId="5D84FEBE" w15:paraIdParent="61305A72" w15:done="0"/>
  <w15:commentEx w15:paraId="2EF8ADBB" w15:paraIdParent="61305A72" w15:done="0"/>
  <w15:commentEx w15:paraId="7195C665" w15:paraIdParent="61305A72" w15:done="0"/>
  <w15:commentEx w15:paraId="170AA35B" w15:done="0"/>
  <w15:commentEx w15:paraId="2BED59CC" w15:paraIdParent="170AA35B" w15:done="0"/>
  <w15:commentEx w15:paraId="1FD7C632" w15:paraIdParent="170AA35B" w15:done="0"/>
  <w15:commentEx w15:paraId="0E2988AB" w15:done="0"/>
  <w15:commentEx w15:paraId="4D6A2CA6" w15:done="0"/>
  <w15:commentEx w15:paraId="3C4652ED" w15:done="0"/>
  <w15:commentEx w15:paraId="15856D18" w15:done="0"/>
  <w15:commentEx w15:paraId="1BAF040A" w15:done="0"/>
  <w15:commentEx w15:paraId="489316E2" w15:done="0"/>
  <w15:commentEx w15:paraId="35624094" w15:done="0"/>
  <w15:commentEx w15:paraId="2E55BF15" w15:done="0"/>
  <w15:commentEx w15:paraId="4A57C133" w15:done="0"/>
  <w15:commentEx w15:paraId="2C29717C" w15:paraIdParent="4A57C133" w15:done="0"/>
  <w15:commentEx w15:paraId="3EF8E4C9" w15:paraIdParent="4A57C133" w15:done="0"/>
  <w15:commentEx w15:paraId="738951A0" w15:done="0"/>
  <w15:commentEx w15:paraId="6A795FA6" w15:done="0"/>
  <w15:commentEx w15:paraId="18044054" w15:done="0"/>
  <w15:commentEx w15:paraId="1CD31172" w15:paraIdParent="18044054" w15:done="0"/>
  <w15:commentEx w15:paraId="6A6CBAD8" w15:done="0"/>
  <w15:commentEx w15:paraId="044CCCD0" w15:paraIdParent="6A6CBA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F8DCE1E" w16cex:dateUtc="2026-08-24T10:07:00Z"/>
  <w16cex:commentExtensible w16cex:durableId="430F2628" w16cex:dateUtc="2026-08-24T16:31:00Z"/>
  <w16cex:commentExtensible w16cex:durableId="615E500B" w16cex:dateUtc="2026-08-24T16:31:00Z"/>
  <w16cex:commentExtensible w16cex:durableId="6F2D0A26" w16cex:dateUtc="2026-08-24T16:31:00Z"/>
  <w16cex:commentExtensible w16cex:durableId="4A31FBFA" w16cex:dateUtc="2026-08-16T15:37:00Z">
    <w16cex:extLst>
      <w16:ext w16:uri="{CE6994B0-6A32-4C9F-8C6B-6E91EDA988CE}">
        <cr:reactions xmlns:cr="http://schemas.microsoft.com/office/comments/2020/reactions">
          <cr:reaction reactionType="1">
            <cr:reactionInfo dateUtc="2026-08-16T18:36:38Z">
              <cr:user userId="2fb1296a58c1b1e7" userProvider="Windows Live" userName="M W"/>
            </cr:reactionInfo>
          </cr:reaction>
        </cr:reactions>
      </w16:ext>
    </w16cex:extLst>
  </w16cex:commentExtensible>
  <w16cex:commentExtensible w16cex:durableId="4491CEFD" w16cex:dateUtc="2026-08-16T18:37:00Z"/>
  <w16cex:commentExtensible w16cex:durableId="4C8153D9">
    <w16cex:extLst>
      <w16:ext w16:uri="{CE6994B0-6A32-4C9F-8C6B-6E91EDA988CE}">
        <cr:reactions xmlns:cr="http://schemas.microsoft.com/office/comments/2020/reactions">
          <cr:reaction reactionType="1">
            <cr:reactionInfo dateUtc="2026-08-16T15:33:47Z">
              <cr:user userId="2fb1296a58c1b1e7" userProvider="Windows Live" userName="M W"/>
            </cr:reactionInfo>
          </cr:reaction>
        </cr:reactions>
      </w16:ext>
    </w16cex:extLst>
  </w16cex:commentExtensible>
  <w16cex:commentExtensible w16cex:durableId="09F873E7" w16cex:dateUtc="2026-08-24T16:33:00Z"/>
  <w16cex:commentExtensible w16cex:durableId="2B64F96A" w16cex:dateUtc="2026-08-24T16:37:00Z"/>
  <w16cex:commentExtensible w16cex:durableId="27CE8253">
    <w16cex:extLst>
      <w16:ext w16:uri="{CE6994B0-6A32-4C9F-8C6B-6E91EDA988CE}">
        <cr:reactions xmlns:cr="http://schemas.microsoft.com/office/comments/2020/reactions">
          <cr:reaction reactionType="1">
            <cr:reactionInfo dateUtc="2026-08-16T17:20:25Z">
              <cr:user userId="2fb1296a58c1b1e7" userProvider="Windows Live" userName="M W"/>
            </cr:reactionInfo>
          </cr:reaction>
        </cr:reactions>
      </w16:ext>
    </w16cex:extLst>
  </w16cex:commentExtensible>
  <w16cex:commentExtensible w16cex:durableId="2A685004" w16cex:dateUtc="2026-08-16T17:22:00Z"/>
  <w16cex:commentExtensible w16cex:durableId="3C0D512A" w16cex:dateUtc="2026-08-16T18:39:00Z"/>
  <w16cex:commentExtensible w16cex:durableId="296D3DF3" w16cex:dateUtc="2026-08-24T16:38:00Z"/>
  <w16cex:commentExtensible w16cex:durableId="375DAC8C">
    <w16cex:extLst>
      <w16:ext w16:uri="{CE6994B0-6A32-4C9F-8C6B-6E91EDA988CE}">
        <cr:reactions xmlns:cr="http://schemas.microsoft.com/office/comments/2020/reactions">
          <cr:reaction reactionType="1">
            <cr:reactionInfo dateUtc="2026-08-16T15:57:19Z">
              <cr:user userId="2fb1296a58c1b1e7" userProvider="Windows Live" userName="M W"/>
            </cr:reactionInfo>
          </cr:reaction>
        </cr:reactions>
      </w16:ext>
    </w16cex:extLst>
  </w16cex:commentExtensible>
  <w16cex:commentExtensible w16cex:durableId="72A1CFA4" w16cex:dateUtc="2026-08-16T18:10:00Z"/>
  <w16cex:commentExtensible w16cex:durableId="63CA1A9E" w16cex:dateUtc="2026-08-24T16:39:00Z"/>
  <w16cex:commentExtensible w16cex:durableId="2658D108" w16cex:dateUtc="2026-08-24T16:43:00Z"/>
  <w16cex:commentExtensible w16cex:durableId="2D8FF603" w16cex:dateUtc="2026-08-24T16:42:00Z"/>
  <w16cex:commentExtensible w16cex:durableId="28B0ECB8" w16cex:dateUtc="2026-08-25T02:49:00Z"/>
  <w16cex:commentExtensible w16cex:durableId="4433C56E" w16cex:dateUtc="2026-08-25T02:50:00Z"/>
  <w16cex:commentExtensible w16cex:durableId="2FD27B32" w16cex:dateUtc="2026-08-25T02:50:00Z"/>
  <w16cex:commentExtensible w16cex:durableId="5FF7F70A" w16cex:dateUtc="2026-08-16T20:58:00Z"/>
  <w16cex:commentExtensible w16cex:durableId="166E9BB9" w16cex:dateUtc="2026-08-24T16:44:00Z"/>
  <w16cex:commentExtensible w16cex:durableId="2FF9D67B" w16cex:dateUtc="2026-08-24T16:46:00Z">
    <w16cex:extLst>
      <w16:ext w16:uri="{CE6994B0-6A32-4C9F-8C6B-6E91EDA988CE}">
        <cr:reactions xmlns:cr="http://schemas.microsoft.com/office/comments/2020/reactions">
          <cr:reaction reactionType="1">
            <cr:reactionInfo dateUtc="2026-09-06T04:37:56Z">
              <cr:user userId="2fb1296a58c1b1e7" userProvider="Windows Live" userName="M W"/>
            </cr:reactionInfo>
          </cr:reaction>
        </cr:reactions>
      </w16:ext>
    </w16cex:extLst>
  </w16cex:commentExtensible>
  <w16cex:commentExtensible w16cex:durableId="40CB7220" w16cex:dateUtc="2026-09-06T01:23:00Z"/>
  <w16cex:commentExtensible w16cex:durableId="15C190A0" w16cex:dateUtc="2026-09-06T04:38:00Z"/>
  <w16cex:commentExtensible w16cex:durableId="25256DC5" w16cex:dateUtc="2026-08-24T16:46:00Z"/>
  <w16cex:commentExtensible w16cex:durableId="142DC138" w16cex:dateUtc="2026-08-24T16:47:00Z"/>
  <w16cex:commentExtensible w16cex:durableId="13F06A5A" w16cex:dateUtc="2026-08-24T16:47:00Z">
    <w16cex:extLst>
      <w16:ext w16:uri="{CE6994B0-6A32-4C9F-8C6B-6E91EDA988CE}">
        <cr:reactions xmlns:cr="http://schemas.microsoft.com/office/comments/2020/reactions">
          <cr:reaction reactionType="1">
            <cr:reactionInfo dateUtc="2026-09-05T19:11:46Z">
              <cr:user userId="2fb1296a58c1b1e7" userProvider="Windows Live" userName="M W"/>
            </cr:reactionInfo>
          </cr:reaction>
        </cr:reactions>
      </w16:ext>
    </w16cex:extLst>
  </w16cex:commentExtensible>
  <w16cex:commentExtensible w16cex:durableId="7A33B66F" w16cex:dateUtc="2026-09-05T19:11:00Z"/>
  <w16cex:commentExtensible w16cex:durableId="1065F867" w16cex:dateUtc="2026-08-24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6F96227" w16cid:durableId="3F8DCE1E"/>
  <w16cid:commentId w16cid:paraId="4E700B4D" w16cid:durableId="256BD7DA"/>
  <w16cid:commentId w16cid:paraId="1DE5A190" w16cid:durableId="430F2628"/>
  <w16cid:commentId w16cid:paraId="3B6E7625" w16cid:durableId="570605D8"/>
  <w16cid:commentId w16cid:paraId="5DEE7F37" w16cid:durableId="615E500B"/>
  <w16cid:commentId w16cid:paraId="40E07DFA" w16cid:durableId="03B98072"/>
  <w16cid:commentId w16cid:paraId="0E0DB0DC" w16cid:durableId="6F2D0A26"/>
  <w16cid:commentId w16cid:paraId="21E7C82E" w16cid:durableId="4A31FBFA"/>
  <w16cid:commentId w16cid:paraId="72202B5A" w16cid:durableId="4491CEFD"/>
  <w16cid:commentId w16cid:paraId="0D83FF46" w16cid:durableId="4C8153D9"/>
  <w16cid:commentId w16cid:paraId="275A305A" w16cid:durableId="09F873E7"/>
  <w16cid:commentId w16cid:paraId="15BA223F" w16cid:durableId="2B64F96A"/>
  <w16cid:commentId w16cid:paraId="61305A72" w16cid:durableId="27CE8253"/>
  <w16cid:commentId w16cid:paraId="5D84FEBE" w16cid:durableId="2A685004"/>
  <w16cid:commentId w16cid:paraId="2EF8ADBB" w16cid:durableId="3C0D512A"/>
  <w16cid:commentId w16cid:paraId="7195C665" w16cid:durableId="296D3DF3"/>
  <w16cid:commentId w16cid:paraId="170AA35B" w16cid:durableId="375DAC8C"/>
  <w16cid:commentId w16cid:paraId="2BED59CC" w16cid:durableId="72A1CFA4"/>
  <w16cid:commentId w16cid:paraId="1FD7C632" w16cid:durableId="63CA1A9E"/>
  <w16cid:commentId w16cid:paraId="0E2988AB" w16cid:durableId="4A3DF833"/>
  <w16cid:commentId w16cid:paraId="4D6A2CA6" w16cid:durableId="2658D108"/>
  <w16cid:commentId w16cid:paraId="3C4652ED" w16cid:durableId="2D8FF603"/>
  <w16cid:commentId w16cid:paraId="15856D18" w16cid:durableId="28B0ECB8"/>
  <w16cid:commentId w16cid:paraId="1BAF040A" w16cid:durableId="4433C56E"/>
  <w16cid:commentId w16cid:paraId="489316E2" w16cid:durableId="2FD27B32"/>
  <w16cid:commentId w16cid:paraId="35624094" w16cid:durableId="5FF7F70A"/>
  <w16cid:commentId w16cid:paraId="2E55BF15" w16cid:durableId="166E9BB9"/>
  <w16cid:commentId w16cid:paraId="4A57C133" w16cid:durableId="2FF9D67B"/>
  <w16cid:commentId w16cid:paraId="2C29717C" w16cid:durableId="40CB7220"/>
  <w16cid:commentId w16cid:paraId="3EF8E4C9" w16cid:durableId="15C190A0"/>
  <w16cid:commentId w16cid:paraId="738951A0" w16cid:durableId="25256DC5"/>
  <w16cid:commentId w16cid:paraId="6A795FA6" w16cid:durableId="142DC138"/>
  <w16cid:commentId w16cid:paraId="18044054" w16cid:durableId="13F06A5A"/>
  <w16cid:commentId w16cid:paraId="1CD31172" w16cid:durableId="7A33B66F"/>
  <w16cid:commentId w16cid:paraId="6A6CBAD8" w16cid:durableId="2BE3F3EA"/>
  <w16cid:commentId w16cid:paraId="044CCCD0" w16cid:durableId="1065F8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FF8E17" w14:textId="77777777" w:rsidR="00990491" w:rsidRDefault="00990491">
      <w:r>
        <w:separator/>
      </w:r>
    </w:p>
  </w:endnote>
  <w:endnote w:type="continuationSeparator" w:id="0">
    <w:p w14:paraId="5B946595" w14:textId="77777777" w:rsidR="00990491" w:rsidRDefault="00990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195EA3" w14:textId="77777777" w:rsidR="000C5620" w:rsidRDefault="000C56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EA32F3" w14:textId="77777777" w:rsidR="0019353A" w:rsidRPr="009E5038" w:rsidRDefault="0019353A" w:rsidP="0019353A">
    <w:pPr>
      <w:pStyle w:val="Footer"/>
      <w:pBdr>
        <w:top w:val="single" w:sz="12" w:space="3" w:color="808080"/>
      </w:pBdr>
      <w:tabs>
        <w:tab w:val="clear" w:pos="4320"/>
        <w:tab w:val="clear" w:pos="8640"/>
        <w:tab w:val="right" w:pos="9360"/>
      </w:tabs>
      <w:jc w:val="right"/>
    </w:pPr>
    <w:r w:rsidRPr="009E5038">
      <w:rPr>
        <w:rStyle w:val="PageNumber"/>
      </w:rPr>
      <w:fldChar w:fldCharType="begin"/>
    </w:r>
    <w:r w:rsidRPr="009E5038">
      <w:rPr>
        <w:rStyle w:val="PageNumber"/>
      </w:rPr>
      <w:instrText xml:space="preserve"> PAGE </w:instrText>
    </w:r>
    <w:r w:rsidRPr="009E5038">
      <w:rPr>
        <w:rStyle w:val="PageNumber"/>
      </w:rPr>
      <w:fldChar w:fldCharType="separate"/>
    </w:r>
    <w:r w:rsidR="008615C3">
      <w:rPr>
        <w:rStyle w:val="PageNumber"/>
        <w:noProof/>
      </w:rPr>
      <w:t>2</w:t>
    </w:r>
    <w:r w:rsidRPr="009E5038">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18A2B2" w14:textId="77777777" w:rsidR="0019353A" w:rsidRPr="009E5038" w:rsidRDefault="0019353A" w:rsidP="0019353A">
    <w:pPr>
      <w:pStyle w:val="Footer"/>
      <w:pBdr>
        <w:top w:val="single" w:sz="12" w:space="3" w:color="808080"/>
      </w:pBdr>
      <w:tabs>
        <w:tab w:val="clear" w:pos="4320"/>
        <w:tab w:val="clear" w:pos="8640"/>
        <w:tab w:val="right" w:pos="9360"/>
      </w:tabs>
      <w:jc w:val="right"/>
    </w:pPr>
    <w:r w:rsidRPr="009E5038">
      <w:rPr>
        <w:rStyle w:val="PageNumber"/>
      </w:rPr>
      <w:fldChar w:fldCharType="begin"/>
    </w:r>
    <w:r w:rsidRPr="009E5038">
      <w:rPr>
        <w:rStyle w:val="PageNumber"/>
      </w:rPr>
      <w:instrText xml:space="preserve"> PAGE </w:instrText>
    </w:r>
    <w:r w:rsidRPr="009E5038">
      <w:rPr>
        <w:rStyle w:val="PageNumber"/>
      </w:rPr>
      <w:fldChar w:fldCharType="separate"/>
    </w:r>
    <w:r w:rsidR="00927979">
      <w:rPr>
        <w:rStyle w:val="PageNumber"/>
        <w:noProof/>
      </w:rPr>
      <w:t>1</w:t>
    </w:r>
    <w:r w:rsidRPr="009E5038">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F57AB6" w14:textId="77777777" w:rsidR="00990491" w:rsidRDefault="00990491">
      <w:r>
        <w:separator/>
      </w:r>
    </w:p>
  </w:footnote>
  <w:footnote w:type="continuationSeparator" w:id="0">
    <w:p w14:paraId="1CA5A235" w14:textId="77777777" w:rsidR="00990491" w:rsidRDefault="009904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2508FE" w14:textId="2834C027" w:rsidR="000C5620" w:rsidRDefault="000C56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8965CC" w14:textId="0ABC68DF" w:rsidR="0019353A" w:rsidRDefault="00D737F0" w:rsidP="0019353A">
    <w:pPr>
      <w:pStyle w:val="Header"/>
      <w:pBdr>
        <w:bottom w:val="single" w:sz="12" w:space="3" w:color="808080"/>
      </w:pBdr>
      <w:tabs>
        <w:tab w:val="clear" w:pos="4320"/>
        <w:tab w:val="clear" w:pos="8640"/>
        <w:tab w:val="right" w:pos="9360"/>
      </w:tabs>
    </w:pPr>
    <w:r w:rsidRPr="00ED3889">
      <w:rPr>
        <w:b/>
        <w:noProof/>
      </w:rPr>
      <w:drawing>
        <wp:inline distT="0" distB="0" distL="0" distR="0" wp14:anchorId="08222436" wp14:editId="20D3D295">
          <wp:extent cx="1854200" cy="393700"/>
          <wp:effectExtent l="0" t="0" r="0" b="0"/>
          <wp:docPr id="1" name="Picture 3" descr="A picture containing text, sign, dark&#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A picture containing text, sign, dark&#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4200" cy="393700"/>
                  </a:xfrm>
                  <a:prstGeom prst="rect">
                    <a:avLst/>
                  </a:prstGeom>
                  <a:noFill/>
                  <a:ln>
                    <a:noFill/>
                  </a:ln>
                </pic:spPr>
              </pic:pic>
            </a:graphicData>
          </a:graphic>
        </wp:inline>
      </w:drawing>
    </w:r>
    <w:r w:rsidR="0019353A">
      <w:tab/>
    </w:r>
    <w:r w:rsidR="00F02D49">
      <w:rPr>
        <w:rStyle w:val="Heading1Char"/>
      </w:rPr>
      <w:t>Project</w:t>
    </w:r>
    <w:r w:rsidR="00F02D49" w:rsidRPr="00F32887">
      <w:rPr>
        <w:rStyle w:val="Heading1Char"/>
      </w:rPr>
      <w:t xml:space="preserve"> </w:t>
    </w:r>
    <w:r w:rsidR="00F32887" w:rsidRPr="00F32887">
      <w:rPr>
        <w:rStyle w:val="Heading1Char"/>
      </w:rPr>
      <w:t>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3D073D" w14:textId="79074D7D" w:rsidR="00B900D2" w:rsidRDefault="00D737F0" w:rsidP="00464746">
    <w:pPr>
      <w:pStyle w:val="Heading1"/>
    </w:pPr>
    <w:r w:rsidRPr="00ED3889">
      <w:rPr>
        <w:rFonts w:ascii="Times New Roman" w:hAnsi="Times New Roman"/>
        <w:b w:val="0"/>
        <w:noProof/>
      </w:rPr>
      <w:drawing>
        <wp:inline distT="0" distB="0" distL="0" distR="0" wp14:anchorId="794262FC" wp14:editId="02DC5AFB">
          <wp:extent cx="1854200" cy="393700"/>
          <wp:effectExtent l="0" t="0" r="0" b="0"/>
          <wp:docPr id="2" name="Picture 3" descr="A picture containing text, sign, dark&#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A picture containing text, sign, dark&#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4200" cy="393700"/>
                  </a:xfrm>
                  <a:prstGeom prst="rect">
                    <a:avLst/>
                  </a:prstGeom>
                  <a:noFill/>
                  <a:ln>
                    <a:noFill/>
                  </a:ln>
                </pic:spPr>
              </pic:pic>
            </a:graphicData>
          </a:graphic>
        </wp:inline>
      </w:drawing>
    </w:r>
    <w:r w:rsidR="00B900D2">
      <w:rPr>
        <w:noProof/>
      </w:rPr>
      <w:t xml:space="preserve">                                      </w:t>
    </w:r>
    <w:r w:rsidR="00F02D49">
      <w:rPr>
        <w:noProof/>
      </w:rPr>
      <w:t xml:space="preserve">     </w:t>
    </w:r>
    <w:r w:rsidR="00F02D49">
      <w:t>Project</w:t>
    </w:r>
    <w:r w:rsidR="00B900D2">
      <w:t xml:space="preserve"> Plan</w:t>
    </w:r>
  </w:p>
  <w:p w14:paraId="624B5718" w14:textId="77777777" w:rsidR="0019353A" w:rsidRDefault="0019353A" w:rsidP="0019353A">
    <w:pPr>
      <w:pStyle w:val="Header"/>
      <w:pBdr>
        <w:bottom w:val="single" w:sz="12" w:space="3" w:color="808080"/>
      </w:pBdr>
      <w:tabs>
        <w:tab w:val="clear" w:pos="4320"/>
        <w:tab w:val="clear" w:pos="8640"/>
        <w:tab w:val="right" w:pos="93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7329FE"/>
    <w:multiLevelType w:val="multilevel"/>
    <w:tmpl w:val="56821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27E2C"/>
    <w:multiLevelType w:val="hybridMultilevel"/>
    <w:tmpl w:val="6CC42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A06DC8"/>
    <w:multiLevelType w:val="multilevel"/>
    <w:tmpl w:val="C034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715C6"/>
    <w:multiLevelType w:val="hybridMultilevel"/>
    <w:tmpl w:val="FB44E2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B962A9"/>
    <w:multiLevelType w:val="hybridMultilevel"/>
    <w:tmpl w:val="511CF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472177"/>
    <w:multiLevelType w:val="hybridMultilevel"/>
    <w:tmpl w:val="F59E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F93F3A"/>
    <w:multiLevelType w:val="multilevel"/>
    <w:tmpl w:val="194E3E12"/>
    <w:lvl w:ilvl="0">
      <w:start w:val="1"/>
      <w:numFmt w:val="bullet"/>
      <w:pStyle w:val="stylebulleted"/>
      <w:lvlText w:val=""/>
      <w:lvlJc w:val="left"/>
      <w:pPr>
        <w:tabs>
          <w:tab w:val="num" w:pos="360"/>
        </w:tabs>
        <w:ind w:left="360" w:hanging="360"/>
      </w:pPr>
      <w:rPr>
        <w:rFonts w:ascii="Symbol" w:hAnsi="Symbol" w:hint="default"/>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73E84A9A"/>
    <w:multiLevelType w:val="hybridMultilevel"/>
    <w:tmpl w:val="7C123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1F264A"/>
    <w:multiLevelType w:val="multilevel"/>
    <w:tmpl w:val="7B96BC6A"/>
    <w:lvl w:ilvl="0">
      <w:start w:val="1"/>
      <w:numFmt w:val="decimal"/>
      <w:pStyle w:val="stylenumbered"/>
      <w:lvlText w:val="%1."/>
      <w:lvlJc w:val="left"/>
      <w:pPr>
        <w:tabs>
          <w:tab w:val="num" w:pos="720"/>
        </w:tabs>
        <w:ind w:left="720" w:hanging="360"/>
      </w:pPr>
      <w:rPr>
        <w:rFonts w:ascii="Arial" w:hAnsi="Arial" w:hint="default"/>
        <w:b w:val="0"/>
        <w:i w:val="0"/>
        <w:color w:val="auto"/>
        <w:sz w:val="22"/>
        <w:szCs w:val="20"/>
        <w:u w:val="none"/>
      </w:rPr>
    </w:lvl>
    <w:lvl w:ilvl="1">
      <w:start w:val="1"/>
      <w:numFmt w:val="bullet"/>
      <w:lvlText w:val=""/>
      <w:lvlJc w:val="left"/>
      <w:pPr>
        <w:tabs>
          <w:tab w:val="num" w:pos="1440"/>
        </w:tabs>
        <w:ind w:left="1440" w:hanging="360"/>
      </w:pPr>
      <w:rPr>
        <w:rFonts w:ascii="Symbol" w:hAnsi="Symbol"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5C5FD7"/>
    <w:multiLevelType w:val="hybridMultilevel"/>
    <w:tmpl w:val="2D384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925930">
    <w:abstractNumId w:val="6"/>
  </w:num>
  <w:num w:numId="2" w16cid:durableId="2022781730">
    <w:abstractNumId w:val="8"/>
  </w:num>
  <w:num w:numId="3" w16cid:durableId="1337074381">
    <w:abstractNumId w:val="7"/>
  </w:num>
  <w:num w:numId="4" w16cid:durableId="1026835310">
    <w:abstractNumId w:val="4"/>
  </w:num>
  <w:num w:numId="5" w16cid:durableId="249194543">
    <w:abstractNumId w:val="1"/>
  </w:num>
  <w:num w:numId="6" w16cid:durableId="429282892">
    <w:abstractNumId w:val="3"/>
  </w:num>
  <w:num w:numId="7" w16cid:durableId="1963918542">
    <w:abstractNumId w:val="9"/>
  </w:num>
  <w:num w:numId="8" w16cid:durableId="232928999">
    <w:abstractNumId w:val="5"/>
  </w:num>
  <w:num w:numId="9" w16cid:durableId="1794668582">
    <w:abstractNumId w:val="0"/>
  </w:num>
  <w:num w:numId="10" w16cid:durableId="118412594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c muchnick">
    <w15:presenceInfo w15:providerId="Windows Live" w15:userId="68cdca564bc9674f"/>
  </w15:person>
  <w15:person w15:author="M W">
    <w15:presenceInfo w15:providerId="Windows Live" w15:userId="2fb1296a58c1b1e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2NTQyMjA2MzEzMTJX0lEKTi0uzszPAykwrAUAFqFPwiwAAAA="/>
  </w:docVars>
  <w:rsids>
    <w:rsidRoot w:val="005B7B81"/>
    <w:rsid w:val="000209A9"/>
    <w:rsid w:val="00060C75"/>
    <w:rsid w:val="00064448"/>
    <w:rsid w:val="00085A33"/>
    <w:rsid w:val="00085F93"/>
    <w:rsid w:val="000A2B25"/>
    <w:rsid w:val="000A2C67"/>
    <w:rsid w:val="000B1F9D"/>
    <w:rsid w:val="000C2D96"/>
    <w:rsid w:val="000C5620"/>
    <w:rsid w:val="000E7013"/>
    <w:rsid w:val="00106231"/>
    <w:rsid w:val="001111D1"/>
    <w:rsid w:val="001130DB"/>
    <w:rsid w:val="001175F6"/>
    <w:rsid w:val="0012191E"/>
    <w:rsid w:val="00123D5B"/>
    <w:rsid w:val="00144EF4"/>
    <w:rsid w:val="00145206"/>
    <w:rsid w:val="00152735"/>
    <w:rsid w:val="00166839"/>
    <w:rsid w:val="00170830"/>
    <w:rsid w:val="00175626"/>
    <w:rsid w:val="00181DB1"/>
    <w:rsid w:val="00191F09"/>
    <w:rsid w:val="0019353A"/>
    <w:rsid w:val="0019525A"/>
    <w:rsid w:val="001A31D2"/>
    <w:rsid w:val="001A4177"/>
    <w:rsid w:val="001B1529"/>
    <w:rsid w:val="001E5A84"/>
    <w:rsid w:val="00202E6F"/>
    <w:rsid w:val="00215499"/>
    <w:rsid w:val="0022491A"/>
    <w:rsid w:val="00227E79"/>
    <w:rsid w:val="00230539"/>
    <w:rsid w:val="00242852"/>
    <w:rsid w:val="00247AE5"/>
    <w:rsid w:val="002601E0"/>
    <w:rsid w:val="00270594"/>
    <w:rsid w:val="0028214A"/>
    <w:rsid w:val="002874EC"/>
    <w:rsid w:val="00295F7A"/>
    <w:rsid w:val="002B3EC0"/>
    <w:rsid w:val="002B3FBC"/>
    <w:rsid w:val="002B52AA"/>
    <w:rsid w:val="002B77EC"/>
    <w:rsid w:val="002E6F1C"/>
    <w:rsid w:val="002F5D66"/>
    <w:rsid w:val="003106F6"/>
    <w:rsid w:val="00320DC6"/>
    <w:rsid w:val="003231E4"/>
    <w:rsid w:val="00331E2D"/>
    <w:rsid w:val="00382E77"/>
    <w:rsid w:val="00392604"/>
    <w:rsid w:val="003957AE"/>
    <w:rsid w:val="003B1FA2"/>
    <w:rsid w:val="003B6396"/>
    <w:rsid w:val="003E4931"/>
    <w:rsid w:val="003F55BF"/>
    <w:rsid w:val="00402F5A"/>
    <w:rsid w:val="004054AE"/>
    <w:rsid w:val="0040634F"/>
    <w:rsid w:val="00410301"/>
    <w:rsid w:val="0043707D"/>
    <w:rsid w:val="00437946"/>
    <w:rsid w:val="00442481"/>
    <w:rsid w:val="00464746"/>
    <w:rsid w:val="004664CF"/>
    <w:rsid w:val="00480DEB"/>
    <w:rsid w:val="00482DF4"/>
    <w:rsid w:val="004A7103"/>
    <w:rsid w:val="004B2AB4"/>
    <w:rsid w:val="004B3856"/>
    <w:rsid w:val="004C1DED"/>
    <w:rsid w:val="004E5957"/>
    <w:rsid w:val="004F1821"/>
    <w:rsid w:val="004F4A7B"/>
    <w:rsid w:val="004F74AF"/>
    <w:rsid w:val="00524F64"/>
    <w:rsid w:val="005328E8"/>
    <w:rsid w:val="00536967"/>
    <w:rsid w:val="00537FD4"/>
    <w:rsid w:val="00567231"/>
    <w:rsid w:val="00570A44"/>
    <w:rsid w:val="00595C3E"/>
    <w:rsid w:val="005B40D6"/>
    <w:rsid w:val="005B46DA"/>
    <w:rsid w:val="005B7B81"/>
    <w:rsid w:val="005C07EF"/>
    <w:rsid w:val="005E0D91"/>
    <w:rsid w:val="005E7687"/>
    <w:rsid w:val="00607A61"/>
    <w:rsid w:val="006106AF"/>
    <w:rsid w:val="00640AA3"/>
    <w:rsid w:val="00666326"/>
    <w:rsid w:val="0067617E"/>
    <w:rsid w:val="00687642"/>
    <w:rsid w:val="00695D92"/>
    <w:rsid w:val="00697B29"/>
    <w:rsid w:val="006B06AF"/>
    <w:rsid w:val="006C0B44"/>
    <w:rsid w:val="006C70C5"/>
    <w:rsid w:val="006E0E3F"/>
    <w:rsid w:val="006E44C2"/>
    <w:rsid w:val="00705317"/>
    <w:rsid w:val="00720AE5"/>
    <w:rsid w:val="00720EFC"/>
    <w:rsid w:val="00734905"/>
    <w:rsid w:val="0073689A"/>
    <w:rsid w:val="0073745A"/>
    <w:rsid w:val="0078284A"/>
    <w:rsid w:val="007868DE"/>
    <w:rsid w:val="00791F76"/>
    <w:rsid w:val="007A693C"/>
    <w:rsid w:val="007B1460"/>
    <w:rsid w:val="007C0764"/>
    <w:rsid w:val="007C27F5"/>
    <w:rsid w:val="007C6C25"/>
    <w:rsid w:val="007D1DA6"/>
    <w:rsid w:val="00825B29"/>
    <w:rsid w:val="008529C6"/>
    <w:rsid w:val="00857AF4"/>
    <w:rsid w:val="00861114"/>
    <w:rsid w:val="008615C3"/>
    <w:rsid w:val="008808E5"/>
    <w:rsid w:val="0089165D"/>
    <w:rsid w:val="00891FB6"/>
    <w:rsid w:val="008965F6"/>
    <w:rsid w:val="008C1B5E"/>
    <w:rsid w:val="008E793E"/>
    <w:rsid w:val="00927979"/>
    <w:rsid w:val="0094178A"/>
    <w:rsid w:val="00954DD7"/>
    <w:rsid w:val="0097416C"/>
    <w:rsid w:val="0097450F"/>
    <w:rsid w:val="00974A23"/>
    <w:rsid w:val="00982976"/>
    <w:rsid w:val="00990491"/>
    <w:rsid w:val="00990CE5"/>
    <w:rsid w:val="00995D09"/>
    <w:rsid w:val="00996595"/>
    <w:rsid w:val="009A08F8"/>
    <w:rsid w:val="009E0769"/>
    <w:rsid w:val="009E40DF"/>
    <w:rsid w:val="009E65FA"/>
    <w:rsid w:val="009F77DC"/>
    <w:rsid w:val="00A16E1D"/>
    <w:rsid w:val="00A16ECD"/>
    <w:rsid w:val="00A41367"/>
    <w:rsid w:val="00A41DAF"/>
    <w:rsid w:val="00A7120A"/>
    <w:rsid w:val="00AA13BF"/>
    <w:rsid w:val="00AB4E8B"/>
    <w:rsid w:val="00AC0630"/>
    <w:rsid w:val="00AC37A0"/>
    <w:rsid w:val="00AC3820"/>
    <w:rsid w:val="00AD3765"/>
    <w:rsid w:val="00AE2749"/>
    <w:rsid w:val="00B051AD"/>
    <w:rsid w:val="00B12AEE"/>
    <w:rsid w:val="00B13089"/>
    <w:rsid w:val="00B33F2E"/>
    <w:rsid w:val="00B341F2"/>
    <w:rsid w:val="00B5783E"/>
    <w:rsid w:val="00B64032"/>
    <w:rsid w:val="00B824A1"/>
    <w:rsid w:val="00B874CC"/>
    <w:rsid w:val="00B900D2"/>
    <w:rsid w:val="00B93CA5"/>
    <w:rsid w:val="00B96AE3"/>
    <w:rsid w:val="00BA0818"/>
    <w:rsid w:val="00BB1B22"/>
    <w:rsid w:val="00BB3A81"/>
    <w:rsid w:val="00BE2C53"/>
    <w:rsid w:val="00BF5ECF"/>
    <w:rsid w:val="00BF6248"/>
    <w:rsid w:val="00C17561"/>
    <w:rsid w:val="00C56A74"/>
    <w:rsid w:val="00C601A3"/>
    <w:rsid w:val="00C626CC"/>
    <w:rsid w:val="00C63FDE"/>
    <w:rsid w:val="00C8439A"/>
    <w:rsid w:val="00C87E10"/>
    <w:rsid w:val="00C91A6C"/>
    <w:rsid w:val="00C9264C"/>
    <w:rsid w:val="00C92BAE"/>
    <w:rsid w:val="00CA40D3"/>
    <w:rsid w:val="00CC218E"/>
    <w:rsid w:val="00CD6674"/>
    <w:rsid w:val="00CF1C12"/>
    <w:rsid w:val="00CF5F34"/>
    <w:rsid w:val="00D00934"/>
    <w:rsid w:val="00D04E02"/>
    <w:rsid w:val="00D06C0D"/>
    <w:rsid w:val="00D13A65"/>
    <w:rsid w:val="00D141C0"/>
    <w:rsid w:val="00D16B15"/>
    <w:rsid w:val="00D26D7D"/>
    <w:rsid w:val="00D43857"/>
    <w:rsid w:val="00D505B2"/>
    <w:rsid w:val="00D6305A"/>
    <w:rsid w:val="00D737F0"/>
    <w:rsid w:val="00D73EE2"/>
    <w:rsid w:val="00D75DF9"/>
    <w:rsid w:val="00D92E80"/>
    <w:rsid w:val="00D944AC"/>
    <w:rsid w:val="00D9465E"/>
    <w:rsid w:val="00D954B2"/>
    <w:rsid w:val="00D95A66"/>
    <w:rsid w:val="00D9774E"/>
    <w:rsid w:val="00DA02DF"/>
    <w:rsid w:val="00DB7ECC"/>
    <w:rsid w:val="00DC3916"/>
    <w:rsid w:val="00DD2554"/>
    <w:rsid w:val="00DD7FBE"/>
    <w:rsid w:val="00DE29C6"/>
    <w:rsid w:val="00E26A16"/>
    <w:rsid w:val="00E320E4"/>
    <w:rsid w:val="00E330FA"/>
    <w:rsid w:val="00E35752"/>
    <w:rsid w:val="00E432C2"/>
    <w:rsid w:val="00E43461"/>
    <w:rsid w:val="00E5476D"/>
    <w:rsid w:val="00E56BF8"/>
    <w:rsid w:val="00E6017D"/>
    <w:rsid w:val="00E65F99"/>
    <w:rsid w:val="00E6662C"/>
    <w:rsid w:val="00E76FF5"/>
    <w:rsid w:val="00E8413B"/>
    <w:rsid w:val="00EA3DFD"/>
    <w:rsid w:val="00EA434C"/>
    <w:rsid w:val="00EB40C0"/>
    <w:rsid w:val="00EB4677"/>
    <w:rsid w:val="00EB61EE"/>
    <w:rsid w:val="00EC580B"/>
    <w:rsid w:val="00ED3889"/>
    <w:rsid w:val="00F0144F"/>
    <w:rsid w:val="00F02D49"/>
    <w:rsid w:val="00F07F52"/>
    <w:rsid w:val="00F262B1"/>
    <w:rsid w:val="00F32887"/>
    <w:rsid w:val="00F36A6F"/>
    <w:rsid w:val="00F4245E"/>
    <w:rsid w:val="00F75B74"/>
    <w:rsid w:val="00F770BC"/>
    <w:rsid w:val="00F83B07"/>
    <w:rsid w:val="00F96084"/>
    <w:rsid w:val="00F96425"/>
    <w:rsid w:val="00FA7944"/>
    <w:rsid w:val="00FB17F9"/>
    <w:rsid w:val="00FB5178"/>
    <w:rsid w:val="00FC3204"/>
    <w:rsid w:val="00FC4C49"/>
    <w:rsid w:val="00FE5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239AAD"/>
  <w15:chartTrackingRefBased/>
  <w15:docId w15:val="{76C0A5F8-BAE8-BB4C-B0D0-BE046A09C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178"/>
    <w:rPr>
      <w:rFonts w:ascii="Times New Roman" w:hAnsi="Times New Roman"/>
      <w:sz w:val="24"/>
      <w:szCs w:val="24"/>
    </w:rPr>
  </w:style>
  <w:style w:type="paragraph" w:styleId="Heading1">
    <w:name w:val="heading 1"/>
    <w:next w:val="Normal"/>
    <w:link w:val="Heading1Char"/>
    <w:qFormat/>
    <w:rsid w:val="00382E77"/>
    <w:pPr>
      <w:pageBreakBefore/>
      <w:spacing w:before="240" w:after="120"/>
      <w:outlineLvl w:val="0"/>
    </w:pPr>
    <w:rPr>
      <w:b/>
      <w:sz w:val="36"/>
      <w:szCs w:val="18"/>
    </w:rPr>
  </w:style>
  <w:style w:type="paragraph" w:styleId="Heading2">
    <w:name w:val="heading 2"/>
    <w:next w:val="Normal"/>
    <w:link w:val="Heading2Char"/>
    <w:qFormat/>
    <w:rsid w:val="00382E77"/>
    <w:pPr>
      <w:spacing w:before="360" w:after="60"/>
      <w:outlineLvl w:val="1"/>
    </w:pPr>
    <w:rPr>
      <w:rFonts w:cs="Arial"/>
      <w:b/>
      <w:bCs/>
      <w:color w:val="000000"/>
      <w:sz w:val="32"/>
      <w:szCs w:val="32"/>
    </w:rPr>
  </w:style>
  <w:style w:type="paragraph" w:styleId="Heading3">
    <w:name w:val="heading 3"/>
    <w:basedOn w:val="Normal"/>
    <w:next w:val="Normal"/>
    <w:link w:val="Heading3Char"/>
    <w:qFormat/>
    <w:rsid w:val="00382E77"/>
    <w:pPr>
      <w:keepNext/>
      <w:spacing w:before="240" w:after="60"/>
      <w:outlineLvl w:val="2"/>
    </w:pPr>
    <w:rPr>
      <w:rFonts w:cs="Arial"/>
      <w:b/>
      <w:bCs/>
      <w:sz w:val="28"/>
      <w:szCs w:val="26"/>
    </w:rPr>
  </w:style>
  <w:style w:type="paragraph" w:styleId="Heading4">
    <w:name w:val="heading 4"/>
    <w:basedOn w:val="Normal"/>
    <w:next w:val="Normal"/>
    <w:link w:val="Heading4Char"/>
    <w:qFormat/>
    <w:rsid w:val="00382E77"/>
    <w:pPr>
      <w:keepNext/>
      <w:spacing w:before="240" w:after="60"/>
      <w:outlineLvl w:val="3"/>
    </w:pPr>
    <w:rPr>
      <w:b/>
      <w:bCs/>
      <w:szCs w:val="28"/>
    </w:rPr>
  </w:style>
  <w:style w:type="paragraph" w:styleId="Heading5">
    <w:name w:val="heading 5"/>
    <w:basedOn w:val="Normal"/>
    <w:next w:val="Normal"/>
    <w:link w:val="Heading5Char"/>
    <w:qFormat/>
    <w:rsid w:val="00382E77"/>
    <w:pPr>
      <w:spacing w:before="240" w:after="60"/>
      <w:outlineLvl w:val="4"/>
    </w:pPr>
    <w:rPr>
      <w:b/>
      <w:bCs/>
      <w:iCs/>
      <w:szCs w:val="26"/>
    </w:rPr>
  </w:style>
  <w:style w:type="paragraph" w:styleId="Heading6">
    <w:name w:val="heading 6"/>
    <w:aliases w:val="apaindent"/>
    <w:basedOn w:val="Normal"/>
    <w:next w:val="Normal"/>
    <w:link w:val="Heading6Char"/>
    <w:qFormat/>
    <w:rsid w:val="00382E77"/>
    <w:pPr>
      <w:spacing w:before="120" w:after="60"/>
      <w:ind w:left="720" w:hanging="720"/>
      <w:outlineLvl w:val="5"/>
    </w:pPr>
    <w:rPr>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B341F2"/>
    <w:pPr>
      <w:spacing w:before="360"/>
      <w:ind w:left="720"/>
    </w:pPr>
    <w:rPr>
      <w:rFonts w:ascii="Arial" w:hAnsi="Arial" w:cs="Arial"/>
      <w:b/>
      <w:bCs/>
    </w:rPr>
  </w:style>
  <w:style w:type="paragraph" w:styleId="Header">
    <w:name w:val="header"/>
    <w:basedOn w:val="Normal"/>
    <w:rsid w:val="005B7B81"/>
    <w:pPr>
      <w:tabs>
        <w:tab w:val="center" w:pos="4320"/>
        <w:tab w:val="right" w:pos="8640"/>
      </w:tabs>
    </w:pPr>
  </w:style>
  <w:style w:type="paragraph" w:styleId="Footer">
    <w:name w:val="footer"/>
    <w:basedOn w:val="Normal"/>
    <w:rsid w:val="005B7B81"/>
    <w:pPr>
      <w:tabs>
        <w:tab w:val="center" w:pos="4320"/>
        <w:tab w:val="right" w:pos="8640"/>
      </w:tabs>
    </w:pPr>
  </w:style>
  <w:style w:type="paragraph" w:customStyle="1" w:styleId="HeaderTitle">
    <w:name w:val="HeaderTitle"/>
    <w:basedOn w:val="Normal"/>
    <w:rsid w:val="005B7B81"/>
    <w:pPr>
      <w:jc w:val="right"/>
    </w:pPr>
    <w:rPr>
      <w:rFonts w:cs="Arial"/>
      <w:b/>
      <w:color w:val="808080"/>
      <w:sz w:val="28"/>
    </w:rPr>
  </w:style>
  <w:style w:type="character" w:styleId="PageNumber">
    <w:name w:val="page number"/>
    <w:rsid w:val="005B7B81"/>
    <w:rPr>
      <w:rFonts w:ascii="Arial" w:hAnsi="Arial"/>
      <w:sz w:val="18"/>
    </w:rPr>
  </w:style>
  <w:style w:type="character" w:customStyle="1" w:styleId="Heading3Char">
    <w:name w:val="Heading 3 Char"/>
    <w:link w:val="Heading3"/>
    <w:rsid w:val="00382E77"/>
    <w:rPr>
      <w:rFonts w:ascii="Arial" w:hAnsi="Arial" w:cs="Arial"/>
      <w:b/>
      <w:bCs/>
      <w:sz w:val="28"/>
      <w:szCs w:val="26"/>
      <w:lang w:val="en-US" w:eastAsia="en-US" w:bidi="ar-SA"/>
    </w:rPr>
  </w:style>
  <w:style w:type="paragraph" w:customStyle="1" w:styleId="Body">
    <w:name w:val="Body"/>
    <w:basedOn w:val="Normal"/>
    <w:rsid w:val="00DD7FBE"/>
    <w:rPr>
      <w:rFonts w:cs="Courier New"/>
      <w:sz w:val="22"/>
      <w:szCs w:val="20"/>
    </w:rPr>
  </w:style>
  <w:style w:type="paragraph" w:styleId="BalloonText">
    <w:name w:val="Balloon Text"/>
    <w:basedOn w:val="Normal"/>
    <w:link w:val="BalloonTextChar"/>
    <w:uiPriority w:val="99"/>
    <w:semiHidden/>
    <w:unhideWhenUsed/>
    <w:rsid w:val="00382E77"/>
    <w:rPr>
      <w:rFonts w:ascii="Tahoma" w:hAnsi="Tahoma" w:cs="Tahoma"/>
      <w:sz w:val="16"/>
      <w:szCs w:val="16"/>
    </w:rPr>
  </w:style>
  <w:style w:type="character" w:customStyle="1" w:styleId="BalloonTextChar">
    <w:name w:val="Balloon Text Char"/>
    <w:link w:val="BalloonText"/>
    <w:uiPriority w:val="99"/>
    <w:semiHidden/>
    <w:rsid w:val="00382E77"/>
    <w:rPr>
      <w:rFonts w:ascii="Tahoma" w:hAnsi="Tahoma" w:cs="Tahoma"/>
      <w:sz w:val="16"/>
      <w:szCs w:val="16"/>
    </w:rPr>
  </w:style>
  <w:style w:type="character" w:customStyle="1" w:styleId="Heading1Char">
    <w:name w:val="Heading 1 Char"/>
    <w:link w:val="Heading1"/>
    <w:rsid w:val="00382E77"/>
    <w:rPr>
      <w:b/>
      <w:sz w:val="36"/>
      <w:szCs w:val="18"/>
      <w:lang w:val="en-US" w:eastAsia="en-US" w:bidi="ar-SA"/>
    </w:rPr>
  </w:style>
  <w:style w:type="character" w:customStyle="1" w:styleId="Heading2Char">
    <w:name w:val="Heading 2 Char"/>
    <w:link w:val="Heading2"/>
    <w:rsid w:val="00382E77"/>
    <w:rPr>
      <w:rFonts w:cs="Arial"/>
      <w:b/>
      <w:bCs/>
      <w:color w:val="000000"/>
      <w:sz w:val="32"/>
      <w:szCs w:val="32"/>
      <w:lang w:val="en-US" w:eastAsia="en-US" w:bidi="ar-SA"/>
    </w:rPr>
  </w:style>
  <w:style w:type="character" w:customStyle="1" w:styleId="Heading4Char">
    <w:name w:val="Heading 4 Char"/>
    <w:link w:val="Heading4"/>
    <w:rsid w:val="00382E77"/>
    <w:rPr>
      <w:b/>
      <w:bCs/>
      <w:sz w:val="24"/>
      <w:szCs w:val="28"/>
    </w:rPr>
  </w:style>
  <w:style w:type="character" w:customStyle="1" w:styleId="Heading5Char">
    <w:name w:val="Heading 5 Char"/>
    <w:link w:val="Heading5"/>
    <w:rsid w:val="00382E77"/>
    <w:rPr>
      <w:b/>
      <w:bCs/>
      <w:iCs/>
      <w:szCs w:val="26"/>
    </w:rPr>
  </w:style>
  <w:style w:type="character" w:customStyle="1" w:styleId="Heading6Char">
    <w:name w:val="Heading 6 Char"/>
    <w:aliases w:val="apaindent Char"/>
    <w:link w:val="Heading6"/>
    <w:rsid w:val="00382E77"/>
    <w:rPr>
      <w:bCs/>
    </w:rPr>
  </w:style>
  <w:style w:type="paragraph" w:customStyle="1" w:styleId="stylebulleted">
    <w:name w:val="style bulleted"/>
    <w:basedOn w:val="BodyText"/>
    <w:qFormat/>
    <w:rsid w:val="00242852"/>
    <w:pPr>
      <w:numPr>
        <w:numId w:val="1"/>
      </w:numPr>
      <w:ind w:left="720"/>
    </w:pPr>
  </w:style>
  <w:style w:type="paragraph" w:customStyle="1" w:styleId="BodyText">
    <w:name w:val="BodyText"/>
    <w:link w:val="BodyTextChar"/>
    <w:qFormat/>
    <w:rsid w:val="00C63FDE"/>
    <w:pPr>
      <w:spacing w:before="120" w:after="60"/>
    </w:pPr>
    <w:rPr>
      <w:sz w:val="22"/>
      <w:szCs w:val="24"/>
    </w:rPr>
  </w:style>
  <w:style w:type="character" w:customStyle="1" w:styleId="BodyTextChar">
    <w:name w:val="BodyText Char"/>
    <w:link w:val="BodyText"/>
    <w:rsid w:val="00C63FDE"/>
    <w:rPr>
      <w:sz w:val="22"/>
      <w:szCs w:val="24"/>
    </w:rPr>
  </w:style>
  <w:style w:type="paragraph" w:customStyle="1" w:styleId="stylenumbered">
    <w:name w:val="style numbered"/>
    <w:basedOn w:val="BodyText"/>
    <w:link w:val="stylenumberedChar"/>
    <w:qFormat/>
    <w:rsid w:val="00382E77"/>
    <w:pPr>
      <w:numPr>
        <w:numId w:val="2"/>
      </w:numPr>
    </w:pPr>
  </w:style>
  <w:style w:type="character" w:customStyle="1" w:styleId="stylenumberedChar">
    <w:name w:val="style numbered Char"/>
    <w:link w:val="stylenumbered"/>
    <w:rsid w:val="00996595"/>
    <w:rPr>
      <w:sz w:val="22"/>
      <w:szCs w:val="24"/>
    </w:rPr>
  </w:style>
  <w:style w:type="table" w:styleId="TableGrid">
    <w:name w:val="Table Grid"/>
    <w:basedOn w:val="TableNormal"/>
    <w:uiPriority w:val="59"/>
    <w:rsid w:val="00331E2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1E2D"/>
    <w:pPr>
      <w:spacing w:after="200" w:line="276" w:lineRule="auto"/>
      <w:ind w:left="720"/>
      <w:contextualSpacing/>
    </w:pPr>
    <w:rPr>
      <w:rFonts w:ascii="Calibri" w:eastAsia="Calibri" w:hAnsi="Calibri"/>
      <w:szCs w:val="22"/>
    </w:rPr>
  </w:style>
  <w:style w:type="character" w:styleId="Emphasis">
    <w:name w:val="Emphasis"/>
    <w:uiPriority w:val="20"/>
    <w:qFormat/>
    <w:rsid w:val="00331E2D"/>
    <w:rPr>
      <w:i/>
      <w:iCs/>
    </w:rPr>
  </w:style>
  <w:style w:type="character" w:customStyle="1" w:styleId="plan">
    <w:name w:val="plan"/>
    <w:basedOn w:val="DefaultParagraphFont"/>
    <w:rsid w:val="004C1DED"/>
  </w:style>
  <w:style w:type="character" w:styleId="Strong">
    <w:name w:val="Strong"/>
    <w:uiPriority w:val="22"/>
    <w:qFormat/>
    <w:rsid w:val="008529C6"/>
    <w:rPr>
      <w:b/>
      <w:bCs/>
    </w:rPr>
  </w:style>
  <w:style w:type="character" w:customStyle="1" w:styleId="css-1f2ahkg-view">
    <w:name w:val="css-1f2ahkg-view"/>
    <w:basedOn w:val="DefaultParagraphFont"/>
    <w:rsid w:val="008529C6"/>
  </w:style>
  <w:style w:type="character" w:styleId="CommentReference">
    <w:name w:val="annotation reference"/>
    <w:uiPriority w:val="99"/>
    <w:semiHidden/>
    <w:unhideWhenUsed/>
    <w:rsid w:val="008529C6"/>
    <w:rPr>
      <w:sz w:val="16"/>
      <w:szCs w:val="16"/>
    </w:rPr>
  </w:style>
  <w:style w:type="character" w:styleId="Hyperlink">
    <w:name w:val="Hyperlink"/>
    <w:uiPriority w:val="99"/>
    <w:unhideWhenUsed/>
    <w:rsid w:val="006106AF"/>
    <w:rPr>
      <w:color w:val="0563C1"/>
      <w:u w:val="single"/>
    </w:rPr>
  </w:style>
  <w:style w:type="paragraph" w:styleId="NormalWeb">
    <w:name w:val="Normal (Web)"/>
    <w:basedOn w:val="Normal"/>
    <w:uiPriority w:val="99"/>
    <w:unhideWhenUsed/>
    <w:rsid w:val="006106AF"/>
    <w:pPr>
      <w:spacing w:before="100" w:beforeAutospacing="1" w:after="100" w:afterAutospacing="1"/>
    </w:pPr>
  </w:style>
  <w:style w:type="character" w:customStyle="1" w:styleId="author">
    <w:name w:val="author"/>
    <w:basedOn w:val="DefaultParagraphFont"/>
    <w:rsid w:val="006106AF"/>
  </w:style>
  <w:style w:type="character" w:customStyle="1" w:styleId="pubyear">
    <w:name w:val="pubyear"/>
    <w:basedOn w:val="DefaultParagraphFont"/>
    <w:rsid w:val="006106AF"/>
  </w:style>
  <w:style w:type="character" w:customStyle="1" w:styleId="articletitle">
    <w:name w:val="articletitle"/>
    <w:basedOn w:val="DefaultParagraphFont"/>
    <w:rsid w:val="006106AF"/>
  </w:style>
  <w:style w:type="character" w:customStyle="1" w:styleId="vol">
    <w:name w:val="vol"/>
    <w:basedOn w:val="DefaultParagraphFont"/>
    <w:rsid w:val="006106AF"/>
  </w:style>
  <w:style w:type="character" w:styleId="FollowedHyperlink">
    <w:name w:val="FollowedHyperlink"/>
    <w:uiPriority w:val="99"/>
    <w:semiHidden/>
    <w:unhideWhenUsed/>
    <w:rsid w:val="00C87E10"/>
    <w:rPr>
      <w:color w:val="96607D"/>
      <w:u w:val="single"/>
    </w:rPr>
  </w:style>
  <w:style w:type="paragraph" w:styleId="CommentText">
    <w:name w:val="annotation text"/>
    <w:basedOn w:val="Normal"/>
    <w:link w:val="CommentTextChar"/>
    <w:uiPriority w:val="99"/>
    <w:semiHidden/>
    <w:unhideWhenUsed/>
    <w:rsid w:val="00595C3E"/>
    <w:rPr>
      <w:sz w:val="20"/>
      <w:szCs w:val="20"/>
    </w:rPr>
  </w:style>
  <w:style w:type="character" w:customStyle="1" w:styleId="CommentTextChar">
    <w:name w:val="Comment Text Char"/>
    <w:basedOn w:val="DefaultParagraphFont"/>
    <w:link w:val="CommentText"/>
    <w:uiPriority w:val="99"/>
    <w:semiHidden/>
    <w:rsid w:val="00595C3E"/>
  </w:style>
  <w:style w:type="paragraph" w:styleId="CommentSubject">
    <w:name w:val="annotation subject"/>
    <w:basedOn w:val="CommentText"/>
    <w:next w:val="CommentText"/>
    <w:link w:val="CommentSubjectChar"/>
    <w:uiPriority w:val="99"/>
    <w:semiHidden/>
    <w:unhideWhenUsed/>
    <w:rsid w:val="00595C3E"/>
    <w:rPr>
      <w:b/>
      <w:bCs/>
    </w:rPr>
  </w:style>
  <w:style w:type="character" w:customStyle="1" w:styleId="CommentSubjectChar">
    <w:name w:val="Comment Subject Char"/>
    <w:link w:val="CommentSubject"/>
    <w:uiPriority w:val="99"/>
    <w:semiHidden/>
    <w:rsid w:val="00595C3E"/>
    <w:rPr>
      <w:b/>
      <w:bCs/>
    </w:rPr>
  </w:style>
  <w:style w:type="character" w:styleId="UnresolvedMention">
    <w:name w:val="Unresolved Mention"/>
    <w:basedOn w:val="DefaultParagraphFont"/>
    <w:uiPriority w:val="99"/>
    <w:semiHidden/>
    <w:unhideWhenUsed/>
    <w:rsid w:val="00BB1B22"/>
    <w:rPr>
      <w:color w:val="605E5C"/>
      <w:shd w:val="clear" w:color="auto" w:fill="E1DFDD"/>
    </w:rPr>
  </w:style>
  <w:style w:type="character" w:customStyle="1" w:styleId="ng-star-inserted">
    <w:name w:val="ng-star-inserted"/>
    <w:basedOn w:val="DefaultParagraphFont"/>
    <w:rsid w:val="0073745A"/>
  </w:style>
  <w:style w:type="paragraph" w:customStyle="1" w:styleId="ui-markdownparagraph">
    <w:name w:val="ui-markdown__paragraph"/>
    <w:basedOn w:val="Normal"/>
    <w:rsid w:val="00B5783E"/>
    <w:pPr>
      <w:spacing w:before="100" w:beforeAutospacing="1" w:after="100" w:afterAutospacing="1"/>
    </w:pPr>
  </w:style>
  <w:style w:type="paragraph" w:customStyle="1" w:styleId="pdq2pgselectionanchorcontainer">
    <w:name w:val="pdq2pg_selectionanchorcontainer"/>
    <w:basedOn w:val="Normal"/>
    <w:rsid w:val="00C91A6C"/>
    <w:pPr>
      <w:spacing w:before="100" w:beforeAutospacing="1" w:after="100" w:afterAutospacing="1"/>
    </w:pPr>
  </w:style>
  <w:style w:type="paragraph" w:customStyle="1" w:styleId="p1">
    <w:name w:val="p1"/>
    <w:basedOn w:val="Normal"/>
    <w:rsid w:val="00567231"/>
    <w:rPr>
      <w:color w:val="000000"/>
      <w:sz w:val="18"/>
      <w:szCs w:val="18"/>
    </w:rPr>
  </w:style>
  <w:style w:type="character" w:styleId="HTMLCode">
    <w:name w:val="HTML Code"/>
    <w:basedOn w:val="DefaultParagraphFont"/>
    <w:uiPriority w:val="99"/>
    <w:semiHidden/>
    <w:unhideWhenUsed/>
    <w:rsid w:val="00DE29C6"/>
    <w:rPr>
      <w:rFonts w:ascii="Courier New" w:eastAsia="Times New Roman" w:hAnsi="Courier New" w:cs="Courier New"/>
      <w:sz w:val="20"/>
      <w:szCs w:val="20"/>
    </w:rPr>
  </w:style>
  <w:style w:type="paragraph" w:customStyle="1" w:styleId="ng-binding">
    <w:name w:val="ng-binding"/>
    <w:basedOn w:val="Normal"/>
    <w:rsid w:val="00FB517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19544802">
      <w:bodyDiv w:val="1"/>
      <w:marLeft w:val="0"/>
      <w:marRight w:val="0"/>
      <w:marTop w:val="0"/>
      <w:marBottom w:val="0"/>
      <w:divBdr>
        <w:top w:val="none" w:sz="0" w:space="0" w:color="auto"/>
        <w:left w:val="none" w:sz="0" w:space="0" w:color="auto"/>
        <w:bottom w:val="none" w:sz="0" w:space="0" w:color="auto"/>
        <w:right w:val="none" w:sz="0" w:space="0" w:color="auto"/>
      </w:divBdr>
    </w:div>
    <w:div w:id="103095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doi.org/10.3846/jbem.2025.23519" TargetMode="External"/></Relationships>
</file>

<file path=word/_rels/document.xml.rels><?xml version='1.0' encoding='UTF-8' standalone='yes'?>
<Relationships xmlns="http://schemas.openxmlformats.org/package/2006/relationships"><Relationship Id="rId21" Type="http://schemas.openxmlformats.org/officeDocument/2006/relationships/hyperlink" Target="https://doi.org/10.1007/s10551-015-2805-z" TargetMode="External"/><Relationship Id="rId47" Type="http://schemas.openxmlformats.org/officeDocument/2006/relationships/hyperlink" Target="https://doi.org/10.1029/2020GH000251" TargetMode="External"/><Relationship Id="rId63" Type="http://schemas.openxmlformats.org/officeDocument/2006/relationships/footer" Target="footer1.xml"/><Relationship Id="rId68"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5840/beq200818214" TargetMode="External"/><Relationship Id="rId11" Type="http://schemas.openxmlformats.org/officeDocument/2006/relationships/comments" Target="comments.xml"/><Relationship Id="rId32" Type="http://schemas.openxmlformats.org/officeDocument/2006/relationships/hyperlink" Target="https://doi.org/10.5590/JOSC.2018.10.1.02" TargetMode="External"/><Relationship Id="rId40" Type="http://schemas.openxmlformats.org/officeDocument/2006/relationships/hyperlink" Target="https://doi.org/10.1287/mnsc.2023.04147" TargetMode="External"/><Relationship Id="rId66" Type="http://schemas.openxmlformats.org/officeDocument/2006/relationships/footer" Target="footer3.xml"/><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hyperlink" Target="https://doi.org/10.1136/emj.2007.050641" TargetMode="External"/><Relationship Id="rId14" Type="http://schemas.microsoft.com/office/2018/08/relationships/commentsExtensible" Target="commentsExtensible.xml"/><Relationship Id="rId27" Type="http://schemas.openxmlformats.org/officeDocument/2006/relationships/hyperlink" Target="https://doi.org/10.5840/pom20098310" TargetMode="External"/><Relationship Id="rId43" Type="http://schemas.openxmlformats.org/officeDocument/2006/relationships/hyperlink" Target="https://doi.org/10.1097/MS9.0000000000001959" TargetMode="External"/><Relationship Id="rId64" Type="http://schemas.openxmlformats.org/officeDocument/2006/relationships/footer" Target="footer2.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i.org/10.25300/MISQ/2022/17265"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doi.org/10.1080/2159676X.2019.1628806" TargetMode="External"/><Relationship Id="rId59" Type="http://schemas.openxmlformats.org/officeDocument/2006/relationships/hyperlink" Target="https://doi.org/10.5465/amr.1989.4308376" TargetMode="External"/><Relationship Id="rId67" Type="http://schemas.openxmlformats.org/officeDocument/2006/relationships/fontTable" Target="fontTable.xm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doi.org/10.1007/s10551-018-4012-1" TargetMode="External"/><Relationship Id="rId36" Type="http://schemas.openxmlformats.org/officeDocument/2006/relationships/hyperlink" Target="https://doi.org/10.1177/160940691401300119" TargetMode="External"/><Relationship Id="rId10" Type="http://schemas.openxmlformats.org/officeDocument/2006/relationships/endnotes" Target="endnotes.xml"/><Relationship Id="rId44" Type="http://schemas.openxmlformats.org/officeDocument/2006/relationships/hyperlink" Target="https://doi.org/10.3390/businesses5010002" TargetMode="External"/><Relationship Id="rId52" Type="http://schemas.openxmlformats.org/officeDocument/2006/relationships/hyperlink" Target="https://doi.org/10.1007/s10551-008-9928-4" TargetMode="External"/><Relationship Id="rId65"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doi.org/10.1177/160940690300200201" TargetMode="External"/><Relationship Id="rId39" Type="http://schemas.openxmlformats.org/officeDocument/2006/relationships/hyperlink" Target="https://doi.org/10.1108/IJCMA-09-2019-0172" TargetMode="External"/><Relationship Id="rId55" Type="http://schemas.openxmlformats.org/officeDocument/2006/relationships/hyperlink" Target="https://doi.org/10.1177/00187267221104985" TargetMode="External"/><Relationship Id="rId70" Type="http://schemas.openxmlformats.org/officeDocument/2006/relationships/hyperlink" Target="https://doi.org/10.1177/0007650318773750" TargetMode="External"/><Relationship Id="rId71" Type="http://schemas.openxmlformats.org/officeDocument/2006/relationships/hyperlink" Target="https://doi.org/10.5465/256973" TargetMode="External"/><Relationship Id="rId72" Type="http://schemas.openxmlformats.org/officeDocument/2006/relationships/hyperlink" Target="https://doi.org/10.1080/07421222.2023.2301178" TargetMode="External"/><Relationship Id="rId73" Type="http://schemas.openxmlformats.org/officeDocument/2006/relationships/hyperlink" Target="https://doi.org/10.1177/1468794105056924" TargetMode="External"/><Relationship Id="rId74" Type="http://schemas.openxmlformats.org/officeDocument/2006/relationships/hyperlink" Target="https://doi.org/10.34190/jbrm.18.2.008" TargetMode="External"/><Relationship Id="rId75" Type="http://schemas.openxmlformats.org/officeDocument/2006/relationships/hyperlink" Target="https://doi.org/10.1207/s15430421tip3903_2" TargetMode="External"/><Relationship Id="rId76" Type="http://schemas.openxmlformats.org/officeDocument/2006/relationships/hyperlink" Target="https://doi.org/10.5465/amr.1995.9503271992" TargetMode="External"/><Relationship Id="rId77" Type="http://schemas.openxmlformats.org/officeDocument/2006/relationships/hyperlink" Target="https://doi.org/10.5465/amj.2021.0103" TargetMode="External"/><Relationship Id="rId78" Type="http://schemas.openxmlformats.org/officeDocument/2006/relationships/hyperlink" Target="https://doi.org/10.3846/jbem.2025.23519" TargetMode="External"/><Relationship Id="rId79" Type="http://schemas.openxmlformats.org/officeDocument/2006/relationships/hyperlink" Target="https://www.ic3.gov/AnnualReport/Reports/2024_IC3Report.pdf" TargetMode="External"/><Relationship Id="rId80" Type="http://schemas.openxmlformats.org/officeDocument/2006/relationships/hyperlink" Target="https://doi.org/10.1177/160940690600500107" TargetMode="External"/><Relationship Id="rId81" Type="http://schemas.openxmlformats.org/officeDocument/2006/relationships/hyperlink" Target="https://doi.org/10.1037/h0061470" TargetMode="External"/><Relationship Id="rId82" Type="http://schemas.openxmlformats.org/officeDocument/2006/relationships/hyperlink" Target="https://doi.org/10.1007/BF00383045" TargetMode="External"/><Relationship Id="rId83" Type="http://schemas.openxmlformats.org/officeDocument/2006/relationships/hyperlink" Target="https://doi.org/10.1007/s10551-007-9517-y" TargetMode="External"/><Relationship Id="rId84" Type="http://schemas.openxmlformats.org/officeDocument/2006/relationships/hyperlink" Target="https://doi.org/10.1287/orsc.1040.0066" TargetMode="External"/><Relationship Id="rId85" Type="http://schemas.openxmlformats.org/officeDocument/2006/relationships/hyperlink" Target="https://doi.org/10.1002/sd.2840" TargetMode="External"/><Relationship Id="rId86" Type="http://schemas.openxmlformats.org/officeDocument/2006/relationships/hyperlink" Target="https://doi.org/10.1177/1525822X05279903" TargetMode="External"/><Relationship Id="rId87" Type="http://schemas.openxmlformats.org/officeDocument/2006/relationships/hyperlink" Target="https://doi.org/10.1111/ssqu.12328" TargetMode="External"/><Relationship Id="rId88" Type="http://schemas.openxmlformats.org/officeDocument/2006/relationships/hyperlink" Target="https://doi.org/10.1177/1050651908320362" TargetMode="External"/><Relationship Id="rId89" Type="http://schemas.openxmlformats.org/officeDocument/2006/relationships/hyperlink" Target="https://doi.org/10.1080/13814788.2017.1375092" TargetMode="External"/><Relationship Id="rId90" Type="http://schemas.openxmlformats.org/officeDocument/2006/relationships/hyperlink" Target="https://doi.org/10.1177/1534484320903890" TargetMode="External"/><Relationship Id="rId91" Type="http://schemas.openxmlformats.org/officeDocument/2006/relationships/hyperlink" Target="https://doi.org/10.1177/1049732315617444" TargetMode="External"/><Relationship Id="rId92" Type="http://schemas.openxmlformats.org/officeDocument/2006/relationships/hyperlink" Target="https://doi.org/10.5465/amr.1997.9711022105" TargetMode="External"/><Relationship Id="rId93" Type="http://schemas.openxmlformats.org/officeDocument/2006/relationships/hyperlink" Target="https://doi.org/10.1016/j.ijdrr.2016.10.017" TargetMode="External"/><Relationship Id="rId94" Type="http://schemas.openxmlformats.org/officeDocument/2006/relationships/hyperlink" Target="https://doi.org/10.1177/16094069241229777" TargetMode="External"/><Relationship Id="rId95" Type="http://schemas.openxmlformats.org/officeDocument/2006/relationships/hyperlink" Target="https://www.hhs.gov/ohrp/regulations-and-policy/belmont-report/index.html" TargetMode="External"/><Relationship Id="rId96" Type="http://schemas.openxmlformats.org/officeDocument/2006/relationships/hyperlink" Target="https://doi.org/10.1177/1609406917733847" TargetMode="External"/><Relationship Id="rId97" Type="http://schemas.openxmlformats.org/officeDocument/2006/relationships/hyperlink" Target="https://doi.org/10.1093/jopart/muy052" TargetMode="External"/><Relationship Id="rId98" Type="http://schemas.openxmlformats.org/officeDocument/2006/relationships/hyperlink" Target="https://doi.org/10.1108/09696470710726989" TargetMode="External"/><Relationship Id="rId99" Type="http://schemas.openxmlformats.org/officeDocument/2006/relationships/hyperlink" Target="https://doi.org/10.46743/2160-3715/2015.2097" TargetMode="External"/><Relationship Id="rId100" Type="http://schemas.openxmlformats.org/officeDocument/2006/relationships/hyperlink" Target="https://doi.org/10.1177/1077800410383121" TargetMode="External"/><Relationship Id="rId101" Type="http://schemas.openxmlformats.org/officeDocument/2006/relationships/hyperlink" Target="https://www.verizon.com/business/resources/reports/dbir/" TargetMode="External"/><Relationship Id="rId102" Type="http://schemas.openxmlformats.org/officeDocument/2006/relationships/hyperlink" Target="https://doi.org/10.5465/annals.2015.0134" TargetMode="External"/><Relationship Id="rId103" Type="http://schemas.openxmlformats.org/officeDocument/2006/relationships/hyperlink" Target="https://doi.org/10.1177/16094069241296206"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2B78626A37144CAC7F94D59A0419AC" ma:contentTypeVersion="77" ma:contentTypeDescription="Upload a new document." ma:contentTypeScope="" ma:versionID="cca50783a6c14b040ca0fdbef5d2acbb">
  <xsd:schema xmlns:xsd="http://www.w3.org/2001/XMLSchema" xmlns:xs="http://www.w3.org/2001/XMLSchema" xmlns:p="http://schemas.microsoft.com/office/2006/metadata/properties" xmlns:ns1="http://schemas.microsoft.com/sharepoint/v3" xmlns:ns2="46D0C8FD-6622-4DA9-9CBF-9ACEA4AD9EE9" xmlns:ns3="46d0c8fd-6622-4da9-9cbf-9acea4ad9ee9" targetNamespace="http://schemas.microsoft.com/office/2006/metadata/properties" ma:root="true" ma:fieldsID="42c18218afb46ccb9a67cb31c3a8360c" ns1:_="" ns2:_="" ns3:_="">
    <xsd:import namespace="http://schemas.microsoft.com/sharepoint/v3"/>
    <xsd:import namespace="46D0C8FD-6622-4DA9-9CBF-9ACEA4AD9EE9"/>
    <xsd:import namespace="46d0c8fd-6622-4da9-9cbf-9acea4ad9ee9"/>
    <xsd:element name="properties">
      <xsd:complexType>
        <xsd:sequence>
          <xsd:element name="documentManagement">
            <xsd:complexType>
              <xsd:all>
                <xsd:element ref="ns2:Title_x0020__x0028_with_x0020_link_x0020_to_x0020_document_x0029_" minOccurs="0"/>
                <xsd:element ref="ns2:Current_x0020_Doc_x0020_Owner" minOccurs="0"/>
                <xsd:element ref="ns2:Doc_x0020_Team" minOccurs="0"/>
                <xsd:element ref="ns2:Doc_x0020_Status" minOccurs="0"/>
                <xsd:element ref="ns2:Maintenance_x0020_Notes" minOccurs="0"/>
                <xsd:element ref="ns3:LinkID" minOccurs="0"/>
                <xsd:element ref="ns2:Description0" minOccurs="0"/>
                <xsd:element ref="ns2:School_x002d_Specific_x0020_Resources" minOccurs="0"/>
                <xsd:element ref="ns2:Keyword" minOccurs="0"/>
                <xsd:element ref="ns3:Add_x0020_to_x0020_Home_x0020_Page_x003f_"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3" nillable="true" ma:displayName="Scheduling Start Date" ma:description="" ma:hidden="true" ma:internalName="PublishingStartDate">
      <xsd:simpleType>
        <xsd:restriction base="dms:Unknown"/>
      </xsd:simpleType>
    </xsd:element>
    <xsd:element name="PublishingExpirationDate" ma:index="14"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6D0C8FD-6622-4DA9-9CBF-9ACEA4AD9EE9" elementFormDefault="qualified">
    <xsd:import namespace="http://schemas.microsoft.com/office/2006/documentManagement/types"/>
    <xsd:import namespace="http://schemas.microsoft.com/office/infopath/2007/PartnerControls"/>
    <xsd:element name="Title_x0020__x0028_with_x0020_link_x0020_to_x0020_document_x0029_" ma:index="1" nillable="true" ma:displayName="Doc Title (with link)" ma:description="Instructions:&#10;• Important: In the Name row at the top, delete any information that was auto-filled by SharePoint. Then, type the filename up to the file extension.&#10;• Next, copy the following URL into the *Type the Web address* box: https://share.capella.edu/functional/opux/CCD/DE/Documents/&#10;• Add your document's filename and extension to the end of this URL. &#10;• Type the doc title into the *Type the description* box." ma:format="Hyperlink" ma:internalName="Title_x0020__x0028_with_x0020_link_x0020_to_x0020_document_x0029_">
      <xsd:complexType>
        <xsd:complexContent>
          <xsd:extension base="dms:URL">
            <xsd:sequence>
              <xsd:element name="Url" type="dms:ValidUrl" minOccurs="0" nillable="true"/>
              <xsd:element name="Description" type="xsd:string" nillable="true"/>
            </xsd:sequence>
          </xsd:extension>
        </xsd:complexContent>
      </xsd:complexType>
    </xsd:element>
    <xsd:element name="Current_x0020_Doc_x0020_Owner" ma:index="2" nillable="true" ma:displayName="Owner" ma:default="_Select your name" ma:description="The doc owner is the person who created the doc or most recently updated it." ma:format="Dropdown" ma:internalName="Current_x0020_Doc_x0020_Owner">
      <xsd:simpleType>
        <xsd:restriction base="dms:Choice">
          <xsd:enumeration value="_Select your name"/>
          <xsd:enumeration value="Andrew"/>
          <xsd:enumeration value="Ann K."/>
          <xsd:enumeration value="Anne L."/>
          <xsd:enumeration value="Brent"/>
          <xsd:enumeration value="Jeff"/>
          <xsd:enumeration value="Keri"/>
          <xsd:enumeration value="Rachel"/>
          <xsd:enumeration value="Tanya"/>
          <xsd:enumeration value="Wendy"/>
          <xsd:enumeration value="Samantha"/>
          <xsd:enumeration value="All Team"/>
        </xsd:restriction>
      </xsd:simpleType>
    </xsd:element>
    <xsd:element name="Doc_x0020_Team" ma:index="3" nillable="true" ma:displayName="Team" ma:description="Doc Team" ma:format="Dropdown" ma:internalName="Doc_x0020_Team" ma:readOnly="false">
      <xsd:simpleType>
        <xsd:restriction base="dms:Choice">
          <xsd:enumeration value="Team 1"/>
          <xsd:enumeration value="Team 2"/>
          <xsd:enumeration value="Team 3"/>
          <xsd:enumeration value="Supervisor"/>
        </xsd:restriction>
      </xsd:simpleType>
    </xsd:element>
    <xsd:element name="Doc_x0020_Status" ma:index="4" nillable="true" ma:displayName="Doc Status" ma:default="_" ma:format="RadioButtons" ma:internalName="Doc_x0020_Status" ma:readOnly="false">
      <xsd:simpleType>
        <xsd:restriction base="dms:Choice">
          <xsd:enumeration value="_"/>
          <xsd:enumeration value="Up to date."/>
          <xsd:enumeration value="Continuous maintenance."/>
          <xsd:enumeration value="Under construction."/>
          <xsd:enumeration value="To be archived."/>
          <xsd:enumeration value="Update is needed."/>
          <xsd:enumeration value="Update is pending."/>
        </xsd:restriction>
      </xsd:simpleType>
    </xsd:element>
    <xsd:element name="Maintenance_x0020_Notes" ma:index="5" nillable="true" ma:displayName="Maintenance Notes" ma:internalName="Maintenance_x0020_Notes" ma:readOnly="false">
      <xsd:simpleType>
        <xsd:restriction base="dms:Note">
          <xsd:maxLength value="255"/>
        </xsd:restriction>
      </xsd:simpleType>
    </xsd:element>
    <xsd:element name="Description0" ma:index="7" nillable="true" ma:displayName="Doc Description" ma:internalName="Description0" ma:readOnly="false">
      <xsd:simpleType>
        <xsd:restriction base="dms:Note">
          <xsd:maxLength value="255"/>
        </xsd:restriction>
      </xsd:simpleType>
    </xsd:element>
    <xsd:element name="School_x002d_Specific_x0020_Resources" ma:index="8" nillable="true" ma:displayName="Category" ma:description="Select the folder in which you want this link to appear." ma:internalName="School_x002d_Specific_x0020_Resources">
      <xsd:complexType>
        <xsd:complexContent>
          <xsd:extension base="dms:MultiChoice">
            <xsd:sequence>
              <xsd:element name="Value" maxOccurs="unbounded" minOccurs="0" nillable="true">
                <xsd:simpleType>
                  <xsd:restriction base="dms:Choice">
                    <xsd:enumeration value="Processes and Practices"/>
                    <xsd:enumeration value="Standards, Styles, and Templates"/>
                    <xsd:enumeration value="Special Course Elements"/>
                    <xsd:enumeration value="Course Materials and Media"/>
                    <xsd:enumeration value="Celeste"/>
                  </xsd:restriction>
                </xsd:simpleType>
              </xsd:element>
            </xsd:sequence>
          </xsd:extension>
        </xsd:complexContent>
      </xsd:complexType>
    </xsd:element>
    <xsd:element name="Keyword" ma:index="9" nillable="true" ma:displayName="Subcategory" ma:description="Identify the subcategory this resource should appear under." ma:internalName="Keyword" ma:readOnly="false">
      <xsd:complexType>
        <xsd:complexContent>
          <xsd:extension base="dms:MultiChoice">
            <xsd:sequence>
              <xsd:element name="Value" maxOccurs="unbounded" minOccurs="0" nillable="true">
                <xsd:simpleType>
                  <xsd:restriction base="dms:Choice">
                    <xsd:enumeration value="ADA"/>
                    <xsd:enumeration value="APA"/>
                    <xsd:enumeration value="Business Practices"/>
                    <xsd:enumeration value="Course Files"/>
                    <xsd:enumeration value="Course Materials"/>
                    <xsd:enumeration value="Forms"/>
                    <xsd:enumeration value="Inauthentic Content/Copyright"/>
                    <xsd:enumeration value="Knowledge Maintenance"/>
                    <xsd:enumeration value="Matrices and Checklists"/>
                    <xsd:enumeration value="Media"/>
                    <xsd:enumeration value="Minors"/>
                    <xsd:enumeration value="Processes, Workflow, and Tracking"/>
                    <xsd:enumeration value="QA"/>
                    <xsd:enumeration value="Quizzes"/>
                    <xsd:enumeration value="School-and Curriculum-based Elements"/>
                    <xsd:enumeration value="Standards"/>
                    <xsd:enumeration value="Styles"/>
                    <xsd:enumeration value="Technology-based Elements"/>
                    <xsd:enumeration value="Templates"/>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6d0c8fd-6622-4da9-9cbf-9acea4ad9ee9" elementFormDefault="qualified">
    <xsd:import namespace="http://schemas.microsoft.com/office/2006/documentManagement/types"/>
    <xsd:import namespace="http://schemas.microsoft.com/office/infopath/2007/PartnerControls"/>
    <xsd:element name="LinkID" ma:index="6" nillable="true" ma:displayName="LinkID" ma:default="0" ma:description="" ma:internalName="LinkID">
      <xsd:simpleType>
        <xsd:restriction base="dms:Number"/>
      </xsd:simpleType>
    </xsd:element>
    <xsd:element name="Add_x0020_to_x0020_Home_x0020_Page_x003f_" ma:index="10" nillable="true" ma:displayName="Add to Home Page?" ma:default="0" ma:description="Click to have this document included as one of our most frequently used." ma:internalName="Add_x0020_to_x0020_Home_x0020_Page_x003f_" ma:readOnly="fals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Content Type"/>
        <xsd:element ref="dc:title" minOccurs="0" maxOccurs="1" ma:displayName="Leave This Space Empty"/>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CC7528-D252-41FE-A787-42CA4C1918AF}">
  <ds:schemaRefs>
    <ds:schemaRef ds:uri="http://schemas.microsoft.com/office/2006/metadata/longProperties"/>
  </ds:schemaRefs>
</ds:datastoreItem>
</file>

<file path=customXml/itemProps2.xml><?xml version="1.0" encoding="utf-8"?>
<ds:datastoreItem xmlns:ds="http://schemas.openxmlformats.org/officeDocument/2006/customXml" ds:itemID="{14EF6F46-23D2-4A1A-A566-F90C9DEF8288}">
  <ds:schemaRefs>
    <ds:schemaRef ds:uri="http://schemas.microsoft.com/sharepoint/v3/contenttype/forms"/>
  </ds:schemaRefs>
</ds:datastoreItem>
</file>

<file path=customXml/itemProps3.xml><?xml version="1.0" encoding="utf-8"?>
<ds:datastoreItem xmlns:ds="http://schemas.openxmlformats.org/officeDocument/2006/customXml" ds:itemID="{8404849A-4D74-492E-95A7-DC26ADC9FD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D0C8FD-6622-4DA9-9CBF-9ACEA4AD9EE9"/>
    <ds:schemaRef ds:uri="46d0c8fd-6622-4da9-9cbf-9acea4ad9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2AFEF4-0BDD-41CA-8A0F-0F5A25EE3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10042</Words>
  <Characters>65275</Characters>
  <Application>Microsoft Office Word</Application>
  <DocSecurity>0</DocSecurity>
  <Lines>1279</Lines>
  <Paragraphs>523</Paragraphs>
  <ScaleCrop>false</ScaleCrop>
  <HeadingPairs>
    <vt:vector size="2" baseType="variant">
      <vt:variant>
        <vt:lpstr>Title</vt:lpstr>
      </vt:variant>
      <vt:variant>
        <vt:i4>1</vt:i4>
      </vt:variant>
    </vt:vector>
  </HeadingPairs>
  <TitlesOfParts>
    <vt:vector size="1" baseType="lpstr">
      <vt:lpstr/>
    </vt:vector>
  </TitlesOfParts>
  <Company>Capella Education Company</Company>
  <LinksUpToDate>false</LinksUpToDate>
  <CharactersWithSpaces>74794</CharactersWithSpaces>
  <SharedDoc>false</SharedDoc>
  <HLinks>
    <vt:vector size="240" baseType="variant">
      <vt:variant>
        <vt:i4>5439571</vt:i4>
      </vt:variant>
      <vt:variant>
        <vt:i4>114</vt:i4>
      </vt:variant>
      <vt:variant>
        <vt:i4>0</vt:i4>
      </vt:variant>
      <vt:variant>
        <vt:i4>5</vt:i4>
      </vt:variant>
      <vt:variant>
        <vt:lpwstr>https://doi.org/10.5465/amr.1989.4308376</vt:lpwstr>
      </vt:variant>
      <vt:variant>
        <vt:lpwstr/>
      </vt:variant>
      <vt:variant>
        <vt:i4>6619232</vt:i4>
      </vt:variant>
      <vt:variant>
        <vt:i4>111</vt:i4>
      </vt:variant>
      <vt:variant>
        <vt:i4>0</vt:i4>
      </vt:variant>
      <vt:variant>
        <vt:i4>5</vt:i4>
      </vt:variant>
      <vt:variant>
        <vt:lpwstr>https://research-ebsco-com.library.capella.edu/linkprocessor/plink?id=64ea6eaa-cac0-3a22-8336-55c3f6626a14</vt:lpwstr>
      </vt:variant>
      <vt:variant>
        <vt:lpwstr/>
      </vt:variant>
      <vt:variant>
        <vt:i4>6684721</vt:i4>
      </vt:variant>
      <vt:variant>
        <vt:i4>108</vt:i4>
      </vt:variant>
      <vt:variant>
        <vt:i4>0</vt:i4>
      </vt:variant>
      <vt:variant>
        <vt:i4>5</vt:i4>
      </vt:variant>
      <vt:variant>
        <vt:lpwstr>https://cnrs.hal.science/hal-04962366v1</vt:lpwstr>
      </vt:variant>
      <vt:variant>
        <vt:lpwstr/>
      </vt:variant>
      <vt:variant>
        <vt:i4>1441878</vt:i4>
      </vt:variant>
      <vt:variant>
        <vt:i4>105</vt:i4>
      </vt:variant>
      <vt:variant>
        <vt:i4>0</vt:i4>
      </vt:variant>
      <vt:variant>
        <vt:i4>5</vt:i4>
      </vt:variant>
      <vt:variant>
        <vt:lpwstr>https://doi.org/10.1177/00187267221104985</vt:lpwstr>
      </vt:variant>
      <vt:variant>
        <vt:lpwstr/>
      </vt:variant>
      <vt:variant>
        <vt:i4>7274537</vt:i4>
      </vt:variant>
      <vt:variant>
        <vt:i4>102</vt:i4>
      </vt:variant>
      <vt:variant>
        <vt:i4>0</vt:i4>
      </vt:variant>
      <vt:variant>
        <vt:i4>5</vt:i4>
      </vt:variant>
      <vt:variant>
        <vt:lpwstr>https://doi-org.library.capella.edu/10.1002/9781118901731.iecrm0016</vt:lpwstr>
      </vt:variant>
      <vt:variant>
        <vt:lpwstr/>
      </vt:variant>
      <vt:variant>
        <vt:i4>1179742</vt:i4>
      </vt:variant>
      <vt:variant>
        <vt:i4>99</vt:i4>
      </vt:variant>
      <vt:variant>
        <vt:i4>0</vt:i4>
      </vt:variant>
      <vt:variant>
        <vt:i4>5</vt:i4>
      </vt:variant>
      <vt:variant>
        <vt:lpwstr>https://doi.org/10.1177/07417136251356470</vt:lpwstr>
      </vt:variant>
      <vt:variant>
        <vt:lpwstr/>
      </vt:variant>
      <vt:variant>
        <vt:i4>524314</vt:i4>
      </vt:variant>
      <vt:variant>
        <vt:i4>96</vt:i4>
      </vt:variant>
      <vt:variant>
        <vt:i4>0</vt:i4>
      </vt:variant>
      <vt:variant>
        <vt:i4>5</vt:i4>
      </vt:variant>
      <vt:variant>
        <vt:lpwstr>https://doi.org/10.1007/s10551-008-9928-4</vt:lpwstr>
      </vt:variant>
      <vt:variant>
        <vt:lpwstr/>
      </vt:variant>
      <vt:variant>
        <vt:i4>589894</vt:i4>
      </vt:variant>
      <vt:variant>
        <vt:i4>93</vt:i4>
      </vt:variant>
      <vt:variant>
        <vt:i4>0</vt:i4>
      </vt:variant>
      <vt:variant>
        <vt:i4>5</vt:i4>
      </vt:variant>
      <vt:variant>
        <vt:lpwstr>https://doi.org/10.25300/MISQ/2022/17265</vt:lpwstr>
      </vt:variant>
      <vt:variant>
        <vt:lpwstr/>
      </vt:variant>
      <vt:variant>
        <vt:i4>196701</vt:i4>
      </vt:variant>
      <vt:variant>
        <vt:i4>90</vt:i4>
      </vt:variant>
      <vt:variant>
        <vt:i4>0</vt:i4>
      </vt:variant>
      <vt:variant>
        <vt:i4>5</vt:i4>
      </vt:variant>
      <vt:variant>
        <vt:lpwstr>https://10.1108/09696470710726989</vt:lpwstr>
      </vt:variant>
      <vt:variant>
        <vt:lpwstr/>
      </vt:variant>
      <vt:variant>
        <vt:i4>589891</vt:i4>
      </vt:variant>
      <vt:variant>
        <vt:i4>87</vt:i4>
      </vt:variant>
      <vt:variant>
        <vt:i4>0</vt:i4>
      </vt:variant>
      <vt:variant>
        <vt:i4>5</vt:i4>
      </vt:variant>
      <vt:variant>
        <vt:lpwstr>https://doi-org.library.capella.edu/10.1093/jopart/muy052</vt:lpwstr>
      </vt:variant>
      <vt:variant>
        <vt:lpwstr/>
      </vt:variant>
      <vt:variant>
        <vt:i4>4849665</vt:i4>
      </vt:variant>
      <vt:variant>
        <vt:i4>84</vt:i4>
      </vt:variant>
      <vt:variant>
        <vt:i4>0</vt:i4>
      </vt:variant>
      <vt:variant>
        <vt:i4>5</vt:i4>
      </vt:variant>
      <vt:variant>
        <vt:lpwstr>https://doi.org/10.1029/2020GH000251</vt:lpwstr>
      </vt:variant>
      <vt:variant>
        <vt:lpwstr/>
      </vt:variant>
      <vt:variant>
        <vt:i4>5111857</vt:i4>
      </vt:variant>
      <vt:variant>
        <vt:i4>81</vt:i4>
      </vt:variant>
      <vt:variant>
        <vt:i4>0</vt:i4>
      </vt:variant>
      <vt:variant>
        <vt:i4>5</vt:i4>
      </vt:variant>
      <vt:variant>
        <vt:lpwstr>https://www.nist.gov/publications/nist-cybersecurity-framework-csf-20?utm_source=openai</vt:lpwstr>
      </vt:variant>
      <vt:variant>
        <vt:lpwstr/>
      </vt:variant>
      <vt:variant>
        <vt:i4>5308420</vt:i4>
      </vt:variant>
      <vt:variant>
        <vt:i4>78</vt:i4>
      </vt:variant>
      <vt:variant>
        <vt:i4>0</vt:i4>
      </vt:variant>
      <vt:variant>
        <vt:i4>5</vt:i4>
      </vt:variant>
      <vt:variant>
        <vt:lpwstr>https://doi.org/10.3390/businesses5010002</vt:lpwstr>
      </vt:variant>
      <vt:variant>
        <vt:lpwstr/>
      </vt:variant>
      <vt:variant>
        <vt:i4>2097249</vt:i4>
      </vt:variant>
      <vt:variant>
        <vt:i4>75</vt:i4>
      </vt:variant>
      <vt:variant>
        <vt:i4>0</vt:i4>
      </vt:variant>
      <vt:variant>
        <vt:i4>5</vt:i4>
      </vt:variant>
      <vt:variant>
        <vt:lpwstr>https://doi.org/10.2307/259247</vt:lpwstr>
      </vt:variant>
      <vt:variant>
        <vt:lpwstr/>
      </vt:variant>
      <vt:variant>
        <vt:i4>6094923</vt:i4>
      </vt:variant>
      <vt:variant>
        <vt:i4>72</vt:i4>
      </vt:variant>
      <vt:variant>
        <vt:i4>0</vt:i4>
      </vt:variant>
      <vt:variant>
        <vt:i4>5</vt:i4>
      </vt:variant>
      <vt:variant>
        <vt:lpwstr>https://doi-org.library.capella.edu/10.1177/1403494815621181</vt:lpwstr>
      </vt:variant>
      <vt:variant>
        <vt:lpwstr/>
      </vt:variant>
      <vt:variant>
        <vt:i4>3670125</vt:i4>
      </vt:variant>
      <vt:variant>
        <vt:i4>69</vt:i4>
      </vt:variant>
      <vt:variant>
        <vt:i4>0</vt:i4>
      </vt:variant>
      <vt:variant>
        <vt:i4>5</vt:i4>
      </vt:variant>
      <vt:variant>
        <vt:lpwstr>https://doi.org/10.1287/mnsc.2023.04147</vt:lpwstr>
      </vt:variant>
      <vt:variant>
        <vt:lpwstr/>
      </vt:variant>
      <vt:variant>
        <vt:i4>2949163</vt:i4>
      </vt:variant>
      <vt:variant>
        <vt:i4>66</vt:i4>
      </vt:variant>
      <vt:variant>
        <vt:i4>0</vt:i4>
      </vt:variant>
      <vt:variant>
        <vt:i4>5</vt:i4>
      </vt:variant>
      <vt:variant>
        <vt:lpwstr>https://doi.org/10.1108/IJCMA-09-2019-0172</vt:lpwstr>
      </vt:variant>
      <vt:variant>
        <vt:lpwstr/>
      </vt:variant>
      <vt:variant>
        <vt:i4>3211364</vt:i4>
      </vt:variant>
      <vt:variant>
        <vt:i4>63</vt:i4>
      </vt:variant>
      <vt:variant>
        <vt:i4>0</vt:i4>
      </vt:variant>
      <vt:variant>
        <vt:i4>5</vt:i4>
      </vt:variant>
      <vt:variant>
        <vt:lpwstr>https://doi-org.library.capella.edu/10.1002/nha3.20251</vt:lpwstr>
      </vt:variant>
      <vt:variant>
        <vt:lpwstr/>
      </vt:variant>
      <vt:variant>
        <vt:i4>5963842</vt:i4>
      </vt:variant>
      <vt:variant>
        <vt:i4>60</vt:i4>
      </vt:variant>
      <vt:variant>
        <vt:i4>0</vt:i4>
      </vt:variant>
      <vt:variant>
        <vt:i4>5</vt:i4>
      </vt:variant>
      <vt:variant>
        <vt:lpwstr>https://doi-org.library.capella.edu/10.1177/1050651908320362</vt:lpwstr>
      </vt:variant>
      <vt:variant>
        <vt:lpwstr/>
      </vt:variant>
      <vt:variant>
        <vt:i4>6684782</vt:i4>
      </vt:variant>
      <vt:variant>
        <vt:i4>57</vt:i4>
      </vt:variant>
      <vt:variant>
        <vt:i4>0</vt:i4>
      </vt:variant>
      <vt:variant>
        <vt:i4>5</vt:i4>
      </vt:variant>
      <vt:variant>
        <vt:lpwstr>https://doi-org.library.capella.edu/10.1111/ssqu.12328</vt:lpwstr>
      </vt:variant>
      <vt:variant>
        <vt:lpwstr/>
      </vt:variant>
      <vt:variant>
        <vt:i4>3080300</vt:i4>
      </vt:variant>
      <vt:variant>
        <vt:i4>54</vt:i4>
      </vt:variant>
      <vt:variant>
        <vt:i4>0</vt:i4>
      </vt:variant>
      <vt:variant>
        <vt:i4>5</vt:i4>
      </vt:variant>
      <vt:variant>
        <vt:lpwstr>https://doi.org/10.1177/160940691401300119</vt:lpwstr>
      </vt:variant>
      <vt:variant>
        <vt:lpwstr/>
      </vt:variant>
      <vt:variant>
        <vt:i4>1966150</vt:i4>
      </vt:variant>
      <vt:variant>
        <vt:i4>51</vt:i4>
      </vt:variant>
      <vt:variant>
        <vt:i4>0</vt:i4>
      </vt:variant>
      <vt:variant>
        <vt:i4>5</vt:i4>
      </vt:variant>
      <vt:variant>
        <vt:lpwstr>https://doi-org.library.capella.edu/10.1177/1525822X05279903</vt:lpwstr>
      </vt:variant>
      <vt:variant>
        <vt:lpwstr/>
      </vt:variant>
      <vt:variant>
        <vt:i4>3735589</vt:i4>
      </vt:variant>
      <vt:variant>
        <vt:i4>48</vt:i4>
      </vt:variant>
      <vt:variant>
        <vt:i4>0</vt:i4>
      </vt:variant>
      <vt:variant>
        <vt:i4>5</vt:i4>
      </vt:variant>
      <vt:variant>
        <vt:lpwstr>https://doi-org.library.capella.edu/10.1002/sd.2840</vt:lpwstr>
      </vt:variant>
      <vt:variant>
        <vt:lpwstr/>
      </vt:variant>
      <vt:variant>
        <vt:i4>917585</vt:i4>
      </vt:variant>
      <vt:variant>
        <vt:i4>45</vt:i4>
      </vt:variant>
      <vt:variant>
        <vt:i4>0</vt:i4>
      </vt:variant>
      <vt:variant>
        <vt:i4>5</vt:i4>
      </vt:variant>
      <vt:variant>
        <vt:lpwstr>https://doi.org/10.5590/JOSC.2018.10.1.02</vt:lpwstr>
      </vt:variant>
      <vt:variant>
        <vt:lpwstr/>
      </vt:variant>
      <vt:variant>
        <vt:i4>3866734</vt:i4>
      </vt:variant>
      <vt:variant>
        <vt:i4>42</vt:i4>
      </vt:variant>
      <vt:variant>
        <vt:i4>0</vt:i4>
      </vt:variant>
      <vt:variant>
        <vt:i4>5</vt:i4>
      </vt:variant>
      <vt:variant>
        <vt:lpwstr>https://10.1287/orsc.1040.0066</vt:lpwstr>
      </vt:variant>
      <vt:variant>
        <vt:lpwstr/>
      </vt:variant>
      <vt:variant>
        <vt:i4>1572892</vt:i4>
      </vt:variant>
      <vt:variant>
        <vt:i4>39</vt:i4>
      </vt:variant>
      <vt:variant>
        <vt:i4>0</vt:i4>
      </vt:variant>
      <vt:variant>
        <vt:i4>5</vt:i4>
      </vt:variant>
      <vt:variant>
        <vt:lpwstr>https://10.1007/s10551-007-9517-y</vt:lpwstr>
      </vt:variant>
      <vt:variant>
        <vt:lpwstr/>
      </vt:variant>
      <vt:variant>
        <vt:i4>786456</vt:i4>
      </vt:variant>
      <vt:variant>
        <vt:i4>36</vt:i4>
      </vt:variant>
      <vt:variant>
        <vt:i4>0</vt:i4>
      </vt:variant>
      <vt:variant>
        <vt:i4>5</vt:i4>
      </vt:variant>
      <vt:variant>
        <vt:lpwstr>https://capella.alma.exlibrisgroup.com/openurl/01CAPELLA_INST/01CAPELLA_INST:Services?genre=article&amp;atitle=Values+And+The+Foundations+Of+Strategic+Management%253A+JBE&amp;author=Freeman%252C+R+Edward%253BGilbert%252C+Daniel+R%252C+Jr%253BHartman%252C+Edwin&amp;volume=7&amp;issue=11&amp;spage=821&amp;date=1988-11-01&amp;rft.btitle=&amp;rft.jtitle=Journal+of+Business+Ethics&amp;issn=0167-4544&amp;isbn=&amp;sid=ProQ%253Aabiglobal_00438427</vt:lpwstr>
      </vt:variant>
      <vt:variant>
        <vt:lpwstr/>
      </vt:variant>
      <vt:variant>
        <vt:i4>3014704</vt:i4>
      </vt:variant>
      <vt:variant>
        <vt:i4>33</vt:i4>
      </vt:variant>
      <vt:variant>
        <vt:i4>0</vt:i4>
      </vt:variant>
      <vt:variant>
        <vt:i4>5</vt:i4>
      </vt:variant>
      <vt:variant>
        <vt:lpwstr>https://www.proquest.com/scholarly-journals/values-foundations-strategic-management/docview/198089072/se-2?accountid=27965</vt:lpwstr>
      </vt:variant>
      <vt:variant>
        <vt:lpwstr/>
      </vt:variant>
      <vt:variant>
        <vt:i4>7798901</vt:i4>
      </vt:variant>
      <vt:variant>
        <vt:i4>30</vt:i4>
      </vt:variant>
      <vt:variant>
        <vt:i4>0</vt:i4>
      </vt:variant>
      <vt:variant>
        <vt:i4>5</vt:i4>
      </vt:variant>
      <vt:variant>
        <vt:lpwstr>https://doi.org/10.5840/pom20098310</vt:lpwstr>
      </vt:variant>
      <vt:variant>
        <vt:lpwstr/>
      </vt:variant>
      <vt:variant>
        <vt:i4>1572892</vt:i4>
      </vt:variant>
      <vt:variant>
        <vt:i4>27</vt:i4>
      </vt:variant>
      <vt:variant>
        <vt:i4>0</vt:i4>
      </vt:variant>
      <vt:variant>
        <vt:i4>5</vt:i4>
      </vt:variant>
      <vt:variant>
        <vt:lpwstr>https://10.1007/s10551-007-9517-y</vt:lpwstr>
      </vt:variant>
      <vt:variant>
        <vt:lpwstr/>
      </vt:variant>
      <vt:variant>
        <vt:i4>3866734</vt:i4>
      </vt:variant>
      <vt:variant>
        <vt:i4>24</vt:i4>
      </vt:variant>
      <vt:variant>
        <vt:i4>0</vt:i4>
      </vt:variant>
      <vt:variant>
        <vt:i4>5</vt:i4>
      </vt:variant>
      <vt:variant>
        <vt:lpwstr>https://10.1287/orsc.1040.0066</vt:lpwstr>
      </vt:variant>
      <vt:variant>
        <vt:lpwstr/>
      </vt:variant>
      <vt:variant>
        <vt:i4>8323179</vt:i4>
      </vt:variant>
      <vt:variant>
        <vt:i4>21</vt:i4>
      </vt:variant>
      <vt:variant>
        <vt:i4>0</vt:i4>
      </vt:variant>
      <vt:variant>
        <vt:i4>5</vt:i4>
      </vt:variant>
      <vt:variant>
        <vt:lpwstr>https://www.proquest.com/legacydocview/EBC/3420430?accountid=27965</vt:lpwstr>
      </vt:variant>
      <vt:variant>
        <vt:lpwstr/>
      </vt:variant>
      <vt:variant>
        <vt:i4>393240</vt:i4>
      </vt:variant>
      <vt:variant>
        <vt:i4>18</vt:i4>
      </vt:variant>
      <vt:variant>
        <vt:i4>0</vt:i4>
      </vt:variant>
      <vt:variant>
        <vt:i4>5</vt:i4>
      </vt:variant>
      <vt:variant>
        <vt:lpwstr>https://doi.org/10.1007/s10551-018-4012-1</vt:lpwstr>
      </vt:variant>
      <vt:variant>
        <vt:lpwstr/>
      </vt:variant>
      <vt:variant>
        <vt:i4>786455</vt:i4>
      </vt:variant>
      <vt:variant>
        <vt:i4>15</vt:i4>
      </vt:variant>
      <vt:variant>
        <vt:i4>0</vt:i4>
      </vt:variant>
      <vt:variant>
        <vt:i4>5</vt:i4>
      </vt:variant>
      <vt:variant>
        <vt:lpwstr>https://doi.org/10.1007/s10551-015-2805-z</vt:lpwstr>
      </vt:variant>
      <vt:variant>
        <vt:lpwstr/>
      </vt:variant>
      <vt:variant>
        <vt:i4>1704018</vt:i4>
      </vt:variant>
      <vt:variant>
        <vt:i4>12</vt:i4>
      </vt:variant>
      <vt:variant>
        <vt:i4>0</vt:i4>
      </vt:variant>
      <vt:variant>
        <vt:i4>5</vt:i4>
      </vt:variant>
      <vt:variant>
        <vt:lpwstr>https://doi.org/10.1177/08903344231176453</vt:lpwstr>
      </vt:variant>
      <vt:variant>
        <vt:lpwstr/>
      </vt:variant>
      <vt:variant>
        <vt:i4>6291581</vt:i4>
      </vt:variant>
      <vt:variant>
        <vt:i4>9</vt:i4>
      </vt:variant>
      <vt:variant>
        <vt:i4>0</vt:i4>
      </vt:variant>
      <vt:variant>
        <vt:i4>5</vt:i4>
      </vt:variant>
      <vt:variant>
        <vt:lpwstr>https://doi.org/10.1136/emj.2007.050641</vt:lpwstr>
      </vt:variant>
      <vt:variant>
        <vt:lpwstr/>
      </vt:variant>
      <vt:variant>
        <vt:i4>2228333</vt:i4>
      </vt:variant>
      <vt:variant>
        <vt:i4>6</vt:i4>
      </vt:variant>
      <vt:variant>
        <vt:i4>0</vt:i4>
      </vt:variant>
      <vt:variant>
        <vt:i4>5</vt:i4>
      </vt:variant>
      <vt:variant>
        <vt:lpwstr>https://doi.org/10.1177/160940690300200201</vt:lpwstr>
      </vt:variant>
      <vt:variant>
        <vt:lpwstr/>
      </vt:variant>
      <vt:variant>
        <vt:i4>4390976</vt:i4>
      </vt:variant>
      <vt:variant>
        <vt:i4>3</vt:i4>
      </vt:variant>
      <vt:variant>
        <vt:i4>0</vt:i4>
      </vt:variant>
      <vt:variant>
        <vt:i4>5</vt:i4>
      </vt:variant>
      <vt:variant>
        <vt:lpwstr>https://doi.org/10.5840/beq200818214</vt:lpwstr>
      </vt:variant>
      <vt:variant>
        <vt:lpwstr/>
      </vt:variant>
      <vt:variant>
        <vt:i4>262154</vt:i4>
      </vt:variant>
      <vt:variant>
        <vt:i4>0</vt:i4>
      </vt:variant>
      <vt:variant>
        <vt:i4>0</vt:i4>
      </vt:variant>
      <vt:variant>
        <vt:i4>5</vt:i4>
      </vt:variant>
      <vt:variant>
        <vt:lpwstr>https://www.researchgate.net/publication/378330555_Improving_Threat_Mitigation_Through_a_Cybersecurity_Risk_Management_Framework_A_Computational_Design_Science_Approach</vt:lpwstr>
      </vt:variant>
      <vt:variant>
        <vt:lpwstr/>
      </vt:variant>
      <vt:variant>
        <vt:i4>3539063</vt:i4>
      </vt:variant>
      <vt:variant>
        <vt:i4>0</vt:i4>
      </vt:variant>
      <vt:variant>
        <vt:i4>0</vt:i4>
      </vt:variant>
      <vt:variant>
        <vt:i4>5</vt:i4>
      </vt:variant>
      <vt:variant>
        <vt:lpwstr>https://doi.org/10.3846/jbem.2025.23519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tleffler</dc:creator>
  <cp:keywords/>
  <cp:lastModifiedBy>M W</cp:lastModifiedBy>
  <cp:revision>2</cp:revision>
  <cp:lastPrinted>2004-11-23T16:45:00Z</cp:lastPrinted>
  <dcterms:created xsi:type="dcterms:W3CDTF">2026-09-06T14:20:00Z</dcterms:created>
  <dcterms:modified xsi:type="dcterms:W3CDTF">2026-09-06T14:20:00Z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Leffler, Tanya</vt:lpwstr>
  </property>
  <property fmtid="{D5CDD505-2E9C-101B-9397-08002B2CF9AE}" pid="3" name="Celeste">
    <vt:lpwstr>0</vt:lpwstr>
  </property>
  <property fmtid="{D5CDD505-2E9C-101B-9397-08002B2CF9AE}" pid="4" name="Department Info">
    <vt:lpwstr>0</vt:lpwstr>
  </property>
  <property fmtid="{D5CDD505-2E9C-101B-9397-08002B2CF9AE}" pid="5" name="The Editor Role">
    <vt:lpwstr>0</vt:lpwstr>
  </property>
  <property fmtid="{D5CDD505-2E9C-101B-9397-08002B2CF9AE}" pid="6" name="Editricks">
    <vt:lpwstr>0</vt:lpwstr>
  </property>
  <property fmtid="{D5CDD505-2E9C-101B-9397-08002B2CF9AE}" pid="7" name="Forms">
    <vt:lpwstr>1</vt:lpwstr>
  </property>
  <property fmtid="{D5CDD505-2E9C-101B-9397-08002B2CF9AE}" pid="8" name="Guidance">
    <vt:lpwstr>0</vt:lpwstr>
  </property>
  <property fmtid="{D5CDD505-2E9C-101B-9397-08002B2CF9AE}" pid="9" name="Standardized Language">
    <vt:lpwstr>0</vt:lpwstr>
  </property>
  <property fmtid="{D5CDD505-2E9C-101B-9397-08002B2CF9AE}" pid="10" name="Tool Instructions">
    <vt:lpwstr>0</vt:lpwstr>
  </property>
  <property fmtid="{D5CDD505-2E9C-101B-9397-08002B2CF9AE}" pid="11" name="Sub-page">
    <vt:lpwstr>;#Styles, Formatting, and Templates;#</vt:lpwstr>
  </property>
  <property fmtid="{D5CDD505-2E9C-101B-9397-08002B2CF9AE}" pid="12" name="ePortfolio">
    <vt:lpwstr>0</vt:lpwstr>
  </property>
  <property fmtid="{D5CDD505-2E9C-101B-9397-08002B2CF9AE}" pid="13" name="Media">
    <vt:lpwstr>0</vt:lpwstr>
  </property>
  <property fmtid="{D5CDD505-2E9C-101B-9397-08002B2CF9AE}" pid="14" name="Minors">
    <vt:lpwstr>0</vt:lpwstr>
  </property>
  <property fmtid="{D5CDD505-2E9C-101B-9397-08002B2CF9AE}" pid="15" name="Meetings Docs">
    <vt:lpwstr>0</vt:lpwstr>
  </property>
  <property fmtid="{D5CDD505-2E9C-101B-9397-08002B2CF9AE}" pid="16" name="New/Revised">
    <vt:lpwstr>0</vt:lpwstr>
  </property>
  <property fmtid="{D5CDD505-2E9C-101B-9397-08002B2CF9AE}" pid="17" name="Parts of the Course Test">
    <vt:lpwstr/>
  </property>
  <property fmtid="{D5CDD505-2E9C-101B-9397-08002B2CF9AE}" pid="18" name="Date Uploaded to Toolbox">
    <vt:lpwstr>2010-07-29T00:00:00Z</vt:lpwstr>
  </property>
  <property fmtid="{D5CDD505-2E9C-101B-9397-08002B2CF9AE}" pid="19" name="Creating Links">
    <vt:lpwstr>0</vt:lpwstr>
  </property>
  <property fmtid="{D5CDD505-2E9C-101B-9397-08002B2CF9AE}" pid="20" name="Dreamweaver">
    <vt:lpwstr>0</vt:lpwstr>
  </property>
  <property fmtid="{D5CDD505-2E9C-101B-9397-08002B2CF9AE}" pid="21" name="Checklist">
    <vt:lpwstr>0</vt:lpwstr>
  </property>
  <property fmtid="{D5CDD505-2E9C-101B-9397-08002B2CF9AE}" pid="22" name="Technologies">
    <vt:lpwstr>0</vt:lpwstr>
  </property>
  <property fmtid="{D5CDD505-2E9C-101B-9397-08002B2CF9AE}" pid="23" name="VitalSource">
    <vt:lpwstr>0</vt:lpwstr>
  </property>
  <property fmtid="{D5CDD505-2E9C-101B-9397-08002B2CF9AE}" pid="24" name="The DERG">
    <vt:lpwstr>0</vt:lpwstr>
  </property>
  <property fmtid="{D5CDD505-2E9C-101B-9397-08002B2CF9AE}" pid="25" name="Styles and Standards Column">
    <vt:lpwstr/>
  </property>
  <property fmtid="{D5CDD505-2E9C-101B-9397-08002B2CF9AE}" pid="26" name="Web Pages">
    <vt:lpwstr>0</vt:lpwstr>
  </property>
  <property fmtid="{D5CDD505-2E9C-101B-9397-08002B2CF9AE}" pid="27" name="SafeAssign">
    <vt:lpwstr>0</vt:lpwstr>
  </property>
  <property fmtid="{D5CDD505-2E9C-101B-9397-08002B2CF9AE}" pid="28" name="Styles and Formatting">
    <vt:lpwstr>1</vt:lpwstr>
  </property>
  <property fmtid="{D5CDD505-2E9C-101B-9397-08002B2CF9AE}" pid="29" name="VSS">
    <vt:lpwstr>0</vt:lpwstr>
  </property>
  <property fmtid="{D5CDD505-2E9C-101B-9397-08002B2CF9AE}" pid="30" name="EmailTo">
    <vt:lpwstr/>
  </property>
  <property fmtid="{D5CDD505-2E9C-101B-9397-08002B2CF9AE}" pid="31" name="EmailSender">
    <vt:lpwstr/>
  </property>
  <property fmtid="{D5CDD505-2E9C-101B-9397-08002B2CF9AE}" pid="32" name="EmailFrom">
    <vt:lpwstr/>
  </property>
  <property fmtid="{D5CDD505-2E9C-101B-9397-08002B2CF9AE}" pid="33" name="Filename_test">
    <vt:lpwstr/>
  </property>
  <property fmtid="{D5CDD505-2E9C-101B-9397-08002B2CF9AE}" pid="34" name="EmailSubject">
    <vt:lpwstr/>
  </property>
  <property fmtid="{D5CDD505-2E9C-101B-9397-08002B2CF9AE}" pid="35" name="EmailCc">
    <vt:lpwstr/>
  </property>
  <property fmtid="{D5CDD505-2E9C-101B-9397-08002B2CF9AE}" pid="36" name="Filename">
    <vt:lpwstr/>
  </property>
  <property fmtid="{D5CDD505-2E9C-101B-9397-08002B2CF9AE}" pid="37" name="Order">
    <vt:lpwstr>17400.0000000000</vt:lpwstr>
  </property>
  <property fmtid="{D5CDD505-2E9C-101B-9397-08002B2CF9AE}" pid="38" name="Doc Title with Link WIP">
    <vt:lpwstr>https://collaborate.capella.edu/nextgen/ngl1/editor_toolbox/All%20Documents/course_file_template_portrait.doc</vt:lpwstr>
  </property>
  <property fmtid="{D5CDD505-2E9C-101B-9397-08002B2CF9AE}" pid="39" name="ContentType">
    <vt:lpwstr>Document</vt:lpwstr>
  </property>
  <property fmtid="{D5CDD505-2E9C-101B-9397-08002B2CF9AE}" pid="40" name="Doc Status">
    <vt:lpwstr>Up to date.</vt:lpwstr>
  </property>
  <property fmtid="{D5CDD505-2E9C-101B-9397-08002B2CF9AE}" pid="41" name="Current Doc Owner">
    <vt:lpwstr>Tanya</vt:lpwstr>
  </property>
  <property fmtid="{D5CDD505-2E9C-101B-9397-08002B2CF9AE}" pid="42" name="Doc Team">
    <vt:lpwstr>Team 1</vt:lpwstr>
  </property>
  <property fmtid="{D5CDD505-2E9C-101B-9397-08002B2CF9AE}" pid="43" name="Choose Category (Left Nav)">
    <vt:lpwstr>;#Styles and Standards;#Celeste New and Revised;#Non-Celeste New and Revised;#</vt:lpwstr>
  </property>
  <property fmtid="{D5CDD505-2E9C-101B-9397-08002B2CF9AE}" pid="44" name="Archive This Doc">
    <vt:lpwstr>0</vt:lpwstr>
  </property>
  <property fmtid="{D5CDD505-2E9C-101B-9397-08002B2CF9AE}" pid="45" name="Title (with link to document)">
    <vt:lpwstr>https://share.capella.edu/functional/opux/CCD/DE/Documents/course_files_template_portrait.doc, Course Files Template (Portrait)</vt:lpwstr>
  </property>
  <property fmtid="{D5CDD505-2E9C-101B-9397-08002B2CF9AE}" pid="46" name="Description0">
    <vt:lpwstr>With placeholder text only.</vt:lpwstr>
  </property>
  <property fmtid="{D5CDD505-2E9C-101B-9397-08002B2CF9AE}" pid="47" name="Maintenance Notes">
    <vt:lpwstr>ATLAS--N/A</vt:lpwstr>
  </property>
  <property fmtid="{D5CDD505-2E9C-101B-9397-08002B2CF9AE}" pid="48" name="School-Specific Resources">
    <vt:lpwstr>;#Standards, Styles, and Templates;#</vt:lpwstr>
  </property>
  <property fmtid="{D5CDD505-2E9C-101B-9397-08002B2CF9AE}" pid="49" name="Add to Home Page?">
    <vt:lpwstr>0</vt:lpwstr>
  </property>
  <property fmtid="{D5CDD505-2E9C-101B-9397-08002B2CF9AE}" pid="50" name="Keyword">
    <vt:lpwstr>;#Templates;#</vt:lpwstr>
  </property>
  <property fmtid="{D5CDD505-2E9C-101B-9397-08002B2CF9AE}" pid="51" name="WorkflowChangePath">
    <vt:lpwstr>a908e54d-bb11-4491-974d-87c7c5b26495,24;</vt:lpwstr>
  </property>
  <property fmtid="{D5CDD505-2E9C-101B-9397-08002B2CF9AE}" pid="52" name="LinkID">
    <vt:lpwstr>103.000000000000</vt:lpwstr>
  </property>
  <property fmtid="{D5CDD505-2E9C-101B-9397-08002B2CF9AE}" pid="53" name="source_item_id">
    <vt:lpwstr>18</vt:lpwstr>
  </property>
  <property fmtid="{D5CDD505-2E9C-101B-9397-08002B2CF9AE}" pid="54" name="PublishingExpirationDate">
    <vt:lpwstr/>
  </property>
  <property fmtid="{D5CDD505-2E9C-101B-9397-08002B2CF9AE}" pid="55" name="PublishingStartDate">
    <vt:lpwstr/>
  </property>
</Properties>
</file>