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Types of Malware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Malwarebytes detect and removes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B47891" w:rsidRDefault="000F45BC">
      <w:pPr>
        <w:pStyle w:val="Heading2"/>
        <w:rPr>
          <w:rFonts w:ascii="Times New Roman" w:hAnsi="Times New Roman" w:cs="Times New Roman"/>
        </w:rPr>
      </w:pPr>
      <w:r w:rsidRPr="00B47891">
        <w:rPr>
          <w:rFonts w:ascii="Times New Roman" w:hAnsi="Times New Roman" w:cs="Times New Roman"/>
        </w:rPr>
        <w:t>REMnux</w:t>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t>Flare VM</w:t>
      </w:r>
    </w:p>
    <w:p w14:paraId="377149F5" w14:textId="4C605061" w:rsidR="00CF2FE8" w:rsidRPr="00CF2FE8" w:rsidRDefault="00CF2FE8" w:rsidP="00CF2FE8">
      <w:pPr>
        <w:rPr>
          <w:rFonts w:ascii="Times New Roman" w:hAnsi="Times New Roman" w:cs="Times New Roman"/>
          <w:b/>
          <w:bCs/>
        </w:rPr>
      </w:pPr>
      <w:r>
        <w:rPr>
          <w:rFonts w:ascii="Times New Roman" w:hAnsi="Times New Roman" w:cs="Times New Roman"/>
          <w:b/>
          <w:bCs/>
        </w:rPr>
        <w:t>FlareVM: Technology and Overview</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lastRenderedPageBreak/>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5BC"/>
    <w:rsid w:val="0015074B"/>
    <w:rsid w:val="0029639D"/>
    <w:rsid w:val="00326F90"/>
    <w:rsid w:val="009C5B44"/>
    <w:rsid w:val="00AA1D8D"/>
    <w:rsid w:val="00B21DAB"/>
    <w:rsid w:val="00B47730"/>
    <w:rsid w:val="00B47891"/>
    <w:rsid w:val="00CB0664"/>
    <w:rsid w:val="00CF2FE8"/>
    <w:rsid w:val="00F037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2.xml><?xml version="1.0" encoding="utf-8"?>
<ds:datastoreItem xmlns:ds="http://schemas.openxmlformats.org/officeDocument/2006/customXml" ds:itemID="{4374F508-89C6-4F4B-B851-D892BFE5A94F}">
  <ds:schemaRefs>
    <ds:schemaRef ds:uri="http://schemas.microsoft.com/office/infopath/2007/PartnerControls"/>
    <ds:schemaRef ds:uri="http://schemas.microsoft.com/office/2006/documentManagement/types"/>
    <ds:schemaRef ds:uri="http://purl.org/dc/elements/1.1/"/>
    <ds:schemaRef ds:uri="http://purl.org/dc/dcmitype/"/>
    <ds:schemaRef ds:uri="b518066c-9fe1-43c7-b0f2-99f9b4a3126c"/>
    <ds:schemaRef ds:uri="http://schemas.openxmlformats.org/package/2006/metadata/core-properties"/>
    <ds:schemaRef ds:uri="5d753fe0-907b-4df9-9fea-48fb23ad518e"/>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Derek Garcia</cp:lastModifiedBy>
  <cp:revision>4</cp:revision>
  <dcterms:created xsi:type="dcterms:W3CDTF">2024-04-01T15:06:00Z</dcterms:created>
  <dcterms:modified xsi:type="dcterms:W3CDTF">2024-04-02T16:33:00Z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