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0F6" w:rsidRPr="00C830F6" w:rsidRDefault="00C830F6" w:rsidP="00C830F6">
      <w:pPr>
        <w:spacing w:after="0" w:line="270" w:lineRule="atLeast"/>
        <w:rPr>
          <w:rFonts w:ascii="Georgia" w:eastAsia="Times New Roman" w:hAnsi="Georgia" w:cs="Helvetica"/>
          <w:color w:val="000000"/>
          <w:sz w:val="18"/>
          <w:szCs w:val="18"/>
          <w:lang w:eastAsia="fr-FR"/>
        </w:rPr>
      </w:pPr>
      <w:r w:rsidRPr="00C830F6">
        <w:rPr>
          <w:rFonts w:ascii="Georgia" w:eastAsia="Times New Roman" w:hAnsi="Georgia" w:cs="Helvetica"/>
          <w:color w:val="000000"/>
          <w:sz w:val="18"/>
          <w:szCs w:val="18"/>
          <w:lang w:eastAsia="fr-FR"/>
        </w:rPr>
        <w:t xml:space="preserve">Loi sur l'enseignement supérieur et la recherche : les points essentiels de la réforme </w:t>
      </w:r>
      <w:proofErr w:type="spellStart"/>
      <w:r w:rsidRPr="00C830F6">
        <w:rPr>
          <w:rFonts w:ascii="Georgia" w:eastAsia="Times New Roman" w:hAnsi="Georgia" w:cs="Helvetica"/>
          <w:color w:val="000000"/>
          <w:sz w:val="18"/>
          <w:szCs w:val="18"/>
          <w:lang w:eastAsia="fr-FR"/>
        </w:rPr>
        <w:t>Fioraso</w:t>
      </w:r>
      <w:proofErr w:type="spellEnd"/>
    </w:p>
    <w:p w:rsidR="00C830F6" w:rsidRPr="00C830F6" w:rsidRDefault="00C830F6" w:rsidP="00C830F6">
      <w:pPr>
        <w:spacing w:after="0" w:line="540" w:lineRule="atLeast"/>
        <w:outlineLvl w:val="0"/>
        <w:rPr>
          <w:rFonts w:ascii="inherit" w:eastAsia="Times New Roman" w:hAnsi="inherit" w:cs="Helvetica"/>
          <w:b/>
          <w:bCs/>
          <w:color w:val="000000"/>
          <w:kern w:val="36"/>
          <w:sz w:val="45"/>
          <w:szCs w:val="45"/>
          <w:lang w:eastAsia="fr-FR"/>
        </w:rPr>
      </w:pPr>
      <w:r w:rsidRPr="00C830F6">
        <w:rPr>
          <w:rFonts w:ascii="inherit" w:eastAsia="Times New Roman" w:hAnsi="inherit" w:cs="Helvetica"/>
          <w:b/>
          <w:bCs/>
          <w:color w:val="000000"/>
          <w:kern w:val="36"/>
          <w:sz w:val="45"/>
          <w:szCs w:val="45"/>
          <w:lang w:eastAsia="fr-FR"/>
        </w:rPr>
        <w:t>Loi ESR : quotas en BTS-DUT, prépas, licence... les mesures visant la réussite des étudiants</w:t>
      </w:r>
    </w:p>
    <w:p w:rsidR="00C830F6" w:rsidRPr="00C830F6" w:rsidRDefault="00C830F6" w:rsidP="00C830F6">
      <w:pPr>
        <w:spacing w:after="0" w:line="285" w:lineRule="atLeast"/>
        <w:rPr>
          <w:rFonts w:ascii="Georgia" w:eastAsia="Times New Roman" w:hAnsi="Georgia" w:cs="Helvetica"/>
          <w:color w:val="000000"/>
          <w:sz w:val="21"/>
          <w:szCs w:val="21"/>
          <w:lang w:eastAsia="fr-FR"/>
        </w:rPr>
      </w:pPr>
      <w:r w:rsidRPr="00C830F6">
        <w:rPr>
          <w:rFonts w:ascii="Georgia" w:eastAsia="Times New Roman" w:hAnsi="Georgia" w:cs="Helvetica"/>
          <w:i/>
          <w:iCs/>
          <w:color w:val="000000"/>
          <w:sz w:val="21"/>
          <w:szCs w:val="21"/>
          <w:lang w:eastAsia="fr-FR"/>
        </w:rPr>
        <w:t xml:space="preserve">Camille </w:t>
      </w:r>
      <w:proofErr w:type="spellStart"/>
      <w:r w:rsidRPr="00C830F6">
        <w:rPr>
          <w:rFonts w:ascii="Georgia" w:eastAsia="Times New Roman" w:hAnsi="Georgia" w:cs="Helvetica"/>
          <w:i/>
          <w:iCs/>
          <w:color w:val="000000"/>
          <w:sz w:val="21"/>
          <w:szCs w:val="21"/>
          <w:lang w:eastAsia="fr-FR"/>
        </w:rPr>
        <w:t>Stromboni</w:t>
      </w:r>
      <w:proofErr w:type="spellEnd"/>
      <w:r w:rsidRPr="00C830F6">
        <w:rPr>
          <w:rFonts w:ascii="Georgia" w:eastAsia="Times New Roman" w:hAnsi="Georgia" w:cs="Helvetica"/>
          <w:i/>
          <w:iCs/>
          <w:color w:val="000000"/>
          <w:sz w:val="21"/>
          <w:szCs w:val="21"/>
          <w:lang w:eastAsia="fr-FR"/>
        </w:rPr>
        <w:t xml:space="preserve"> </w:t>
      </w:r>
      <w:r w:rsidRPr="00C830F6">
        <w:rPr>
          <w:rFonts w:ascii="Georgia" w:eastAsia="Times New Roman" w:hAnsi="Georgia" w:cs="Helvetica"/>
          <w:color w:val="000000"/>
          <w:sz w:val="21"/>
          <w:szCs w:val="21"/>
          <w:lang w:eastAsia="fr-FR"/>
        </w:rPr>
        <w:t xml:space="preserve"> |  Publié le 15.07.2013 à 11H19, mis à jour le 25.07.2013 à 09H47 </w:t>
      </w:r>
    </w:p>
    <w:p w:rsidR="00C830F6" w:rsidRPr="00C830F6" w:rsidRDefault="00C830F6" w:rsidP="00C830F6">
      <w:pPr>
        <w:spacing w:after="0" w:line="270" w:lineRule="atLeast"/>
        <w:rPr>
          <w:rFonts w:ascii="Georgia" w:eastAsia="Times New Roman" w:hAnsi="Georgia" w:cs="Helvetica"/>
          <w:color w:val="000000"/>
          <w:sz w:val="18"/>
          <w:szCs w:val="18"/>
          <w:lang w:eastAsia="fr-FR"/>
        </w:rPr>
      </w:pPr>
    </w:p>
    <w:p w:rsidR="00C830F6" w:rsidRPr="00C830F6" w:rsidRDefault="00C830F6" w:rsidP="00C830F6">
      <w:pPr>
        <w:spacing w:after="0" w:line="270" w:lineRule="atLeast"/>
        <w:rPr>
          <w:rFonts w:ascii="Georgia" w:eastAsia="Times New Roman" w:hAnsi="Georgia" w:cs="Helvetica"/>
          <w:color w:val="000000"/>
          <w:sz w:val="18"/>
          <w:szCs w:val="18"/>
          <w:lang w:eastAsia="fr-FR"/>
        </w:rPr>
      </w:pPr>
      <w:r w:rsidRPr="00C830F6">
        <w:rPr>
          <w:rFonts w:ascii="Georgia" w:eastAsia="Times New Roman" w:hAnsi="Georgia" w:cs="Helvetica"/>
          <w:color w:val="000000"/>
          <w:sz w:val="18"/>
          <w:szCs w:val="18"/>
          <w:lang w:eastAsia="fr-FR"/>
        </w:rPr>
        <w:t xml:space="preserve">La bibliothèque Saint-Charles de l'université d'Aix-Marseille // ©C. </w:t>
      </w:r>
      <w:proofErr w:type="spellStart"/>
      <w:r w:rsidRPr="00C830F6">
        <w:rPr>
          <w:rFonts w:ascii="Georgia" w:eastAsia="Times New Roman" w:hAnsi="Georgia" w:cs="Helvetica"/>
          <w:color w:val="000000"/>
          <w:sz w:val="18"/>
          <w:szCs w:val="18"/>
          <w:lang w:eastAsia="fr-FR"/>
        </w:rPr>
        <w:t>Stromboni</w:t>
      </w:r>
      <w:proofErr w:type="spellEnd"/>
      <w:r w:rsidRPr="00C830F6">
        <w:rPr>
          <w:rFonts w:ascii="Georgia" w:eastAsia="Times New Roman" w:hAnsi="Georgia" w:cs="Helvetica"/>
          <w:color w:val="000000"/>
          <w:sz w:val="18"/>
          <w:szCs w:val="18"/>
          <w:lang w:eastAsia="fr-FR"/>
        </w:rPr>
        <w:t xml:space="preserve"> </w:t>
      </w:r>
    </w:p>
    <w:p w:rsidR="00C830F6" w:rsidRPr="00C830F6" w:rsidRDefault="00C830F6" w:rsidP="00C830F6">
      <w:pPr>
        <w:spacing w:after="0" w:line="285" w:lineRule="atLeast"/>
        <w:rPr>
          <w:rFonts w:ascii="Georgia" w:eastAsia="Times New Roman" w:hAnsi="Georgia" w:cs="Helvetica"/>
          <w:color w:val="000000"/>
          <w:sz w:val="21"/>
          <w:szCs w:val="21"/>
          <w:lang w:eastAsia="fr-FR"/>
        </w:rPr>
      </w:pPr>
      <w:r w:rsidRPr="00C830F6">
        <w:rPr>
          <w:rFonts w:ascii="Georgia" w:eastAsia="Times New Roman" w:hAnsi="Georgia" w:cs="Helvetica"/>
          <w:color w:val="000000"/>
          <w:sz w:val="21"/>
          <w:szCs w:val="21"/>
          <w:lang w:eastAsia="fr-FR"/>
        </w:rPr>
        <w:t xml:space="preserve">Adoptée par l'Assemblée nationale en dernière lecture le 9 juillet 2013, la loi sur l'enseignement supérieur et la recherche prévoit la mise en place de quotas en BTS et DUT, d'un conventionnement entre universités et classes préparatoires et, surtout, d'une nouvelle licence. </w:t>
      </w:r>
    </w:p>
    <w:p w:rsidR="00C830F6" w:rsidRPr="00C830F6" w:rsidRDefault="00C830F6" w:rsidP="00C830F6">
      <w:pPr>
        <w:shd w:val="clear" w:color="auto" w:fill="C9EAF5"/>
        <w:spacing w:after="0" w:line="300" w:lineRule="atLeast"/>
        <w:rPr>
          <w:rFonts w:ascii="Georgia" w:eastAsia="Times New Roman" w:hAnsi="Georgia" w:cs="Helvetica"/>
          <w:color w:val="000000"/>
          <w:sz w:val="18"/>
          <w:szCs w:val="18"/>
          <w:lang w:eastAsia="fr-FR"/>
        </w:rPr>
      </w:pPr>
      <w:r w:rsidRPr="00C830F6">
        <w:rPr>
          <w:rFonts w:ascii="DINBold" w:eastAsia="Times New Roman" w:hAnsi="DINBold" w:cs="Helvetica"/>
          <w:b/>
          <w:bCs/>
          <w:caps/>
          <w:color w:val="000000"/>
          <w:sz w:val="30"/>
          <w:szCs w:val="30"/>
          <w:shd w:val="clear" w:color="auto" w:fill="FFFFFF"/>
          <w:lang w:eastAsia="fr-FR"/>
        </w:rPr>
        <w:t>sommaire</w:t>
      </w:r>
    </w:p>
    <w:p w:rsidR="00C830F6" w:rsidRPr="00C830F6" w:rsidRDefault="00C830F6" w:rsidP="00C830F6">
      <w:pPr>
        <w:numPr>
          <w:ilvl w:val="0"/>
          <w:numId w:val="1"/>
        </w:numPr>
        <w:shd w:val="clear" w:color="auto" w:fill="C9EAF5"/>
        <w:spacing w:before="100" w:beforeAutospacing="1" w:after="100" w:afterAutospacing="1" w:line="270" w:lineRule="atLeast"/>
        <w:ind w:left="375"/>
        <w:rPr>
          <w:rFonts w:ascii="Georgia" w:eastAsia="Times New Roman" w:hAnsi="Georgia" w:cs="Helvetica"/>
          <w:color w:val="000000"/>
          <w:sz w:val="21"/>
          <w:szCs w:val="21"/>
          <w:lang w:eastAsia="fr-FR"/>
        </w:rPr>
      </w:pPr>
      <w:hyperlink r:id="rId8" w:history="1">
        <w:r w:rsidRPr="00C830F6">
          <w:rPr>
            <w:rFonts w:ascii="Georgia" w:eastAsia="Times New Roman" w:hAnsi="Georgia" w:cs="Helvetica"/>
            <w:color w:val="019AD2"/>
            <w:sz w:val="21"/>
            <w:szCs w:val="21"/>
            <w:lang w:eastAsia="fr-FR"/>
          </w:rPr>
          <w:t>Introduction</w:t>
        </w:r>
      </w:hyperlink>
      <w:r w:rsidRPr="00C830F6">
        <w:rPr>
          <w:rFonts w:ascii="Georgia" w:eastAsia="Times New Roman" w:hAnsi="Georgia" w:cs="Helvetica"/>
          <w:color w:val="000000"/>
          <w:sz w:val="21"/>
          <w:szCs w:val="21"/>
          <w:lang w:eastAsia="fr-FR"/>
        </w:rPr>
        <w:t xml:space="preserve"> </w:t>
      </w:r>
    </w:p>
    <w:p w:rsidR="00C830F6" w:rsidRPr="00C830F6" w:rsidRDefault="00C830F6" w:rsidP="00C830F6">
      <w:pPr>
        <w:numPr>
          <w:ilvl w:val="0"/>
          <w:numId w:val="1"/>
        </w:numPr>
        <w:shd w:val="clear" w:color="auto" w:fill="C9EAF5"/>
        <w:spacing w:before="100" w:beforeAutospacing="1" w:after="100" w:afterAutospacing="1" w:line="270" w:lineRule="atLeast"/>
        <w:ind w:left="375"/>
        <w:rPr>
          <w:rFonts w:ascii="Georgia" w:eastAsia="Times New Roman" w:hAnsi="Georgia" w:cs="Helvetica"/>
          <w:color w:val="000000"/>
          <w:sz w:val="21"/>
          <w:szCs w:val="21"/>
          <w:lang w:eastAsia="fr-FR"/>
        </w:rPr>
      </w:pPr>
      <w:hyperlink r:id="rId9" w:history="1">
        <w:r w:rsidRPr="00C830F6">
          <w:rPr>
            <w:rFonts w:ascii="Georgia" w:eastAsia="Times New Roman" w:hAnsi="Georgia" w:cs="Helvetica"/>
            <w:color w:val="000000"/>
            <w:sz w:val="21"/>
            <w:szCs w:val="21"/>
            <w:lang w:eastAsia="fr-FR"/>
          </w:rPr>
          <w:t xml:space="preserve">Loi ESR : quotas en BTS-DUT, prépas, licence... les mesures visant la réussite des étudiants </w:t>
        </w:r>
      </w:hyperlink>
    </w:p>
    <w:p w:rsidR="00C830F6" w:rsidRPr="00C830F6" w:rsidRDefault="00C830F6" w:rsidP="00C830F6">
      <w:pPr>
        <w:numPr>
          <w:ilvl w:val="0"/>
          <w:numId w:val="1"/>
        </w:numPr>
        <w:shd w:val="clear" w:color="auto" w:fill="C9EAF5"/>
        <w:spacing w:before="100" w:beforeAutospacing="1" w:after="100" w:afterAutospacing="1" w:line="270" w:lineRule="atLeast"/>
        <w:ind w:left="375"/>
        <w:rPr>
          <w:rFonts w:ascii="Georgia" w:eastAsia="Times New Roman" w:hAnsi="Georgia" w:cs="Helvetica"/>
          <w:color w:val="000000"/>
          <w:sz w:val="21"/>
          <w:szCs w:val="21"/>
          <w:lang w:eastAsia="fr-FR"/>
        </w:rPr>
      </w:pPr>
      <w:hyperlink r:id="rId10" w:history="1">
        <w:r w:rsidRPr="00C830F6">
          <w:rPr>
            <w:rFonts w:ascii="Georgia" w:eastAsia="Times New Roman" w:hAnsi="Georgia" w:cs="Helvetica"/>
            <w:color w:val="019AD2"/>
            <w:sz w:val="21"/>
            <w:szCs w:val="21"/>
            <w:lang w:eastAsia="fr-FR"/>
          </w:rPr>
          <w:t xml:space="preserve">Loi ESR : communautés, sites, conseil académique... les mesures sur la réorganisation de l'enseignement supérieur </w:t>
        </w:r>
      </w:hyperlink>
    </w:p>
    <w:p w:rsidR="00C830F6" w:rsidRPr="00C830F6" w:rsidRDefault="00C830F6" w:rsidP="00C830F6">
      <w:pPr>
        <w:numPr>
          <w:ilvl w:val="0"/>
          <w:numId w:val="1"/>
        </w:numPr>
        <w:shd w:val="clear" w:color="auto" w:fill="C9EAF5"/>
        <w:spacing w:before="100" w:beforeAutospacing="1" w:after="100" w:afterAutospacing="1" w:line="270" w:lineRule="atLeast"/>
        <w:ind w:left="375"/>
        <w:rPr>
          <w:rFonts w:ascii="Georgia" w:eastAsia="Times New Roman" w:hAnsi="Georgia" w:cs="Helvetica"/>
          <w:color w:val="000000"/>
          <w:sz w:val="21"/>
          <w:szCs w:val="21"/>
          <w:lang w:eastAsia="fr-FR"/>
        </w:rPr>
      </w:pPr>
      <w:hyperlink r:id="rId11" w:history="1">
        <w:r w:rsidRPr="00C830F6">
          <w:rPr>
            <w:rFonts w:ascii="Georgia" w:eastAsia="Times New Roman" w:hAnsi="Georgia" w:cs="Helvetica"/>
            <w:color w:val="019AD2"/>
            <w:sz w:val="21"/>
            <w:szCs w:val="21"/>
            <w:lang w:eastAsia="fr-FR"/>
          </w:rPr>
          <w:t xml:space="preserve">Loi ESR : AERES, doctorat, accréditation... les mesures sur l'évaluation et la recherche </w:t>
        </w:r>
      </w:hyperlink>
    </w:p>
    <w:p w:rsidR="00C830F6" w:rsidRPr="00C830F6" w:rsidRDefault="00C830F6" w:rsidP="00C830F6">
      <w:pPr>
        <w:spacing w:after="0" w:line="405" w:lineRule="atLeast"/>
        <w:outlineLvl w:val="2"/>
        <w:rPr>
          <w:rFonts w:ascii="inherit" w:eastAsia="Times New Roman" w:hAnsi="inherit" w:cs="Helvetica"/>
          <w:b/>
          <w:bCs/>
          <w:color w:val="000000"/>
          <w:sz w:val="27"/>
          <w:szCs w:val="27"/>
          <w:lang w:eastAsia="fr-FR"/>
        </w:rPr>
      </w:pPr>
      <w:r w:rsidRPr="00C830F6">
        <w:rPr>
          <w:rFonts w:ascii="inherit" w:eastAsia="Times New Roman" w:hAnsi="inherit" w:cs="Helvetica"/>
          <w:b/>
          <w:bCs/>
          <w:color w:val="000000"/>
          <w:sz w:val="27"/>
          <w:szCs w:val="27"/>
          <w:lang w:eastAsia="fr-FR"/>
        </w:rPr>
        <w:t>Priorité aux bacs pro et techno en BTS et DUT</w:t>
      </w:r>
    </w:p>
    <w:p w:rsidR="00C830F6" w:rsidRPr="00C830F6" w:rsidRDefault="00C830F6" w:rsidP="00C830F6">
      <w:pPr>
        <w:spacing w:after="0" w:line="285" w:lineRule="atLeast"/>
        <w:rPr>
          <w:rFonts w:ascii="Georgia" w:eastAsia="Times New Roman" w:hAnsi="Georgia" w:cs="Helvetica"/>
          <w:color w:val="000000"/>
          <w:sz w:val="21"/>
          <w:szCs w:val="21"/>
          <w:lang w:eastAsia="fr-FR"/>
        </w:rPr>
      </w:pPr>
      <w:r w:rsidRPr="00C830F6">
        <w:rPr>
          <w:rFonts w:ascii="Georgia" w:eastAsia="Times New Roman" w:hAnsi="Georgia" w:cs="Helvetica"/>
          <w:color w:val="000000"/>
          <w:sz w:val="21"/>
          <w:szCs w:val="21"/>
          <w:lang w:eastAsia="fr-FR"/>
        </w:rPr>
        <w:t>La loi sur l'ESR souhaite donner la priorité aux bacheliers professionnels en STS (sections de techniciens supérieurs) et aux bacheliers technologiques en IUT (institut universitaire de technologie). Celle-ci se matérialisera par des quotas.</w:t>
      </w:r>
      <w:r w:rsidRPr="00C830F6">
        <w:rPr>
          <w:rFonts w:ascii="Georgia" w:eastAsia="Times New Roman" w:hAnsi="Georgia" w:cs="Helvetica"/>
          <w:b/>
          <w:bCs/>
          <w:color w:val="000000"/>
          <w:sz w:val="21"/>
          <w:szCs w:val="21"/>
          <w:lang w:eastAsia="fr-FR"/>
        </w:rPr>
        <w:t xml:space="preserve"> Un "pourcentage minimal" sera fixé par le recteur</w:t>
      </w:r>
      <w:r w:rsidRPr="00C830F6">
        <w:rPr>
          <w:rFonts w:ascii="Georgia" w:eastAsia="Times New Roman" w:hAnsi="Georgia" w:cs="Helvetica"/>
          <w:color w:val="000000"/>
          <w:sz w:val="21"/>
          <w:szCs w:val="21"/>
          <w:lang w:eastAsia="fr-FR"/>
        </w:rPr>
        <w:t>, "en tenant compte de la spécialité du diplôme préparé", avec des "critères appropriés de vérification de leurs aptitudes", et en concertation avec le président d'université, les directeurs d'IUT, de CFA (centres de formation d'apprentis), ainsi que les proviseurs de lycées ayant une STS.</w:t>
      </w:r>
      <w:r w:rsidRPr="00C830F6">
        <w:rPr>
          <w:rFonts w:ascii="Georgia" w:eastAsia="Times New Roman" w:hAnsi="Georgia" w:cs="Helvetica"/>
          <w:color w:val="000000"/>
          <w:sz w:val="21"/>
          <w:szCs w:val="21"/>
          <w:lang w:eastAsia="fr-FR"/>
        </w:rPr>
        <w:br/>
      </w:r>
      <w:r w:rsidRPr="00C830F6">
        <w:rPr>
          <w:rFonts w:ascii="Georgia" w:eastAsia="Times New Roman" w:hAnsi="Georgia" w:cs="Helvetica"/>
          <w:color w:val="000000"/>
          <w:sz w:val="21"/>
          <w:szCs w:val="21"/>
          <w:lang w:eastAsia="fr-FR"/>
        </w:rPr>
        <w:br/>
      </w:r>
      <w:r w:rsidRPr="00C830F6">
        <w:rPr>
          <w:rFonts w:ascii="Georgia" w:eastAsia="Times New Roman" w:hAnsi="Georgia" w:cs="Helvetica"/>
          <w:i/>
          <w:iCs/>
          <w:color w:val="000000"/>
          <w:sz w:val="21"/>
          <w:szCs w:val="21"/>
          <w:lang w:eastAsia="fr-FR"/>
        </w:rPr>
        <w:t>(</w:t>
      </w:r>
      <w:hyperlink r:id="rId12" w:tgtFrame="_blank" w:history="1">
        <w:r w:rsidRPr="00C830F6">
          <w:rPr>
            <w:rFonts w:ascii="Georgia" w:eastAsia="Times New Roman" w:hAnsi="Georgia" w:cs="Helvetica"/>
            <w:i/>
            <w:iCs/>
            <w:color w:val="000000"/>
            <w:sz w:val="21"/>
            <w:szCs w:val="21"/>
            <w:lang w:eastAsia="fr-FR"/>
          </w:rPr>
          <w:t>Voir l'article 18</w:t>
        </w:r>
      </w:hyperlink>
      <w:r w:rsidRPr="00C830F6">
        <w:rPr>
          <w:rFonts w:ascii="Georgia" w:eastAsia="Times New Roman" w:hAnsi="Georgia" w:cs="Helvetica"/>
          <w:i/>
          <w:iCs/>
          <w:color w:val="000000"/>
          <w:sz w:val="21"/>
          <w:szCs w:val="21"/>
          <w:lang w:eastAsia="fr-FR"/>
        </w:rPr>
        <w:t>.)</w:t>
      </w:r>
      <w:r w:rsidRPr="00C830F6">
        <w:rPr>
          <w:rFonts w:ascii="Georgia" w:eastAsia="Times New Roman" w:hAnsi="Georgia" w:cs="Helvetica"/>
          <w:color w:val="000000"/>
          <w:sz w:val="21"/>
          <w:szCs w:val="21"/>
          <w:lang w:eastAsia="fr-FR"/>
        </w:rPr>
        <w:br/>
      </w:r>
      <w:r w:rsidRPr="00C830F6">
        <w:rPr>
          <w:rFonts w:ascii="Georgia" w:eastAsia="Times New Roman" w:hAnsi="Georgia" w:cs="Helvetica"/>
          <w:color w:val="000000"/>
          <w:sz w:val="21"/>
          <w:szCs w:val="21"/>
          <w:lang w:eastAsia="fr-FR"/>
        </w:rPr>
        <w:br/>
        <w:t xml:space="preserve">Lire aussi : </w:t>
      </w:r>
      <w:hyperlink r:id="rId13" w:history="1">
        <w:r w:rsidRPr="00C830F6">
          <w:rPr>
            <w:rFonts w:ascii="Georgia" w:eastAsia="Times New Roman" w:hAnsi="Georgia" w:cs="Helvetica"/>
            <w:color w:val="000000"/>
            <w:sz w:val="21"/>
            <w:szCs w:val="21"/>
            <w:lang w:eastAsia="fr-FR"/>
          </w:rPr>
          <w:t>Bacs pro et techno en STS et IUT : oui à l'objectif, non aux quotas</w:t>
        </w:r>
      </w:hyperlink>
    </w:p>
    <w:p w:rsidR="00C830F6" w:rsidRPr="00C830F6" w:rsidRDefault="00C830F6" w:rsidP="00C830F6">
      <w:pPr>
        <w:spacing w:after="0" w:line="405" w:lineRule="atLeast"/>
        <w:outlineLvl w:val="2"/>
        <w:rPr>
          <w:rFonts w:ascii="inherit" w:eastAsia="Times New Roman" w:hAnsi="inherit" w:cs="Helvetica"/>
          <w:b/>
          <w:bCs/>
          <w:color w:val="000000"/>
          <w:sz w:val="27"/>
          <w:szCs w:val="27"/>
          <w:lang w:eastAsia="fr-FR"/>
        </w:rPr>
      </w:pPr>
      <w:r w:rsidRPr="00C830F6">
        <w:rPr>
          <w:rFonts w:ascii="inherit" w:eastAsia="Times New Roman" w:hAnsi="inherit" w:cs="Helvetica"/>
          <w:b/>
          <w:bCs/>
          <w:color w:val="000000"/>
          <w:sz w:val="27"/>
          <w:szCs w:val="27"/>
          <w:lang w:eastAsia="fr-FR"/>
        </w:rPr>
        <w:t>Les conventions universités/classes prépas et la double inscription</w:t>
      </w:r>
    </w:p>
    <w:p w:rsidR="00C830F6" w:rsidRPr="00C830F6" w:rsidRDefault="00C830F6" w:rsidP="00C830F6">
      <w:pPr>
        <w:spacing w:after="0" w:line="285" w:lineRule="atLeast"/>
        <w:rPr>
          <w:rFonts w:ascii="Georgia" w:eastAsia="Times New Roman" w:hAnsi="Georgia" w:cs="Helvetica"/>
          <w:color w:val="000000"/>
          <w:sz w:val="21"/>
          <w:szCs w:val="21"/>
          <w:lang w:eastAsia="fr-FR"/>
        </w:rPr>
      </w:pPr>
      <w:r w:rsidRPr="00C830F6">
        <w:rPr>
          <w:rFonts w:ascii="Georgia" w:eastAsia="Times New Roman" w:hAnsi="Georgia" w:cs="Helvetica"/>
          <w:color w:val="000000"/>
          <w:sz w:val="21"/>
          <w:szCs w:val="21"/>
          <w:lang w:eastAsia="fr-FR"/>
        </w:rPr>
        <w:t xml:space="preserve">"Chaque lycée disposant d'au moins une formation d’enseignement supérieur conclut une convention avec un ou plusieurs EPCSCP (établissements publics à caractère scientifique, culturel et professionnel) de son choix dans son académie, afin de </w:t>
      </w:r>
      <w:r w:rsidRPr="00C830F6">
        <w:rPr>
          <w:rFonts w:ascii="Georgia" w:eastAsia="Times New Roman" w:hAnsi="Georgia" w:cs="Helvetica"/>
          <w:b/>
          <w:bCs/>
          <w:color w:val="000000"/>
          <w:sz w:val="21"/>
          <w:szCs w:val="21"/>
          <w:lang w:eastAsia="fr-FR"/>
        </w:rPr>
        <w:t>prévoir des rapprochements dans les domaines pédagogiques et de la recherche</w:t>
      </w:r>
      <w:r w:rsidRPr="00C830F6">
        <w:rPr>
          <w:rFonts w:ascii="Georgia" w:eastAsia="Times New Roman" w:hAnsi="Georgia" w:cs="Helvetica"/>
          <w:color w:val="000000"/>
          <w:sz w:val="21"/>
          <w:szCs w:val="21"/>
          <w:lang w:eastAsia="fr-FR"/>
        </w:rPr>
        <w:t xml:space="preserve"> et de faciliter les parcours de formation des étudiants", établit le projet de loi. Cette convention définit les "modalités de mise en œuvre d'</w:t>
      </w:r>
      <w:r w:rsidRPr="00C830F6">
        <w:rPr>
          <w:rFonts w:ascii="Georgia" w:eastAsia="Times New Roman" w:hAnsi="Georgia" w:cs="Helvetica"/>
          <w:b/>
          <w:bCs/>
          <w:color w:val="000000"/>
          <w:sz w:val="21"/>
          <w:szCs w:val="21"/>
          <w:lang w:eastAsia="fr-FR"/>
        </w:rPr>
        <w:t>enseignements</w:t>
      </w:r>
      <w:r w:rsidRPr="00C830F6">
        <w:rPr>
          <w:rFonts w:ascii="Georgia" w:eastAsia="Times New Roman" w:hAnsi="Georgia" w:cs="Helvetica"/>
          <w:color w:val="000000"/>
          <w:sz w:val="21"/>
          <w:szCs w:val="21"/>
          <w:lang w:eastAsia="fr-FR"/>
        </w:rPr>
        <w:t xml:space="preserve"> </w:t>
      </w:r>
      <w:r w:rsidRPr="00C830F6">
        <w:rPr>
          <w:rFonts w:ascii="Georgia" w:eastAsia="Times New Roman" w:hAnsi="Georgia" w:cs="Helvetica"/>
          <w:b/>
          <w:bCs/>
          <w:color w:val="000000"/>
          <w:sz w:val="21"/>
          <w:szCs w:val="21"/>
          <w:lang w:eastAsia="fr-FR"/>
        </w:rPr>
        <w:t>communs</w:t>
      </w:r>
      <w:r w:rsidRPr="00C830F6">
        <w:rPr>
          <w:rFonts w:ascii="Georgia" w:eastAsia="Times New Roman" w:hAnsi="Georgia" w:cs="Helvetica"/>
          <w:color w:val="000000"/>
          <w:sz w:val="21"/>
          <w:szCs w:val="21"/>
          <w:lang w:eastAsia="fr-FR"/>
        </w:rPr>
        <w:t>".</w:t>
      </w:r>
    </w:p>
    <w:p w:rsidR="00C830F6" w:rsidRPr="00C830F6" w:rsidRDefault="00C830F6" w:rsidP="00C830F6">
      <w:pPr>
        <w:spacing w:after="0" w:line="285" w:lineRule="atLeast"/>
        <w:rPr>
          <w:rFonts w:ascii="Georgia" w:eastAsia="Times New Roman" w:hAnsi="Georgia" w:cs="Helvetica"/>
          <w:color w:val="000000"/>
          <w:sz w:val="21"/>
          <w:szCs w:val="21"/>
          <w:lang w:eastAsia="fr-FR"/>
        </w:rPr>
      </w:pPr>
      <w:r w:rsidRPr="00C830F6">
        <w:rPr>
          <w:rFonts w:ascii="Georgia" w:eastAsia="Times New Roman" w:hAnsi="Georgia" w:cs="Helvetica"/>
          <w:color w:val="000000"/>
          <w:sz w:val="21"/>
          <w:szCs w:val="21"/>
          <w:lang w:eastAsia="fr-FR"/>
        </w:rPr>
        <w:t xml:space="preserve">Si le conventionnement concerne CPGE et BTS, </w:t>
      </w:r>
      <w:r w:rsidRPr="00C830F6">
        <w:rPr>
          <w:rFonts w:ascii="Georgia" w:eastAsia="Times New Roman" w:hAnsi="Georgia" w:cs="Helvetica"/>
          <w:b/>
          <w:bCs/>
          <w:color w:val="000000"/>
          <w:sz w:val="21"/>
          <w:szCs w:val="21"/>
          <w:lang w:eastAsia="fr-FR"/>
        </w:rPr>
        <w:t>le principe de double inscription est mis en place seulement pour les classes préparatoires</w:t>
      </w:r>
      <w:r w:rsidRPr="00C830F6">
        <w:rPr>
          <w:rFonts w:ascii="Georgia" w:eastAsia="Times New Roman" w:hAnsi="Georgia" w:cs="Helvetica"/>
          <w:color w:val="000000"/>
          <w:sz w:val="21"/>
          <w:szCs w:val="21"/>
          <w:lang w:eastAsia="fr-FR"/>
        </w:rPr>
        <w:t>. Tout élève qui intègre une prépa sera en effet inscrit à l'université partenaire et devra régler les droits d'inscription qui en découlent.</w:t>
      </w:r>
    </w:p>
    <w:p w:rsidR="00C830F6" w:rsidRPr="00C830F6" w:rsidRDefault="00C830F6" w:rsidP="00C830F6">
      <w:pPr>
        <w:spacing w:after="0" w:line="285" w:lineRule="atLeast"/>
        <w:rPr>
          <w:rFonts w:ascii="Georgia" w:eastAsia="Times New Roman" w:hAnsi="Georgia" w:cs="Helvetica"/>
          <w:color w:val="000000"/>
          <w:sz w:val="21"/>
          <w:szCs w:val="21"/>
          <w:lang w:eastAsia="fr-FR"/>
        </w:rPr>
      </w:pPr>
      <w:r w:rsidRPr="00C830F6">
        <w:rPr>
          <w:rFonts w:ascii="Georgia" w:eastAsia="Times New Roman" w:hAnsi="Georgia" w:cs="Helvetica"/>
          <w:i/>
          <w:iCs/>
          <w:color w:val="000000"/>
          <w:sz w:val="21"/>
          <w:szCs w:val="21"/>
          <w:lang w:eastAsia="fr-FR"/>
        </w:rPr>
        <w:t>(</w:t>
      </w:r>
      <w:hyperlink r:id="rId14" w:tgtFrame="_blank" w:history="1">
        <w:r w:rsidRPr="00C830F6">
          <w:rPr>
            <w:rFonts w:ascii="Georgia" w:eastAsia="Times New Roman" w:hAnsi="Georgia" w:cs="Helvetica"/>
            <w:i/>
            <w:iCs/>
            <w:color w:val="000000"/>
            <w:sz w:val="21"/>
            <w:szCs w:val="21"/>
            <w:lang w:eastAsia="fr-FR"/>
          </w:rPr>
          <w:t>Voir l'article 18</w:t>
        </w:r>
      </w:hyperlink>
      <w:r w:rsidRPr="00C830F6">
        <w:rPr>
          <w:rFonts w:ascii="Georgia" w:eastAsia="Times New Roman" w:hAnsi="Georgia" w:cs="Helvetica"/>
          <w:i/>
          <w:iCs/>
          <w:color w:val="000000"/>
          <w:sz w:val="21"/>
          <w:szCs w:val="21"/>
          <w:lang w:eastAsia="fr-FR"/>
        </w:rPr>
        <w:t>.)</w:t>
      </w:r>
    </w:p>
    <w:p w:rsidR="00C830F6" w:rsidRPr="00C830F6" w:rsidRDefault="00C830F6" w:rsidP="00C830F6">
      <w:pPr>
        <w:spacing w:after="0" w:line="405" w:lineRule="atLeast"/>
        <w:outlineLvl w:val="2"/>
        <w:rPr>
          <w:rFonts w:ascii="inherit" w:eastAsia="Times New Roman" w:hAnsi="inherit" w:cs="Helvetica"/>
          <w:b/>
          <w:bCs/>
          <w:color w:val="000000"/>
          <w:sz w:val="27"/>
          <w:szCs w:val="27"/>
          <w:lang w:eastAsia="fr-FR"/>
        </w:rPr>
      </w:pPr>
      <w:r w:rsidRPr="00C830F6">
        <w:rPr>
          <w:rFonts w:ascii="inherit" w:eastAsia="Times New Roman" w:hAnsi="inherit" w:cs="Helvetica"/>
          <w:b/>
          <w:bCs/>
          <w:color w:val="000000"/>
          <w:sz w:val="27"/>
          <w:szCs w:val="27"/>
          <w:lang w:eastAsia="fr-FR"/>
        </w:rPr>
        <w:t>Des places en filières sélectives pour les élèves méritants</w:t>
      </w:r>
    </w:p>
    <w:p w:rsidR="00C830F6" w:rsidRPr="00C830F6" w:rsidRDefault="00C830F6" w:rsidP="00C830F6">
      <w:pPr>
        <w:spacing w:after="0" w:line="285" w:lineRule="atLeast"/>
        <w:rPr>
          <w:rFonts w:ascii="Georgia" w:eastAsia="Times New Roman" w:hAnsi="Georgia" w:cs="Helvetica"/>
          <w:color w:val="000000"/>
          <w:sz w:val="21"/>
          <w:szCs w:val="21"/>
          <w:lang w:eastAsia="fr-FR"/>
        </w:rPr>
      </w:pPr>
      <w:r w:rsidRPr="00C830F6">
        <w:rPr>
          <w:rFonts w:ascii="Georgia" w:eastAsia="Times New Roman" w:hAnsi="Georgia" w:cs="Helvetica"/>
          <w:color w:val="000000"/>
          <w:sz w:val="21"/>
          <w:szCs w:val="21"/>
          <w:lang w:eastAsia="fr-FR"/>
        </w:rPr>
        <w:t xml:space="preserve">Sur la base de leurs résultats au bac, les meilleurs élèves de chaque lycée se verront proposer des places en filières sélectives publiques (CPGE, IUT, IEP…). Le pourcentage d'élèves bénéficiant chaque année de ce droit d'accès sera fixé par décret. </w:t>
      </w:r>
      <w:r w:rsidRPr="00C830F6">
        <w:rPr>
          <w:rFonts w:ascii="Georgia" w:eastAsia="Times New Roman" w:hAnsi="Georgia" w:cs="Helvetica"/>
          <w:color w:val="000000"/>
          <w:sz w:val="21"/>
          <w:szCs w:val="21"/>
          <w:lang w:eastAsia="fr-FR"/>
        </w:rPr>
        <w:br/>
      </w:r>
      <w:bookmarkStart w:id="0" w:name="_GoBack"/>
      <w:bookmarkEnd w:id="0"/>
      <w:r w:rsidRPr="00C830F6">
        <w:rPr>
          <w:rFonts w:ascii="Georgia" w:eastAsia="Times New Roman" w:hAnsi="Georgia" w:cs="Helvetica"/>
          <w:color w:val="000000"/>
          <w:sz w:val="21"/>
          <w:szCs w:val="21"/>
          <w:lang w:eastAsia="fr-FR"/>
        </w:rPr>
        <w:lastRenderedPageBreak/>
        <w:t xml:space="preserve">Lire aussi : </w:t>
      </w:r>
      <w:hyperlink r:id="rId15" w:history="1">
        <w:r w:rsidRPr="00C830F6">
          <w:rPr>
            <w:rFonts w:ascii="Georgia" w:eastAsia="Times New Roman" w:hAnsi="Georgia" w:cs="Helvetica"/>
            <w:color w:val="000000"/>
            <w:sz w:val="21"/>
            <w:szCs w:val="21"/>
            <w:lang w:eastAsia="fr-FR"/>
          </w:rPr>
          <w:t>Patrick Weil : "Un droit pour les élèves méritants d'accéder aux filières sélectives n'est pas de la discrimination positive</w:t>
        </w:r>
      </w:hyperlink>
      <w:r w:rsidRPr="00C830F6">
        <w:rPr>
          <w:rFonts w:ascii="Georgia" w:eastAsia="Times New Roman" w:hAnsi="Georgia" w:cs="Helvetica"/>
          <w:color w:val="000000"/>
          <w:sz w:val="21"/>
          <w:szCs w:val="21"/>
          <w:lang w:eastAsia="fr-FR"/>
        </w:rPr>
        <w:t>"</w:t>
      </w:r>
    </w:p>
    <w:p w:rsidR="00C830F6" w:rsidRPr="00C830F6" w:rsidRDefault="00C830F6" w:rsidP="00C830F6">
      <w:pPr>
        <w:spacing w:after="0" w:line="285" w:lineRule="atLeast"/>
        <w:rPr>
          <w:rFonts w:ascii="Georgia" w:eastAsia="Times New Roman" w:hAnsi="Georgia" w:cs="Helvetica"/>
          <w:color w:val="000000"/>
          <w:sz w:val="21"/>
          <w:szCs w:val="21"/>
          <w:lang w:eastAsia="fr-FR"/>
        </w:rPr>
      </w:pPr>
    </w:p>
    <w:p w:rsidR="00C830F6" w:rsidRPr="00C830F6" w:rsidRDefault="00C830F6" w:rsidP="00C830F6">
      <w:pPr>
        <w:spacing w:after="0" w:line="405" w:lineRule="atLeast"/>
        <w:outlineLvl w:val="2"/>
        <w:rPr>
          <w:rFonts w:ascii="inherit" w:eastAsia="Times New Roman" w:hAnsi="inherit" w:cs="Helvetica"/>
          <w:b/>
          <w:bCs/>
          <w:color w:val="000000"/>
          <w:sz w:val="27"/>
          <w:szCs w:val="27"/>
          <w:lang w:eastAsia="fr-FR"/>
        </w:rPr>
      </w:pPr>
      <w:r w:rsidRPr="00C830F6">
        <w:rPr>
          <w:rFonts w:ascii="inherit" w:eastAsia="Times New Roman" w:hAnsi="inherit" w:cs="Helvetica"/>
          <w:b/>
          <w:bCs/>
          <w:color w:val="000000"/>
          <w:sz w:val="27"/>
          <w:szCs w:val="27"/>
          <w:lang w:eastAsia="fr-FR"/>
        </w:rPr>
        <w:t>La spécialisation progressive en licence</w:t>
      </w:r>
    </w:p>
    <w:p w:rsidR="00C830F6" w:rsidRPr="00C830F6" w:rsidRDefault="00C830F6" w:rsidP="00C830F6">
      <w:pPr>
        <w:spacing w:after="0" w:line="285" w:lineRule="atLeast"/>
        <w:rPr>
          <w:rFonts w:ascii="Georgia" w:eastAsia="Times New Roman" w:hAnsi="Georgia" w:cs="Helvetica"/>
          <w:color w:val="000000"/>
          <w:sz w:val="21"/>
          <w:szCs w:val="21"/>
          <w:lang w:eastAsia="fr-FR"/>
        </w:rPr>
      </w:pPr>
      <w:r w:rsidRPr="00C830F6">
        <w:rPr>
          <w:rFonts w:ascii="Georgia" w:eastAsia="Times New Roman" w:hAnsi="Georgia" w:cs="Helvetica"/>
          <w:color w:val="000000"/>
          <w:sz w:val="21"/>
          <w:szCs w:val="21"/>
          <w:lang w:eastAsia="fr-FR"/>
        </w:rPr>
        <w:t xml:space="preserve">Le premier cycle a désormais aussi pour finalité "d’accompagner tout étudiant dans l’identification et dans la constitution d’un projet personnel et professionnel, sur la base d’un enseignement pluridisciplinaire et ainsi d’une spécialisation progressive des études", indique la loi. Cet ajout à l'article L.612-2 du Code de l'éducation ouvre la voie à la </w:t>
      </w:r>
      <w:r w:rsidRPr="00C830F6">
        <w:rPr>
          <w:rFonts w:ascii="Georgia" w:eastAsia="Times New Roman" w:hAnsi="Georgia" w:cs="Helvetica"/>
          <w:b/>
          <w:bCs/>
          <w:color w:val="000000"/>
          <w:sz w:val="21"/>
          <w:szCs w:val="21"/>
          <w:lang w:eastAsia="fr-FR"/>
        </w:rPr>
        <w:t>mise en place d'une licence universitaire plus généraliste</w:t>
      </w:r>
      <w:r w:rsidRPr="00C830F6">
        <w:rPr>
          <w:rFonts w:ascii="Georgia" w:eastAsia="Times New Roman" w:hAnsi="Georgia" w:cs="Helvetica"/>
          <w:color w:val="000000"/>
          <w:sz w:val="21"/>
          <w:szCs w:val="21"/>
          <w:lang w:eastAsia="fr-FR"/>
        </w:rPr>
        <w:t xml:space="preserve">, défendue par Geneviève </w:t>
      </w:r>
      <w:proofErr w:type="spellStart"/>
      <w:r w:rsidRPr="00C830F6">
        <w:rPr>
          <w:rFonts w:ascii="Georgia" w:eastAsia="Times New Roman" w:hAnsi="Georgia" w:cs="Helvetica"/>
          <w:color w:val="000000"/>
          <w:sz w:val="21"/>
          <w:szCs w:val="21"/>
          <w:lang w:eastAsia="fr-FR"/>
        </w:rPr>
        <w:t>Fioraso</w:t>
      </w:r>
      <w:proofErr w:type="spellEnd"/>
      <w:r w:rsidRPr="00C830F6">
        <w:rPr>
          <w:rFonts w:ascii="Georgia" w:eastAsia="Times New Roman" w:hAnsi="Georgia" w:cs="Helvetica"/>
          <w:color w:val="000000"/>
          <w:sz w:val="21"/>
          <w:szCs w:val="21"/>
          <w:lang w:eastAsia="fr-FR"/>
        </w:rPr>
        <w:t xml:space="preserve">. </w:t>
      </w:r>
      <w:r w:rsidRPr="00C830F6">
        <w:rPr>
          <w:rFonts w:ascii="Georgia" w:eastAsia="Times New Roman" w:hAnsi="Georgia" w:cs="Helvetica"/>
          <w:color w:val="000000"/>
          <w:sz w:val="21"/>
          <w:szCs w:val="21"/>
          <w:lang w:eastAsia="fr-FR"/>
        </w:rPr>
        <w:br/>
      </w:r>
      <w:r w:rsidRPr="00C830F6">
        <w:rPr>
          <w:rFonts w:ascii="Georgia" w:eastAsia="Times New Roman" w:hAnsi="Georgia" w:cs="Helvetica"/>
          <w:color w:val="000000"/>
          <w:sz w:val="21"/>
          <w:szCs w:val="21"/>
          <w:lang w:eastAsia="fr-FR"/>
        </w:rPr>
        <w:br/>
        <w:t>Une volonté qui se concrétisera avec la réforme à venir de la licence. Le comité de suivi de la licence a déjà émis ses propositions d'une</w:t>
      </w:r>
      <w:r w:rsidRPr="00C830F6">
        <w:rPr>
          <w:rFonts w:ascii="Georgia" w:eastAsia="Times New Roman" w:hAnsi="Georgia" w:cs="Helvetica"/>
          <w:b/>
          <w:bCs/>
          <w:color w:val="000000"/>
          <w:sz w:val="21"/>
          <w:szCs w:val="21"/>
          <w:lang w:eastAsia="fr-FR"/>
        </w:rPr>
        <w:t xml:space="preserve"> nouvelle nomenclature des intitulés de licence générale, passant de 300 mentions à 36</w:t>
      </w:r>
      <w:r w:rsidRPr="00C830F6">
        <w:rPr>
          <w:rFonts w:ascii="Georgia" w:eastAsia="Times New Roman" w:hAnsi="Georgia" w:cs="Helvetica"/>
          <w:color w:val="000000"/>
          <w:sz w:val="21"/>
          <w:szCs w:val="21"/>
          <w:lang w:eastAsia="fr-FR"/>
        </w:rPr>
        <w:t>. Le texte final du ministère, qui passera en CNESER le 17 juillet 2013, devrait en compter une quarantaine. Ces nouveaux intitulés seront mis en place d'ici la fin de l'année, pour entrer</w:t>
      </w:r>
      <w:r w:rsidRPr="00C830F6">
        <w:rPr>
          <w:rFonts w:ascii="Georgia" w:eastAsia="Times New Roman" w:hAnsi="Georgia" w:cs="Helvetica"/>
          <w:b/>
          <w:bCs/>
          <w:color w:val="000000"/>
          <w:sz w:val="21"/>
          <w:szCs w:val="21"/>
          <w:lang w:eastAsia="fr-FR"/>
        </w:rPr>
        <w:t xml:space="preserve"> dans APB (Admission </w:t>
      </w:r>
      <w:proofErr w:type="spellStart"/>
      <w:r w:rsidRPr="00C830F6">
        <w:rPr>
          <w:rFonts w:ascii="Georgia" w:eastAsia="Times New Roman" w:hAnsi="Georgia" w:cs="Helvetica"/>
          <w:b/>
          <w:bCs/>
          <w:color w:val="000000"/>
          <w:sz w:val="21"/>
          <w:szCs w:val="21"/>
          <w:lang w:eastAsia="fr-FR"/>
        </w:rPr>
        <w:t>postbac</w:t>
      </w:r>
      <w:proofErr w:type="spellEnd"/>
      <w:r w:rsidRPr="00C830F6">
        <w:rPr>
          <w:rFonts w:ascii="Georgia" w:eastAsia="Times New Roman" w:hAnsi="Georgia" w:cs="Helvetica"/>
          <w:b/>
          <w:bCs/>
          <w:color w:val="000000"/>
          <w:sz w:val="21"/>
          <w:szCs w:val="21"/>
          <w:lang w:eastAsia="fr-FR"/>
        </w:rPr>
        <w:t>) dès la procédure 2014</w:t>
      </w:r>
      <w:r w:rsidRPr="00C830F6">
        <w:rPr>
          <w:rFonts w:ascii="Georgia" w:eastAsia="Times New Roman" w:hAnsi="Georgia" w:cs="Helvetica"/>
          <w:color w:val="000000"/>
          <w:sz w:val="21"/>
          <w:szCs w:val="21"/>
          <w:lang w:eastAsia="fr-FR"/>
        </w:rPr>
        <w:t>.</w:t>
      </w:r>
    </w:p>
    <w:p w:rsidR="00C830F6" w:rsidRPr="00C830F6" w:rsidRDefault="00C830F6" w:rsidP="00C830F6">
      <w:pPr>
        <w:spacing w:after="0" w:line="285" w:lineRule="atLeast"/>
        <w:rPr>
          <w:rFonts w:ascii="Georgia" w:eastAsia="Times New Roman" w:hAnsi="Georgia" w:cs="Helvetica"/>
          <w:color w:val="000000"/>
          <w:sz w:val="21"/>
          <w:szCs w:val="21"/>
          <w:lang w:eastAsia="fr-FR"/>
        </w:rPr>
      </w:pPr>
      <w:r w:rsidRPr="00C830F6">
        <w:rPr>
          <w:rFonts w:ascii="Georgia" w:eastAsia="Times New Roman" w:hAnsi="Georgia" w:cs="Helvetica"/>
          <w:i/>
          <w:iCs/>
          <w:color w:val="000000"/>
          <w:sz w:val="21"/>
          <w:szCs w:val="21"/>
          <w:lang w:eastAsia="fr-FR"/>
        </w:rPr>
        <w:t>(</w:t>
      </w:r>
      <w:hyperlink r:id="rId16" w:tgtFrame="_blank" w:history="1">
        <w:r w:rsidRPr="00C830F6">
          <w:rPr>
            <w:rFonts w:ascii="Georgia" w:eastAsia="Times New Roman" w:hAnsi="Georgia" w:cs="Helvetica"/>
            <w:i/>
            <w:iCs/>
            <w:color w:val="000000"/>
            <w:sz w:val="21"/>
            <w:szCs w:val="21"/>
            <w:lang w:eastAsia="fr-FR"/>
          </w:rPr>
          <w:t>Voir l'article 17</w:t>
        </w:r>
      </w:hyperlink>
      <w:r w:rsidRPr="00C830F6">
        <w:rPr>
          <w:rFonts w:ascii="Georgia" w:eastAsia="Times New Roman" w:hAnsi="Georgia" w:cs="Helvetica"/>
          <w:i/>
          <w:iCs/>
          <w:color w:val="000000"/>
          <w:sz w:val="21"/>
          <w:szCs w:val="21"/>
          <w:lang w:eastAsia="fr-FR"/>
        </w:rPr>
        <w:t>.)</w:t>
      </w:r>
    </w:p>
    <w:p w:rsidR="00C830F6" w:rsidRPr="00C830F6" w:rsidRDefault="00C830F6" w:rsidP="00C830F6">
      <w:pPr>
        <w:spacing w:after="0" w:line="285" w:lineRule="atLeast"/>
        <w:rPr>
          <w:rFonts w:ascii="Georgia" w:eastAsia="Times New Roman" w:hAnsi="Georgia" w:cs="Helvetica"/>
          <w:color w:val="000000"/>
          <w:sz w:val="21"/>
          <w:szCs w:val="21"/>
          <w:lang w:eastAsia="fr-FR"/>
        </w:rPr>
      </w:pPr>
      <w:r w:rsidRPr="00C830F6">
        <w:rPr>
          <w:rFonts w:ascii="Georgia" w:eastAsia="Times New Roman" w:hAnsi="Georgia" w:cs="Helvetica"/>
          <w:i/>
          <w:iCs/>
          <w:color w:val="000000"/>
          <w:sz w:val="21"/>
          <w:szCs w:val="21"/>
          <w:lang w:eastAsia="fr-FR"/>
        </w:rPr>
        <w:t xml:space="preserve">Lire aussi : </w:t>
      </w:r>
      <w:hyperlink r:id="rId17" w:history="1">
        <w:r w:rsidRPr="00C830F6">
          <w:rPr>
            <w:rFonts w:ascii="Georgia" w:eastAsia="Times New Roman" w:hAnsi="Georgia" w:cs="Helvetica"/>
            <w:color w:val="000000"/>
            <w:sz w:val="21"/>
            <w:szCs w:val="21"/>
            <w:lang w:eastAsia="fr-FR"/>
          </w:rPr>
          <w:t>Université : quelle nouvelle licence ?</w:t>
        </w:r>
        <w:r w:rsidRPr="00C830F6">
          <w:rPr>
            <w:rFonts w:ascii="Georgia" w:eastAsia="Times New Roman" w:hAnsi="Georgia" w:cs="Helvetica"/>
            <w:i/>
            <w:iCs/>
            <w:color w:val="000000"/>
            <w:sz w:val="21"/>
            <w:szCs w:val="21"/>
            <w:lang w:eastAsia="fr-FR"/>
          </w:rPr>
          <w:br/>
        </w:r>
      </w:hyperlink>
    </w:p>
    <w:p w:rsidR="00C830F6" w:rsidRPr="00C830F6" w:rsidRDefault="00C830F6" w:rsidP="00C830F6">
      <w:pPr>
        <w:spacing w:after="0" w:line="405" w:lineRule="atLeast"/>
        <w:outlineLvl w:val="2"/>
        <w:rPr>
          <w:rFonts w:ascii="inherit" w:eastAsia="Times New Roman" w:hAnsi="inherit" w:cs="Helvetica"/>
          <w:b/>
          <w:bCs/>
          <w:color w:val="000000"/>
          <w:sz w:val="27"/>
          <w:szCs w:val="27"/>
          <w:lang w:eastAsia="fr-FR"/>
        </w:rPr>
      </w:pPr>
      <w:r w:rsidRPr="00C830F6">
        <w:rPr>
          <w:rFonts w:ascii="inherit" w:eastAsia="Times New Roman" w:hAnsi="inherit" w:cs="Helvetica"/>
          <w:b/>
          <w:bCs/>
          <w:color w:val="000000"/>
          <w:sz w:val="27"/>
          <w:szCs w:val="27"/>
          <w:lang w:eastAsia="fr-FR"/>
        </w:rPr>
        <w:t>Des expérimentations dans la filière santé</w:t>
      </w:r>
    </w:p>
    <w:p w:rsidR="00C830F6" w:rsidRPr="00C830F6" w:rsidRDefault="00C830F6" w:rsidP="00C830F6">
      <w:pPr>
        <w:spacing w:after="0" w:line="285" w:lineRule="atLeast"/>
        <w:rPr>
          <w:rFonts w:ascii="Georgia" w:eastAsia="Times New Roman" w:hAnsi="Georgia" w:cs="Helvetica"/>
          <w:color w:val="000000"/>
          <w:sz w:val="21"/>
          <w:szCs w:val="21"/>
          <w:lang w:eastAsia="fr-FR"/>
        </w:rPr>
      </w:pPr>
      <w:r w:rsidRPr="00C830F6">
        <w:rPr>
          <w:rFonts w:ascii="Georgia" w:eastAsia="Times New Roman" w:hAnsi="Georgia" w:cs="Helvetica"/>
          <w:color w:val="000000"/>
          <w:sz w:val="21"/>
          <w:szCs w:val="21"/>
          <w:lang w:eastAsia="fr-FR"/>
        </w:rPr>
        <w:t xml:space="preserve">L'article 22 ouvre la possibilité d'expérimenter, pour une durée de six ans, de nouvelles modalités d'admission dans les études médicales, odontologiques, pharmaceutiques et de maïeutique. Il pourra s’agir de </w:t>
      </w:r>
      <w:r w:rsidRPr="00C830F6">
        <w:rPr>
          <w:rFonts w:ascii="Georgia" w:eastAsia="Times New Roman" w:hAnsi="Georgia" w:cs="Helvetica"/>
          <w:b/>
          <w:bCs/>
          <w:color w:val="000000"/>
          <w:sz w:val="21"/>
          <w:szCs w:val="21"/>
          <w:lang w:eastAsia="fr-FR"/>
        </w:rPr>
        <w:t>réorientations</w:t>
      </w:r>
      <w:r w:rsidRPr="00C830F6">
        <w:rPr>
          <w:rFonts w:ascii="Georgia" w:eastAsia="Times New Roman" w:hAnsi="Georgia" w:cs="Helvetica"/>
          <w:color w:val="000000"/>
          <w:sz w:val="21"/>
          <w:szCs w:val="21"/>
          <w:lang w:eastAsia="fr-FR"/>
        </w:rPr>
        <w:t xml:space="preserve"> pour les étudiants de première année n’ayant pas réussi les épreuves portant sur les enseignements dispensés en début d’année.</w:t>
      </w:r>
    </w:p>
    <w:p w:rsidR="00C830F6" w:rsidRPr="00C830F6" w:rsidRDefault="00C830F6" w:rsidP="00C830F6">
      <w:pPr>
        <w:spacing w:after="0" w:line="285" w:lineRule="atLeast"/>
        <w:rPr>
          <w:rFonts w:ascii="Georgia" w:eastAsia="Times New Roman" w:hAnsi="Georgia" w:cs="Helvetica"/>
          <w:color w:val="000000"/>
          <w:sz w:val="21"/>
          <w:szCs w:val="21"/>
          <w:lang w:eastAsia="fr-FR"/>
        </w:rPr>
      </w:pPr>
      <w:r w:rsidRPr="00C830F6">
        <w:rPr>
          <w:rFonts w:ascii="Georgia" w:eastAsia="Times New Roman" w:hAnsi="Georgia" w:cs="Helvetica"/>
          <w:color w:val="000000"/>
          <w:sz w:val="21"/>
          <w:szCs w:val="21"/>
          <w:lang w:eastAsia="fr-FR"/>
        </w:rPr>
        <w:t xml:space="preserve">Autre option : la mise en place d'un </w:t>
      </w:r>
      <w:r w:rsidRPr="00C830F6">
        <w:rPr>
          <w:rFonts w:ascii="Georgia" w:eastAsia="Times New Roman" w:hAnsi="Georgia" w:cs="Helvetica"/>
          <w:b/>
          <w:bCs/>
          <w:color w:val="000000"/>
          <w:sz w:val="21"/>
          <w:szCs w:val="21"/>
          <w:lang w:eastAsia="fr-FR"/>
        </w:rPr>
        <w:t>accès en deuxième ou troisième année de ces filières médicales pour les étudiants venant d'un premier cycle universitaire</w:t>
      </w:r>
      <w:r w:rsidRPr="00C830F6">
        <w:rPr>
          <w:rFonts w:ascii="Georgia" w:eastAsia="Times New Roman" w:hAnsi="Georgia" w:cs="Helvetica"/>
          <w:color w:val="000000"/>
          <w:sz w:val="21"/>
          <w:szCs w:val="21"/>
          <w:lang w:eastAsia="fr-FR"/>
        </w:rPr>
        <w:t xml:space="preserve"> adapté conduisant à un diplôme national de licence.</w:t>
      </w:r>
    </w:p>
    <w:p w:rsidR="00C830F6" w:rsidRPr="00C830F6" w:rsidRDefault="00C830F6" w:rsidP="00C830F6">
      <w:pPr>
        <w:spacing w:after="0" w:line="285" w:lineRule="atLeast"/>
        <w:rPr>
          <w:rFonts w:ascii="Georgia" w:eastAsia="Times New Roman" w:hAnsi="Georgia" w:cs="Helvetica"/>
          <w:color w:val="000000"/>
          <w:sz w:val="21"/>
          <w:szCs w:val="21"/>
          <w:lang w:eastAsia="fr-FR"/>
        </w:rPr>
      </w:pPr>
      <w:r w:rsidRPr="00C830F6">
        <w:rPr>
          <w:rFonts w:ascii="Georgia" w:eastAsia="Times New Roman" w:hAnsi="Georgia" w:cs="Helvetica"/>
          <w:color w:val="000000"/>
          <w:sz w:val="21"/>
          <w:szCs w:val="21"/>
          <w:lang w:eastAsia="fr-FR"/>
        </w:rPr>
        <w:t xml:space="preserve">Les modalités d'admission dans les formations paramédicales (hors infirmier) </w:t>
      </w:r>
      <w:proofErr w:type="gramStart"/>
      <w:r w:rsidRPr="00C830F6">
        <w:rPr>
          <w:rFonts w:ascii="Georgia" w:eastAsia="Times New Roman" w:hAnsi="Georgia" w:cs="Helvetica"/>
          <w:color w:val="000000"/>
          <w:sz w:val="21"/>
          <w:szCs w:val="21"/>
          <w:lang w:eastAsia="fr-FR"/>
        </w:rPr>
        <w:t>pourra</w:t>
      </w:r>
      <w:proofErr w:type="gramEnd"/>
      <w:r w:rsidRPr="00C830F6">
        <w:rPr>
          <w:rFonts w:ascii="Georgia" w:eastAsia="Times New Roman" w:hAnsi="Georgia" w:cs="Helvetica"/>
          <w:color w:val="000000"/>
          <w:sz w:val="21"/>
          <w:szCs w:val="21"/>
          <w:lang w:eastAsia="fr-FR"/>
        </w:rPr>
        <w:t xml:space="preserve"> également faire l'objet d'une expérimentation sur la même durée, sous la forme d'une première année commune.</w:t>
      </w:r>
    </w:p>
    <w:p w:rsidR="00C830F6" w:rsidRPr="00C830F6" w:rsidRDefault="00C830F6" w:rsidP="00C830F6">
      <w:pPr>
        <w:spacing w:after="0" w:line="285" w:lineRule="atLeast"/>
        <w:rPr>
          <w:rFonts w:ascii="Georgia" w:eastAsia="Times New Roman" w:hAnsi="Georgia" w:cs="Helvetica"/>
          <w:color w:val="000000"/>
          <w:sz w:val="21"/>
          <w:szCs w:val="21"/>
          <w:lang w:eastAsia="fr-FR"/>
        </w:rPr>
      </w:pPr>
      <w:r w:rsidRPr="00C830F6">
        <w:rPr>
          <w:rFonts w:ascii="Georgia" w:eastAsia="Times New Roman" w:hAnsi="Georgia" w:cs="Helvetica"/>
          <w:color w:val="000000"/>
          <w:sz w:val="21"/>
          <w:szCs w:val="21"/>
          <w:lang w:eastAsia="fr-FR"/>
        </w:rPr>
        <w:t xml:space="preserve">Lire aussi : </w:t>
      </w:r>
      <w:hyperlink r:id="rId18" w:history="1">
        <w:r w:rsidRPr="00C830F6">
          <w:rPr>
            <w:rFonts w:ascii="Georgia" w:eastAsia="Times New Roman" w:hAnsi="Georgia" w:cs="Helvetica"/>
            <w:color w:val="000000"/>
            <w:sz w:val="21"/>
            <w:szCs w:val="21"/>
            <w:lang w:eastAsia="fr-FR"/>
          </w:rPr>
          <w:t>Licence santé : zoom sur trois projets d’expérimentation</w:t>
        </w:r>
      </w:hyperlink>
    </w:p>
    <w:p w:rsidR="00C830F6" w:rsidRPr="00C830F6" w:rsidRDefault="00C830F6" w:rsidP="00C830F6">
      <w:pPr>
        <w:spacing w:after="0" w:line="405" w:lineRule="atLeast"/>
        <w:outlineLvl w:val="2"/>
        <w:rPr>
          <w:rFonts w:ascii="inherit" w:eastAsia="Times New Roman" w:hAnsi="inherit" w:cs="Helvetica"/>
          <w:b/>
          <w:bCs/>
          <w:color w:val="000000"/>
          <w:sz w:val="27"/>
          <w:szCs w:val="27"/>
          <w:lang w:eastAsia="fr-FR"/>
        </w:rPr>
      </w:pPr>
      <w:r w:rsidRPr="00C830F6">
        <w:rPr>
          <w:rFonts w:ascii="inherit" w:eastAsia="Times New Roman" w:hAnsi="inherit" w:cs="Helvetica"/>
          <w:b/>
          <w:bCs/>
          <w:color w:val="000000"/>
          <w:sz w:val="27"/>
          <w:szCs w:val="27"/>
          <w:lang w:eastAsia="fr-FR"/>
        </w:rPr>
        <w:t>Renforcer l'encadrement des stages des étudiants</w:t>
      </w:r>
    </w:p>
    <w:p w:rsidR="00C830F6" w:rsidRPr="00C830F6" w:rsidRDefault="00C830F6" w:rsidP="00C830F6">
      <w:pPr>
        <w:spacing w:after="0" w:line="285" w:lineRule="atLeast"/>
        <w:rPr>
          <w:rFonts w:ascii="Georgia" w:eastAsia="Times New Roman" w:hAnsi="Georgia" w:cs="Helvetica"/>
          <w:color w:val="000000"/>
          <w:sz w:val="21"/>
          <w:szCs w:val="21"/>
          <w:lang w:eastAsia="fr-FR"/>
        </w:rPr>
      </w:pPr>
      <w:r w:rsidRPr="00C830F6">
        <w:rPr>
          <w:rFonts w:ascii="Georgia" w:eastAsia="Times New Roman" w:hAnsi="Georgia" w:cs="Helvetica"/>
          <w:color w:val="000000"/>
          <w:sz w:val="21"/>
          <w:szCs w:val="21"/>
          <w:lang w:eastAsia="fr-FR"/>
        </w:rPr>
        <w:t>L'intégration des stages dans les cursus pédagogiques est précisée par la loi : "Un volume pédagogique minimal de formation ainsi que les modalités d’encadrement du stage par l’établissement d’origine et l’organisme d’accueil sont fixés par décret et précisés dans la convention de stage."</w:t>
      </w:r>
      <w:r w:rsidRPr="00C830F6">
        <w:rPr>
          <w:rFonts w:ascii="Georgia" w:eastAsia="Times New Roman" w:hAnsi="Georgia" w:cs="Helvetica"/>
          <w:color w:val="000000"/>
          <w:sz w:val="21"/>
          <w:szCs w:val="21"/>
          <w:lang w:eastAsia="fr-FR"/>
        </w:rPr>
        <w:br/>
      </w:r>
      <w:r w:rsidRPr="00C830F6">
        <w:rPr>
          <w:rFonts w:ascii="Georgia" w:eastAsia="Times New Roman" w:hAnsi="Georgia" w:cs="Helvetica"/>
          <w:color w:val="000000"/>
          <w:sz w:val="21"/>
          <w:szCs w:val="21"/>
          <w:lang w:eastAsia="fr-FR"/>
        </w:rPr>
        <w:br/>
        <w:t>La loi insiste également sur l'</w:t>
      </w:r>
      <w:r w:rsidRPr="00C830F6">
        <w:rPr>
          <w:rFonts w:ascii="Georgia" w:eastAsia="Times New Roman" w:hAnsi="Georgia" w:cs="Helvetica"/>
          <w:b/>
          <w:bCs/>
          <w:color w:val="000000"/>
          <w:sz w:val="21"/>
          <w:szCs w:val="21"/>
          <w:lang w:eastAsia="fr-FR"/>
        </w:rPr>
        <w:t>interdiction des stages correspondant à des emplois déguisés</w:t>
      </w:r>
      <w:r w:rsidRPr="00C830F6">
        <w:rPr>
          <w:rFonts w:ascii="Georgia" w:eastAsia="Times New Roman" w:hAnsi="Georgia" w:cs="Helvetica"/>
          <w:color w:val="000000"/>
          <w:sz w:val="21"/>
          <w:szCs w:val="21"/>
          <w:lang w:eastAsia="fr-FR"/>
        </w:rPr>
        <w:t xml:space="preserve"> : "Les stages ne peuvent avoir pour objet l'exécution d'une tâche régulière correspondant à un poste de travail permanent."</w:t>
      </w:r>
      <w:r w:rsidRPr="00C830F6">
        <w:rPr>
          <w:rFonts w:ascii="Georgia" w:eastAsia="Times New Roman" w:hAnsi="Georgia" w:cs="Helvetica"/>
          <w:color w:val="000000"/>
          <w:sz w:val="21"/>
          <w:szCs w:val="21"/>
          <w:lang w:eastAsia="fr-FR"/>
        </w:rPr>
        <w:br/>
      </w:r>
      <w:r w:rsidRPr="00C830F6">
        <w:rPr>
          <w:rFonts w:ascii="Georgia" w:eastAsia="Times New Roman" w:hAnsi="Georgia" w:cs="Helvetica"/>
          <w:color w:val="000000"/>
          <w:sz w:val="21"/>
          <w:szCs w:val="21"/>
          <w:lang w:eastAsia="fr-FR"/>
        </w:rPr>
        <w:br/>
        <w:t xml:space="preserve">Les protections et droits des stagiaires deviennent similaires à ceux des salariés, tandis que </w:t>
      </w:r>
      <w:r w:rsidRPr="00C830F6">
        <w:rPr>
          <w:rFonts w:ascii="Georgia" w:eastAsia="Times New Roman" w:hAnsi="Georgia" w:cs="Helvetica"/>
          <w:b/>
          <w:bCs/>
          <w:color w:val="000000"/>
          <w:sz w:val="21"/>
          <w:szCs w:val="21"/>
          <w:lang w:eastAsia="fr-FR"/>
        </w:rPr>
        <w:t>l'obligation de gratification, au-delà de deux mois de stage, est étendue au secteur public (administration, assemblées) et aux associations</w:t>
      </w:r>
      <w:r w:rsidRPr="00C830F6">
        <w:rPr>
          <w:rFonts w:ascii="Georgia" w:eastAsia="Times New Roman" w:hAnsi="Georgia" w:cs="Helvetica"/>
          <w:color w:val="000000"/>
          <w:sz w:val="21"/>
          <w:szCs w:val="21"/>
          <w:lang w:eastAsia="fr-FR"/>
        </w:rPr>
        <w:t>.</w:t>
      </w:r>
      <w:r w:rsidRPr="00C830F6">
        <w:rPr>
          <w:rFonts w:ascii="Georgia" w:eastAsia="Times New Roman" w:hAnsi="Georgia" w:cs="Helvetica"/>
          <w:color w:val="000000"/>
          <w:sz w:val="21"/>
          <w:szCs w:val="21"/>
          <w:lang w:eastAsia="fr-FR"/>
        </w:rPr>
        <w:br/>
      </w:r>
      <w:r w:rsidRPr="00C830F6">
        <w:rPr>
          <w:rFonts w:ascii="Georgia" w:eastAsia="Times New Roman" w:hAnsi="Georgia" w:cs="Helvetica"/>
          <w:color w:val="000000"/>
          <w:sz w:val="21"/>
          <w:szCs w:val="21"/>
          <w:lang w:eastAsia="fr-FR"/>
        </w:rPr>
        <w:br/>
      </w:r>
      <w:r w:rsidRPr="00C830F6">
        <w:rPr>
          <w:rFonts w:ascii="Georgia" w:eastAsia="Times New Roman" w:hAnsi="Georgia" w:cs="Helvetica"/>
          <w:i/>
          <w:iCs/>
          <w:color w:val="000000"/>
          <w:sz w:val="21"/>
          <w:szCs w:val="21"/>
          <w:lang w:eastAsia="fr-FR"/>
        </w:rPr>
        <w:t>(</w:t>
      </w:r>
      <w:hyperlink r:id="rId19" w:tgtFrame="_blank" w:history="1">
        <w:r w:rsidRPr="00C830F6">
          <w:rPr>
            <w:rFonts w:ascii="Georgia" w:eastAsia="Times New Roman" w:hAnsi="Georgia" w:cs="Helvetica"/>
            <w:i/>
            <w:iCs/>
            <w:color w:val="000000"/>
            <w:sz w:val="21"/>
            <w:szCs w:val="21"/>
            <w:lang w:eastAsia="fr-FR"/>
          </w:rPr>
          <w:t>Voir  l'article 15 quater</w:t>
        </w:r>
      </w:hyperlink>
      <w:r w:rsidRPr="00C830F6">
        <w:rPr>
          <w:rFonts w:ascii="Georgia" w:eastAsia="Times New Roman" w:hAnsi="Georgia" w:cs="Helvetica"/>
          <w:i/>
          <w:iCs/>
          <w:color w:val="000000"/>
          <w:sz w:val="21"/>
          <w:szCs w:val="21"/>
          <w:lang w:eastAsia="fr-FR"/>
        </w:rPr>
        <w:t>.)</w:t>
      </w:r>
    </w:p>
    <w:p w:rsidR="00C830F6" w:rsidRPr="00C830F6" w:rsidRDefault="00C830F6" w:rsidP="00C830F6">
      <w:pPr>
        <w:spacing w:after="0" w:line="285" w:lineRule="atLeast"/>
        <w:rPr>
          <w:rFonts w:ascii="Georgia" w:eastAsia="Times New Roman" w:hAnsi="Georgia" w:cs="Helvetica"/>
          <w:color w:val="000000"/>
          <w:sz w:val="21"/>
          <w:szCs w:val="21"/>
          <w:lang w:eastAsia="fr-FR"/>
        </w:rPr>
      </w:pPr>
      <w:r w:rsidRPr="00C830F6">
        <w:rPr>
          <w:rFonts w:ascii="Georgia" w:eastAsia="Times New Roman" w:hAnsi="Georgia" w:cs="Helvetica"/>
          <w:color w:val="000000"/>
          <w:sz w:val="21"/>
          <w:szCs w:val="21"/>
          <w:lang w:eastAsia="fr-FR"/>
        </w:rPr>
        <w:t xml:space="preserve">Lire aussi : </w:t>
      </w:r>
      <w:hyperlink r:id="rId20" w:history="1">
        <w:r w:rsidRPr="00C830F6">
          <w:rPr>
            <w:rFonts w:ascii="Georgia" w:eastAsia="Times New Roman" w:hAnsi="Georgia" w:cs="Helvetica"/>
            <w:color w:val="000000"/>
            <w:sz w:val="21"/>
            <w:szCs w:val="21"/>
            <w:lang w:eastAsia="fr-FR"/>
          </w:rPr>
          <w:t xml:space="preserve">Stages en entreprise : Geneviève </w:t>
        </w:r>
        <w:proofErr w:type="spellStart"/>
        <w:r w:rsidRPr="00C830F6">
          <w:rPr>
            <w:rFonts w:ascii="Georgia" w:eastAsia="Times New Roman" w:hAnsi="Georgia" w:cs="Helvetica"/>
            <w:color w:val="000000"/>
            <w:sz w:val="21"/>
            <w:szCs w:val="21"/>
            <w:lang w:eastAsia="fr-FR"/>
          </w:rPr>
          <w:t>Fioraso</w:t>
        </w:r>
        <w:proofErr w:type="spellEnd"/>
        <w:r w:rsidRPr="00C830F6">
          <w:rPr>
            <w:rFonts w:ascii="Georgia" w:eastAsia="Times New Roman" w:hAnsi="Georgia" w:cs="Helvetica"/>
            <w:color w:val="000000"/>
            <w:sz w:val="21"/>
            <w:szCs w:val="21"/>
            <w:lang w:eastAsia="fr-FR"/>
          </w:rPr>
          <w:t xml:space="preserve"> dans la lignée de Valérie Pécresse</w:t>
        </w:r>
      </w:hyperlink>
    </w:p>
    <w:p w:rsidR="00C830F6" w:rsidRPr="00C830F6" w:rsidRDefault="00C830F6" w:rsidP="00C830F6">
      <w:pPr>
        <w:spacing w:after="0" w:line="405" w:lineRule="atLeast"/>
        <w:outlineLvl w:val="2"/>
        <w:rPr>
          <w:rFonts w:ascii="inherit" w:eastAsia="Times New Roman" w:hAnsi="inherit" w:cs="Helvetica"/>
          <w:b/>
          <w:bCs/>
          <w:color w:val="000000"/>
          <w:sz w:val="27"/>
          <w:szCs w:val="27"/>
          <w:lang w:eastAsia="fr-FR"/>
        </w:rPr>
      </w:pPr>
      <w:r w:rsidRPr="00C830F6">
        <w:rPr>
          <w:rFonts w:ascii="inherit" w:eastAsia="Times New Roman" w:hAnsi="inherit" w:cs="Helvetica"/>
          <w:b/>
          <w:bCs/>
          <w:color w:val="000000"/>
          <w:sz w:val="27"/>
          <w:szCs w:val="27"/>
          <w:lang w:eastAsia="fr-FR"/>
        </w:rPr>
        <w:lastRenderedPageBreak/>
        <w:t>Les statistiques  sur la réussite et l'insertion</w:t>
      </w:r>
    </w:p>
    <w:p w:rsidR="00C830F6" w:rsidRPr="00C830F6" w:rsidRDefault="00C830F6" w:rsidP="00C830F6">
      <w:pPr>
        <w:spacing w:after="0" w:line="285" w:lineRule="atLeast"/>
        <w:rPr>
          <w:rFonts w:ascii="Georgia" w:eastAsia="Times New Roman" w:hAnsi="Georgia" w:cs="Helvetica"/>
          <w:color w:val="000000"/>
          <w:sz w:val="21"/>
          <w:szCs w:val="21"/>
          <w:lang w:eastAsia="fr-FR"/>
        </w:rPr>
      </w:pPr>
      <w:r w:rsidRPr="00C830F6">
        <w:rPr>
          <w:rFonts w:ascii="Georgia" w:eastAsia="Times New Roman" w:hAnsi="Georgia" w:cs="Helvetica"/>
          <w:color w:val="000000"/>
          <w:sz w:val="21"/>
          <w:szCs w:val="21"/>
          <w:lang w:eastAsia="fr-FR"/>
        </w:rPr>
        <w:t xml:space="preserve">Les établissements scolaires dispensant une formation d'enseignement supérieur (BTS, CPGE…) devront rendre publiques des </w:t>
      </w:r>
      <w:r w:rsidRPr="00C830F6">
        <w:rPr>
          <w:rFonts w:ascii="Georgia" w:eastAsia="Times New Roman" w:hAnsi="Georgia" w:cs="Helvetica"/>
          <w:b/>
          <w:bCs/>
          <w:color w:val="000000"/>
          <w:sz w:val="21"/>
          <w:szCs w:val="21"/>
          <w:lang w:eastAsia="fr-FR"/>
        </w:rPr>
        <w:t>statistiques sur la réussite</w:t>
      </w:r>
      <w:r w:rsidRPr="00C830F6">
        <w:rPr>
          <w:rFonts w:ascii="Georgia" w:eastAsia="Times New Roman" w:hAnsi="Georgia" w:cs="Helvetica"/>
          <w:color w:val="000000"/>
          <w:sz w:val="21"/>
          <w:szCs w:val="21"/>
          <w:lang w:eastAsia="fr-FR"/>
        </w:rPr>
        <w:t xml:space="preserve"> de leurs étudiants dans cette filière et sur la poursuite d'études et l'insertion professionnelle à la sortie.</w:t>
      </w:r>
    </w:p>
    <w:p w:rsidR="00C830F6" w:rsidRPr="00C830F6" w:rsidRDefault="00C830F6" w:rsidP="00C830F6">
      <w:pPr>
        <w:spacing w:after="0" w:line="285" w:lineRule="atLeast"/>
        <w:rPr>
          <w:rFonts w:ascii="Georgia" w:eastAsia="Times New Roman" w:hAnsi="Georgia" w:cs="Helvetica"/>
          <w:color w:val="000000"/>
          <w:sz w:val="21"/>
          <w:szCs w:val="21"/>
          <w:lang w:eastAsia="fr-FR"/>
        </w:rPr>
      </w:pPr>
      <w:r w:rsidRPr="00C830F6">
        <w:rPr>
          <w:rFonts w:ascii="Georgia" w:eastAsia="Times New Roman" w:hAnsi="Georgia" w:cs="Helvetica"/>
          <w:color w:val="000000"/>
          <w:sz w:val="21"/>
          <w:szCs w:val="21"/>
          <w:lang w:eastAsia="fr-FR"/>
        </w:rPr>
        <w:t xml:space="preserve">De leur côté, les BAIP (bureaux d'aide à l'insertion professionnelle) des universités devraient rendre publics les </w:t>
      </w:r>
      <w:r w:rsidRPr="00C830F6">
        <w:rPr>
          <w:rFonts w:ascii="Georgia" w:eastAsia="Times New Roman" w:hAnsi="Georgia" w:cs="Helvetica"/>
          <w:b/>
          <w:bCs/>
          <w:color w:val="000000"/>
          <w:sz w:val="21"/>
          <w:szCs w:val="21"/>
          <w:lang w:eastAsia="fr-FR"/>
        </w:rPr>
        <w:t>taux d'insertion professionnelle</w:t>
      </w:r>
      <w:r w:rsidRPr="00C830F6">
        <w:rPr>
          <w:rFonts w:ascii="Georgia" w:eastAsia="Times New Roman" w:hAnsi="Georgia" w:cs="Helvetica"/>
          <w:color w:val="000000"/>
          <w:sz w:val="21"/>
          <w:szCs w:val="21"/>
          <w:lang w:eastAsia="fr-FR"/>
        </w:rPr>
        <w:t xml:space="preserve"> des étudiants un et deux ans après l'obtention du diplôme.</w:t>
      </w:r>
    </w:p>
    <w:p w:rsidR="00C830F6" w:rsidRPr="00C830F6" w:rsidRDefault="00C830F6" w:rsidP="00C830F6">
      <w:pPr>
        <w:spacing w:after="0" w:line="285" w:lineRule="atLeast"/>
        <w:rPr>
          <w:rFonts w:ascii="Georgia" w:eastAsia="Times New Roman" w:hAnsi="Georgia" w:cs="Helvetica"/>
          <w:color w:val="000000"/>
          <w:sz w:val="21"/>
          <w:szCs w:val="21"/>
          <w:lang w:eastAsia="fr-FR"/>
        </w:rPr>
      </w:pPr>
      <w:r w:rsidRPr="00C830F6">
        <w:rPr>
          <w:rFonts w:ascii="Georgia" w:eastAsia="Times New Roman" w:hAnsi="Georgia" w:cs="Helvetica"/>
          <w:i/>
          <w:iCs/>
          <w:color w:val="000000"/>
          <w:sz w:val="21"/>
          <w:szCs w:val="21"/>
          <w:lang w:eastAsia="fr-FR"/>
        </w:rPr>
        <w:t>(</w:t>
      </w:r>
      <w:hyperlink r:id="rId21" w:tgtFrame="_blank" w:history="1">
        <w:r w:rsidRPr="00C830F6">
          <w:rPr>
            <w:rFonts w:ascii="Georgia" w:eastAsia="Times New Roman" w:hAnsi="Georgia" w:cs="Helvetica"/>
            <w:i/>
            <w:iCs/>
            <w:color w:val="000000"/>
            <w:sz w:val="21"/>
            <w:szCs w:val="21"/>
            <w:lang w:eastAsia="fr-FR"/>
          </w:rPr>
          <w:t>Voir les articles 14 A et 15 bis</w:t>
        </w:r>
      </w:hyperlink>
      <w:r w:rsidRPr="00C830F6">
        <w:rPr>
          <w:rFonts w:ascii="Georgia" w:eastAsia="Times New Roman" w:hAnsi="Georgia" w:cs="Helvetica"/>
          <w:i/>
          <w:iCs/>
          <w:color w:val="000000"/>
          <w:sz w:val="21"/>
          <w:szCs w:val="21"/>
          <w:lang w:eastAsia="fr-FR"/>
        </w:rPr>
        <w:t>.)</w:t>
      </w:r>
    </w:p>
    <w:p w:rsidR="00C830F6" w:rsidRPr="00C830F6" w:rsidRDefault="00C830F6" w:rsidP="00C830F6">
      <w:pPr>
        <w:spacing w:after="0" w:line="405" w:lineRule="atLeast"/>
        <w:outlineLvl w:val="2"/>
        <w:rPr>
          <w:rFonts w:ascii="inherit" w:eastAsia="Times New Roman" w:hAnsi="inherit" w:cs="Helvetica"/>
          <w:b/>
          <w:bCs/>
          <w:color w:val="000000"/>
          <w:sz w:val="27"/>
          <w:szCs w:val="27"/>
          <w:lang w:eastAsia="fr-FR"/>
        </w:rPr>
      </w:pPr>
      <w:r w:rsidRPr="00C830F6">
        <w:rPr>
          <w:rFonts w:ascii="inherit" w:eastAsia="Times New Roman" w:hAnsi="inherit" w:cs="Helvetica"/>
          <w:b/>
          <w:bCs/>
          <w:color w:val="000000"/>
          <w:sz w:val="27"/>
          <w:szCs w:val="27"/>
          <w:lang w:eastAsia="fr-FR"/>
        </w:rPr>
        <w:t>Le numérique à l'honneur</w:t>
      </w:r>
    </w:p>
    <w:p w:rsidR="00C830F6" w:rsidRPr="00C830F6" w:rsidRDefault="00C830F6" w:rsidP="00C830F6">
      <w:pPr>
        <w:spacing w:after="0" w:line="285" w:lineRule="atLeast"/>
        <w:rPr>
          <w:rFonts w:ascii="Georgia" w:eastAsia="Times New Roman" w:hAnsi="Georgia" w:cs="Helvetica"/>
          <w:color w:val="000000"/>
          <w:sz w:val="21"/>
          <w:szCs w:val="21"/>
          <w:lang w:eastAsia="fr-FR"/>
        </w:rPr>
      </w:pPr>
      <w:r w:rsidRPr="00C830F6">
        <w:rPr>
          <w:rFonts w:ascii="Georgia" w:eastAsia="Times New Roman" w:hAnsi="Georgia" w:cs="Helvetica"/>
          <w:color w:val="000000"/>
          <w:sz w:val="21"/>
          <w:szCs w:val="21"/>
          <w:lang w:eastAsia="fr-FR"/>
        </w:rPr>
        <w:t xml:space="preserve">Parmi les priorités affichées par la ministre figure le développement du numérique. "Le service public de l’enseignement supérieur met à disposition de ses usagers des services et des ressources pédagogiques numériques ", d'après l'article 6. "Les établissements rendent disponibles, pour les formations dont les méthodes pédagogiques le permettent, leurs enseignements sous forme numérique", ajoute l'article 16. Sans précisions pour l'instant sur les moyens d'y parvenir. Un </w:t>
      </w:r>
      <w:r w:rsidRPr="00C830F6">
        <w:rPr>
          <w:rFonts w:ascii="Georgia" w:eastAsia="Times New Roman" w:hAnsi="Georgia" w:cs="Helvetica"/>
          <w:b/>
          <w:bCs/>
          <w:color w:val="000000"/>
          <w:sz w:val="21"/>
          <w:szCs w:val="21"/>
          <w:lang w:eastAsia="fr-FR"/>
        </w:rPr>
        <w:t>vice-président chargé des questions et ressources numériques</w:t>
      </w:r>
      <w:r w:rsidRPr="00C830F6">
        <w:rPr>
          <w:rFonts w:ascii="Georgia" w:eastAsia="Times New Roman" w:hAnsi="Georgia" w:cs="Helvetica"/>
          <w:color w:val="000000"/>
          <w:sz w:val="21"/>
          <w:szCs w:val="21"/>
          <w:lang w:eastAsia="fr-FR"/>
        </w:rPr>
        <w:t xml:space="preserve"> est institué dans les communautés d'universités.</w:t>
      </w:r>
    </w:p>
    <w:p w:rsidR="00C830F6" w:rsidRPr="00C830F6" w:rsidRDefault="00C830F6" w:rsidP="00C830F6">
      <w:pPr>
        <w:spacing w:after="0" w:line="285" w:lineRule="atLeast"/>
        <w:rPr>
          <w:rFonts w:ascii="Georgia" w:eastAsia="Times New Roman" w:hAnsi="Georgia" w:cs="Helvetica"/>
          <w:color w:val="000000"/>
          <w:sz w:val="21"/>
          <w:szCs w:val="21"/>
          <w:lang w:eastAsia="fr-FR"/>
        </w:rPr>
      </w:pPr>
      <w:r w:rsidRPr="00C830F6">
        <w:rPr>
          <w:rFonts w:ascii="Georgia" w:eastAsia="Times New Roman" w:hAnsi="Georgia" w:cs="Helvetica"/>
          <w:i/>
          <w:iCs/>
          <w:color w:val="000000"/>
          <w:sz w:val="21"/>
          <w:szCs w:val="21"/>
          <w:lang w:eastAsia="fr-FR"/>
        </w:rPr>
        <w:t>(</w:t>
      </w:r>
      <w:hyperlink r:id="rId22" w:tgtFrame="_blank" w:history="1">
        <w:r w:rsidRPr="00C830F6">
          <w:rPr>
            <w:rFonts w:ascii="Georgia" w:eastAsia="Times New Roman" w:hAnsi="Georgia" w:cs="Helvetica"/>
            <w:i/>
            <w:iCs/>
            <w:color w:val="000000"/>
            <w:sz w:val="21"/>
            <w:szCs w:val="21"/>
            <w:lang w:eastAsia="fr-FR"/>
          </w:rPr>
          <w:t>Voir les articles 6 et 16</w:t>
        </w:r>
      </w:hyperlink>
      <w:r w:rsidRPr="00C830F6">
        <w:rPr>
          <w:rFonts w:ascii="Georgia" w:eastAsia="Times New Roman" w:hAnsi="Georgia" w:cs="Helvetica"/>
          <w:i/>
          <w:iCs/>
          <w:color w:val="000000"/>
          <w:sz w:val="21"/>
          <w:szCs w:val="21"/>
          <w:lang w:eastAsia="fr-FR"/>
        </w:rPr>
        <w:t>.)</w:t>
      </w:r>
    </w:p>
    <w:p w:rsidR="00C830F6" w:rsidRPr="00C830F6" w:rsidRDefault="00C830F6" w:rsidP="00C830F6">
      <w:pPr>
        <w:spacing w:after="0" w:line="405" w:lineRule="atLeast"/>
        <w:outlineLvl w:val="2"/>
        <w:rPr>
          <w:rFonts w:ascii="inherit" w:eastAsia="Times New Roman" w:hAnsi="inherit" w:cs="Helvetica"/>
          <w:b/>
          <w:bCs/>
          <w:color w:val="000000"/>
          <w:sz w:val="27"/>
          <w:szCs w:val="27"/>
          <w:lang w:eastAsia="fr-FR"/>
        </w:rPr>
      </w:pPr>
      <w:r w:rsidRPr="00C830F6">
        <w:rPr>
          <w:rFonts w:ascii="inherit" w:eastAsia="Times New Roman" w:hAnsi="inherit" w:cs="Helvetica"/>
          <w:b/>
          <w:bCs/>
          <w:color w:val="000000"/>
          <w:sz w:val="27"/>
          <w:szCs w:val="27"/>
          <w:lang w:eastAsia="fr-FR"/>
        </w:rPr>
        <w:t>L'exception au principe de la langue française dans l'enseignement</w:t>
      </w:r>
    </w:p>
    <w:p w:rsidR="00C830F6" w:rsidRPr="00C830F6" w:rsidRDefault="00C830F6" w:rsidP="00C830F6">
      <w:pPr>
        <w:spacing w:after="0" w:line="285" w:lineRule="atLeast"/>
        <w:rPr>
          <w:rFonts w:ascii="Georgia" w:eastAsia="Times New Roman" w:hAnsi="Georgia" w:cs="Helvetica"/>
          <w:color w:val="000000"/>
          <w:sz w:val="21"/>
          <w:szCs w:val="21"/>
          <w:lang w:eastAsia="fr-FR"/>
        </w:rPr>
      </w:pPr>
      <w:r w:rsidRPr="00C830F6">
        <w:rPr>
          <w:rFonts w:ascii="Georgia" w:eastAsia="Times New Roman" w:hAnsi="Georgia" w:cs="Helvetica"/>
          <w:color w:val="000000"/>
          <w:sz w:val="21"/>
          <w:szCs w:val="21"/>
          <w:lang w:eastAsia="fr-FR"/>
        </w:rPr>
        <w:t xml:space="preserve">L'exception au principe selon lequel le français est la langue de l’enseignement, des examens, des concours et des thèses, est étendue. Il sera désormais </w:t>
      </w:r>
      <w:r w:rsidRPr="00C830F6">
        <w:rPr>
          <w:rFonts w:ascii="Georgia" w:eastAsia="Times New Roman" w:hAnsi="Georgia" w:cs="Helvetica"/>
          <w:b/>
          <w:bCs/>
          <w:color w:val="000000"/>
          <w:sz w:val="21"/>
          <w:szCs w:val="21"/>
          <w:lang w:eastAsia="fr-FR"/>
        </w:rPr>
        <w:t>possible d'organiser un cursus en langue étrangère</w:t>
      </w:r>
      <w:r w:rsidRPr="00C830F6">
        <w:rPr>
          <w:rFonts w:ascii="Georgia" w:eastAsia="Times New Roman" w:hAnsi="Georgia" w:cs="Helvetica"/>
          <w:color w:val="000000"/>
          <w:sz w:val="21"/>
          <w:szCs w:val="21"/>
          <w:lang w:eastAsia="fr-FR"/>
        </w:rPr>
        <w:t xml:space="preserve"> dans le cadre d'accords avec une institution étrangère ou internationale, ou d'un programme européen.</w:t>
      </w:r>
      <w:r w:rsidRPr="00C830F6">
        <w:rPr>
          <w:rFonts w:ascii="Georgia" w:eastAsia="Times New Roman" w:hAnsi="Georgia" w:cs="Helvetica"/>
          <w:color w:val="000000"/>
          <w:sz w:val="21"/>
          <w:szCs w:val="21"/>
          <w:lang w:eastAsia="fr-FR"/>
        </w:rPr>
        <w:br/>
      </w:r>
      <w:r w:rsidRPr="00C830F6">
        <w:rPr>
          <w:rFonts w:ascii="Georgia" w:eastAsia="Times New Roman" w:hAnsi="Georgia" w:cs="Helvetica"/>
          <w:color w:val="000000"/>
          <w:sz w:val="21"/>
          <w:szCs w:val="21"/>
          <w:lang w:eastAsia="fr-FR"/>
        </w:rPr>
        <w:br/>
        <w:t xml:space="preserve">Un élargissement qui a provoqué une vive polémique autour de la langue française, entre la peur de voir celle-ci marginalisée et la défense de l'attractivité de notre enseignement supérieur dans un monde internationalisé. Le consensus a été trouvé au Parlement avec l'inscription dans la loi d'une obligation de fixer une proportion d'enseignements en français dans ces cursus, et la </w:t>
      </w:r>
      <w:r w:rsidRPr="00C830F6">
        <w:rPr>
          <w:rFonts w:ascii="Georgia" w:eastAsia="Times New Roman" w:hAnsi="Georgia" w:cs="Helvetica"/>
          <w:b/>
          <w:bCs/>
          <w:color w:val="000000"/>
          <w:sz w:val="21"/>
          <w:szCs w:val="21"/>
          <w:lang w:eastAsia="fr-FR"/>
        </w:rPr>
        <w:t>prise en compte du niveau de français pour l'obtention du diplôme</w:t>
      </w:r>
      <w:r w:rsidRPr="00C830F6">
        <w:rPr>
          <w:rFonts w:ascii="Georgia" w:eastAsia="Times New Roman" w:hAnsi="Georgia" w:cs="Helvetica"/>
          <w:color w:val="000000"/>
          <w:sz w:val="21"/>
          <w:szCs w:val="21"/>
          <w:lang w:eastAsia="fr-FR"/>
        </w:rPr>
        <w:t>.</w:t>
      </w:r>
      <w:r w:rsidRPr="00C830F6">
        <w:rPr>
          <w:rFonts w:ascii="Georgia" w:eastAsia="Times New Roman" w:hAnsi="Georgia" w:cs="Helvetica"/>
          <w:color w:val="000000"/>
          <w:sz w:val="21"/>
          <w:szCs w:val="21"/>
          <w:lang w:eastAsia="fr-FR"/>
        </w:rPr>
        <w:br/>
      </w:r>
      <w:r w:rsidRPr="00C830F6">
        <w:rPr>
          <w:rFonts w:ascii="Georgia" w:eastAsia="Times New Roman" w:hAnsi="Georgia" w:cs="Helvetica"/>
          <w:color w:val="000000"/>
          <w:sz w:val="21"/>
          <w:szCs w:val="21"/>
          <w:lang w:eastAsia="fr-FR"/>
        </w:rPr>
        <w:br/>
      </w:r>
      <w:r w:rsidRPr="00C830F6">
        <w:rPr>
          <w:rFonts w:ascii="Georgia" w:eastAsia="Times New Roman" w:hAnsi="Georgia" w:cs="Helvetica"/>
          <w:i/>
          <w:iCs/>
          <w:color w:val="000000"/>
          <w:sz w:val="21"/>
          <w:szCs w:val="21"/>
          <w:lang w:eastAsia="fr-FR"/>
        </w:rPr>
        <w:t>(</w:t>
      </w:r>
      <w:hyperlink r:id="rId23" w:tgtFrame="_blank" w:history="1">
        <w:r w:rsidRPr="00C830F6">
          <w:rPr>
            <w:rFonts w:ascii="Georgia" w:eastAsia="Times New Roman" w:hAnsi="Georgia" w:cs="Helvetica"/>
            <w:i/>
            <w:iCs/>
            <w:color w:val="000000"/>
            <w:sz w:val="21"/>
            <w:szCs w:val="21"/>
            <w:lang w:eastAsia="fr-FR"/>
          </w:rPr>
          <w:t>Voir l'article 2</w:t>
        </w:r>
      </w:hyperlink>
      <w:r w:rsidRPr="00C830F6">
        <w:rPr>
          <w:rFonts w:ascii="Georgia" w:eastAsia="Times New Roman" w:hAnsi="Georgia" w:cs="Helvetica"/>
          <w:i/>
          <w:iCs/>
          <w:color w:val="000000"/>
          <w:sz w:val="21"/>
          <w:szCs w:val="21"/>
          <w:lang w:eastAsia="fr-FR"/>
        </w:rPr>
        <w:t>.)</w:t>
      </w:r>
    </w:p>
    <w:p w:rsidR="00C830F6" w:rsidRPr="00C830F6" w:rsidRDefault="00C830F6" w:rsidP="00C830F6">
      <w:pPr>
        <w:spacing w:after="0" w:line="285" w:lineRule="atLeast"/>
        <w:rPr>
          <w:rFonts w:ascii="Georgia" w:eastAsia="Times New Roman" w:hAnsi="Georgia" w:cs="Helvetica"/>
          <w:color w:val="000000"/>
          <w:sz w:val="21"/>
          <w:szCs w:val="21"/>
          <w:lang w:eastAsia="fr-FR"/>
        </w:rPr>
      </w:pPr>
      <w:r w:rsidRPr="00C830F6">
        <w:rPr>
          <w:rFonts w:ascii="Georgia" w:eastAsia="Times New Roman" w:hAnsi="Georgia" w:cs="Helvetica"/>
          <w:i/>
          <w:iCs/>
          <w:color w:val="000000"/>
          <w:sz w:val="21"/>
          <w:szCs w:val="21"/>
          <w:lang w:eastAsia="fr-FR"/>
        </w:rPr>
        <w:t xml:space="preserve">Lire aussi : </w:t>
      </w:r>
      <w:hyperlink r:id="rId24" w:history="1">
        <w:r w:rsidRPr="00C830F6">
          <w:rPr>
            <w:rFonts w:ascii="Georgia" w:eastAsia="Times New Roman" w:hAnsi="Georgia" w:cs="Helvetica"/>
            <w:color w:val="000000"/>
            <w:sz w:val="21"/>
            <w:szCs w:val="21"/>
            <w:lang w:eastAsia="fr-FR"/>
          </w:rPr>
          <w:t xml:space="preserve">Cours en anglais : pourquoi universités et grandes écoles sont </w:t>
        </w:r>
      </w:hyperlink>
    </w:p>
    <w:p w:rsidR="00C830F6" w:rsidRDefault="00C830F6"/>
    <w:sectPr w:rsidR="00C830F6">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5B1" w:rsidRDefault="009E15B1" w:rsidP="00C830F6">
      <w:pPr>
        <w:spacing w:after="0" w:line="240" w:lineRule="auto"/>
      </w:pPr>
      <w:r>
        <w:separator/>
      </w:r>
    </w:p>
  </w:endnote>
  <w:endnote w:type="continuationSeparator" w:id="0">
    <w:p w:rsidR="009E15B1" w:rsidRDefault="009E15B1" w:rsidP="00C83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DINBold">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0F6" w:rsidRDefault="00C830F6" w:rsidP="00C830F6">
    <w:pPr>
      <w:pStyle w:val="Pieddepage"/>
      <w:jc w:val="right"/>
    </w:pPr>
    <w:r>
      <w:fldChar w:fldCharType="begin"/>
    </w:r>
    <w:r>
      <w:instrText>PAGE   \* MERGEFORMAT</w:instrText>
    </w:r>
    <w:r>
      <w:fldChar w:fldCharType="separate"/>
    </w:r>
    <w:r>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5B1" w:rsidRDefault="009E15B1" w:rsidP="00C830F6">
      <w:pPr>
        <w:spacing w:after="0" w:line="240" w:lineRule="auto"/>
      </w:pPr>
      <w:r>
        <w:separator/>
      </w:r>
    </w:p>
  </w:footnote>
  <w:footnote w:type="continuationSeparator" w:id="0">
    <w:p w:rsidR="009E15B1" w:rsidRDefault="009E15B1" w:rsidP="00C830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C81C18"/>
    <w:multiLevelType w:val="multilevel"/>
    <w:tmpl w:val="053C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0F6"/>
    <w:rsid w:val="001A4CD4"/>
    <w:rsid w:val="009E15B1"/>
    <w:rsid w:val="00C830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830F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830F6"/>
    <w:rPr>
      <w:rFonts w:ascii="Tahoma" w:hAnsi="Tahoma" w:cs="Tahoma"/>
      <w:sz w:val="16"/>
      <w:szCs w:val="16"/>
    </w:rPr>
  </w:style>
  <w:style w:type="paragraph" w:styleId="En-tte">
    <w:name w:val="header"/>
    <w:basedOn w:val="Normal"/>
    <w:link w:val="En-tteCar"/>
    <w:uiPriority w:val="99"/>
    <w:unhideWhenUsed/>
    <w:rsid w:val="00C830F6"/>
    <w:pPr>
      <w:tabs>
        <w:tab w:val="center" w:pos="4536"/>
        <w:tab w:val="right" w:pos="9072"/>
      </w:tabs>
      <w:spacing w:after="0" w:line="240" w:lineRule="auto"/>
    </w:pPr>
  </w:style>
  <w:style w:type="character" w:customStyle="1" w:styleId="En-tteCar">
    <w:name w:val="En-tête Car"/>
    <w:basedOn w:val="Policepardfaut"/>
    <w:link w:val="En-tte"/>
    <w:uiPriority w:val="99"/>
    <w:rsid w:val="00C830F6"/>
  </w:style>
  <w:style w:type="paragraph" w:styleId="Pieddepage">
    <w:name w:val="footer"/>
    <w:basedOn w:val="Normal"/>
    <w:link w:val="PieddepageCar"/>
    <w:uiPriority w:val="99"/>
    <w:unhideWhenUsed/>
    <w:rsid w:val="00C830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30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830F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830F6"/>
    <w:rPr>
      <w:rFonts w:ascii="Tahoma" w:hAnsi="Tahoma" w:cs="Tahoma"/>
      <w:sz w:val="16"/>
      <w:szCs w:val="16"/>
    </w:rPr>
  </w:style>
  <w:style w:type="paragraph" w:styleId="En-tte">
    <w:name w:val="header"/>
    <w:basedOn w:val="Normal"/>
    <w:link w:val="En-tteCar"/>
    <w:uiPriority w:val="99"/>
    <w:unhideWhenUsed/>
    <w:rsid w:val="00C830F6"/>
    <w:pPr>
      <w:tabs>
        <w:tab w:val="center" w:pos="4536"/>
        <w:tab w:val="right" w:pos="9072"/>
      </w:tabs>
      <w:spacing w:after="0" w:line="240" w:lineRule="auto"/>
    </w:pPr>
  </w:style>
  <w:style w:type="character" w:customStyle="1" w:styleId="En-tteCar">
    <w:name w:val="En-tête Car"/>
    <w:basedOn w:val="Policepardfaut"/>
    <w:link w:val="En-tte"/>
    <w:uiPriority w:val="99"/>
    <w:rsid w:val="00C830F6"/>
  </w:style>
  <w:style w:type="paragraph" w:styleId="Pieddepage">
    <w:name w:val="footer"/>
    <w:basedOn w:val="Normal"/>
    <w:link w:val="PieddepageCar"/>
    <w:uiPriority w:val="99"/>
    <w:unhideWhenUsed/>
    <w:rsid w:val="00C830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3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997683">
      <w:bodyDiv w:val="1"/>
      <w:marLeft w:val="0"/>
      <w:marRight w:val="0"/>
      <w:marTop w:val="0"/>
      <w:marBottom w:val="0"/>
      <w:divBdr>
        <w:top w:val="none" w:sz="0" w:space="0" w:color="auto"/>
        <w:left w:val="none" w:sz="0" w:space="0" w:color="auto"/>
        <w:bottom w:val="none" w:sz="0" w:space="0" w:color="auto"/>
        <w:right w:val="none" w:sz="0" w:space="0" w:color="auto"/>
      </w:divBdr>
      <w:divsChild>
        <w:div w:id="1409308258">
          <w:marLeft w:val="0"/>
          <w:marRight w:val="0"/>
          <w:marTop w:val="0"/>
          <w:marBottom w:val="0"/>
          <w:divBdr>
            <w:top w:val="none" w:sz="0" w:space="0" w:color="auto"/>
            <w:left w:val="none" w:sz="0" w:space="0" w:color="auto"/>
            <w:bottom w:val="none" w:sz="0" w:space="0" w:color="auto"/>
            <w:right w:val="none" w:sz="0" w:space="0" w:color="auto"/>
          </w:divBdr>
          <w:divsChild>
            <w:div w:id="937644317">
              <w:marLeft w:val="-300"/>
              <w:marRight w:val="0"/>
              <w:marTop w:val="0"/>
              <w:marBottom w:val="0"/>
              <w:divBdr>
                <w:top w:val="none" w:sz="0" w:space="0" w:color="auto"/>
                <w:left w:val="none" w:sz="0" w:space="0" w:color="auto"/>
                <w:bottom w:val="none" w:sz="0" w:space="0" w:color="auto"/>
                <w:right w:val="none" w:sz="0" w:space="0" w:color="auto"/>
              </w:divBdr>
              <w:divsChild>
                <w:div w:id="1006593750">
                  <w:marLeft w:val="0"/>
                  <w:marRight w:val="0"/>
                  <w:marTop w:val="0"/>
                  <w:marBottom w:val="0"/>
                  <w:divBdr>
                    <w:top w:val="none" w:sz="0" w:space="0" w:color="auto"/>
                    <w:left w:val="none" w:sz="0" w:space="0" w:color="auto"/>
                    <w:bottom w:val="none" w:sz="0" w:space="0" w:color="auto"/>
                    <w:right w:val="none" w:sz="0" w:space="0" w:color="auto"/>
                  </w:divBdr>
                  <w:divsChild>
                    <w:div w:id="1717661808">
                      <w:marLeft w:val="0"/>
                      <w:marRight w:val="0"/>
                      <w:marTop w:val="0"/>
                      <w:marBottom w:val="0"/>
                      <w:divBdr>
                        <w:top w:val="none" w:sz="0" w:space="0" w:color="auto"/>
                        <w:left w:val="none" w:sz="0" w:space="0" w:color="auto"/>
                        <w:bottom w:val="none" w:sz="0" w:space="0" w:color="auto"/>
                        <w:right w:val="none" w:sz="0" w:space="0" w:color="auto"/>
                      </w:divBdr>
                    </w:div>
                    <w:div w:id="1961062263">
                      <w:marLeft w:val="300"/>
                      <w:marRight w:val="300"/>
                      <w:marTop w:val="0"/>
                      <w:marBottom w:val="0"/>
                      <w:divBdr>
                        <w:top w:val="single" w:sz="6" w:space="4" w:color="D1D1D1"/>
                        <w:left w:val="none" w:sz="0" w:space="0" w:color="auto"/>
                        <w:bottom w:val="none" w:sz="0" w:space="0" w:color="auto"/>
                        <w:right w:val="none" w:sz="0" w:space="0" w:color="auto"/>
                      </w:divBdr>
                    </w:div>
                    <w:div w:id="1476876641">
                      <w:marLeft w:val="0"/>
                      <w:marRight w:val="0"/>
                      <w:marTop w:val="0"/>
                      <w:marBottom w:val="0"/>
                      <w:divBdr>
                        <w:top w:val="none" w:sz="0" w:space="0" w:color="auto"/>
                        <w:left w:val="none" w:sz="0" w:space="0" w:color="auto"/>
                        <w:bottom w:val="none" w:sz="0" w:space="0" w:color="auto"/>
                        <w:right w:val="none" w:sz="0" w:space="0" w:color="auto"/>
                      </w:divBdr>
                    </w:div>
                    <w:div w:id="1286814562">
                      <w:marLeft w:val="0"/>
                      <w:marRight w:val="0"/>
                      <w:marTop w:val="0"/>
                      <w:marBottom w:val="0"/>
                      <w:divBdr>
                        <w:top w:val="none" w:sz="0" w:space="0" w:color="auto"/>
                        <w:left w:val="none" w:sz="0" w:space="0" w:color="auto"/>
                        <w:bottom w:val="none" w:sz="0" w:space="0" w:color="auto"/>
                        <w:right w:val="none" w:sz="0" w:space="0" w:color="auto"/>
                      </w:divBdr>
                      <w:divsChild>
                        <w:div w:id="108278206">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tudiant.fr/educpros/actualite/loi-sur-l-enseignement-superieur-et-la-recherche-les-points-essentiels-de-la-reforme-fioraso.html" TargetMode="External"/><Relationship Id="rId13" Type="http://schemas.openxmlformats.org/officeDocument/2006/relationships/hyperlink" Target="http://www.letudiant.fr/educpros/actualite/le-non-aux-quotas-de-bacs-pros-et-technos.html" TargetMode="External"/><Relationship Id="rId18" Type="http://schemas.openxmlformats.org/officeDocument/2006/relationships/hyperlink" Target="http://www.letudiant.fr/educpros/actualite/licence-sante-zoom-sur-trois-projets-d-experimentation.html"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senat.fr/petite-loi-ameli/2012-2013/695.html" TargetMode="External"/><Relationship Id="rId7" Type="http://schemas.openxmlformats.org/officeDocument/2006/relationships/endnotes" Target="endnotes.xml"/><Relationship Id="rId12" Type="http://schemas.openxmlformats.org/officeDocument/2006/relationships/hyperlink" Target="http://www.senat.fr/petite-loi-ameli/2012-2013/695.html" TargetMode="External"/><Relationship Id="rId17" Type="http://schemas.openxmlformats.org/officeDocument/2006/relationships/hyperlink" Target="http://www.letudiant.fr/educpros/actualite/universite-nouvelle-licence-comment-passer-de-300-a-36-mentions.ht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senat.fr/petite-loi-ameli/2012-2013/695.html" TargetMode="External"/><Relationship Id="rId20" Type="http://schemas.openxmlformats.org/officeDocument/2006/relationships/hyperlink" Target="http://www.letudiant.fr/educpros/actualite/stages-en-entreprise-genevieve-fioraso-dans-la-lignee-de-valerie-pecresse.html%2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letudiant.fr/educpros/actualite/loi-sur-l-enseignement-superieur-et-la-recherche-les-points-essentiels-de-la-reforme-fioraso/loi-esr-aeres-doctorat-accreditation-les-mesures-sur-l-evaluation-et-la-recherche.html" TargetMode="External"/><Relationship Id="rId24" Type="http://schemas.openxmlformats.org/officeDocument/2006/relationships/hyperlink" Target="http://www.letudiant.fr/educpros/actualite/cours-en-anglais-pourquoi-universites-et-grandes-ecoles-sont-pour.html" TargetMode="External"/><Relationship Id="rId5" Type="http://schemas.openxmlformats.org/officeDocument/2006/relationships/webSettings" Target="webSettings.xml"/><Relationship Id="rId15" Type="http://schemas.openxmlformats.org/officeDocument/2006/relationships/hyperlink" Target="http://www.letudiant.fr/educpros/entretiens/patrick-weil-cet-acces-a-l-egalite-des-droits-aura-un-impact-sur-tous-eleves-parents-et-enseignants.html" TargetMode="External"/><Relationship Id="rId23" Type="http://schemas.openxmlformats.org/officeDocument/2006/relationships/hyperlink" Target="http://www.senat.fr/petite-loi-ameli/2012-2013/695.html" TargetMode="External"/><Relationship Id="rId10" Type="http://schemas.openxmlformats.org/officeDocument/2006/relationships/hyperlink" Target="http://www.letudiant.fr/educpros/actualite/loi-sur-l-enseignement-superieur-et-la-recherche-les-points-essentiels-de-la-reforme-fioraso/loi-esr-communautes-sites-conseil-academique-les-mesures-sur-la-reorganisation-de-l-enseignement-superieur.html" TargetMode="External"/><Relationship Id="rId19" Type="http://schemas.openxmlformats.org/officeDocument/2006/relationships/hyperlink" Target="http://www.senat.fr/petite-loi-ameli/2012-2013/695.html" TargetMode="External"/><Relationship Id="rId4" Type="http://schemas.openxmlformats.org/officeDocument/2006/relationships/settings" Target="settings.xml"/><Relationship Id="rId9" Type="http://schemas.openxmlformats.org/officeDocument/2006/relationships/hyperlink" Target="http://www.letudiant.fr/educpros/actualite/loi-sur-l-enseignement-superieur-et-la-recherche-les-points-essentiels-de-la-reforme-fioraso/quotas-en-bts-dut-prepas-licence-les-mesures-visant-la-reussite-des-etudiants.html" TargetMode="External"/><Relationship Id="rId14" Type="http://schemas.openxmlformats.org/officeDocument/2006/relationships/hyperlink" Target="http://www.senat.fr/petite-loi-ameli/2012-2013/695.html" TargetMode="External"/><Relationship Id="rId22" Type="http://schemas.openxmlformats.org/officeDocument/2006/relationships/hyperlink" Target="http://www.senat.fr/petite-loi-ameli/2012-2013/695.html"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1568</Words>
  <Characters>8625</Characters>
  <Application>Microsoft Office Word</Application>
  <DocSecurity>0</DocSecurity>
  <Lines>71</Lines>
  <Paragraphs>20</Paragraphs>
  <ScaleCrop>false</ScaleCrop>
  <Company/>
  <LinksUpToDate>false</LinksUpToDate>
  <CharactersWithSpaces>10173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LEGENDRE</dc:creator>
  <cp:lastModifiedBy>Catherine LEGENDRE</cp:lastModifiedBy>
  <cp:revision>1</cp:revision>
  <dcterms:created xsi:type="dcterms:W3CDTF">2013-11-18T14:50:00Z</dcterms:created>
  <dcterms:modified xsi:type="dcterms:W3CDTF">2013-11-18T14:52:00Z</dcterms:modified>
</cp:coreProperties>
</file>