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3AE51" w14:textId="6D16F316" w:rsidR="00036BF1" w:rsidRPr="00036BF1" w:rsidRDefault="00036BF1" w:rsidP="00036BF1">
      <w:r>
        <w:t>Logo and title similar to app.py landing page.</w:t>
      </w:r>
    </w:p>
    <w:p w14:paraId="20833E5B" w14:textId="77777777" w:rsidR="00036BF1" w:rsidRPr="00036BF1" w:rsidRDefault="00533C98" w:rsidP="00036BF1">
      <w:r>
        <w:pict w14:anchorId="05136475">
          <v:rect id="_x0000_i1025" style="width:0;height:1.5pt" o:hralign="center" o:hrstd="t" o:hr="t" fillcolor="#a0a0a0" stroked="f"/>
        </w:pict>
      </w:r>
    </w:p>
    <w:p w14:paraId="65FBF63C" w14:textId="18517E9B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 xml:space="preserve">Identify </w:t>
      </w:r>
      <w:r>
        <w:rPr>
          <w:b/>
          <w:bCs/>
        </w:rPr>
        <w:t xml:space="preserve">late-stage </w:t>
      </w:r>
      <w:r w:rsidRPr="00036BF1">
        <w:rPr>
          <w:b/>
          <w:bCs/>
        </w:rPr>
        <w:t xml:space="preserve">clinical trials at risk </w:t>
      </w:r>
      <w:r>
        <w:rPr>
          <w:b/>
          <w:bCs/>
        </w:rPr>
        <w:br/>
      </w:r>
      <w:r w:rsidRPr="00036BF1">
        <w:rPr>
          <w:b/>
          <w:bCs/>
        </w:rPr>
        <w:t>before execution begins.</w:t>
      </w:r>
    </w:p>
    <w:p w14:paraId="51F4B9F0" w14:textId="77777777" w:rsidR="00036BF1" w:rsidRPr="00036BF1" w:rsidRDefault="00533C98" w:rsidP="00036BF1">
      <w:r>
        <w:pict w14:anchorId="54017FA5">
          <v:rect id="_x0000_i1026" style="width:0;height:1.5pt" o:hralign="center" o:hrstd="t" o:hr="t" fillcolor="#a0a0a0" stroked="f"/>
        </w:pict>
      </w:r>
    </w:p>
    <w:p w14:paraId="348E07D3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CTPredict</w:t>
      </w:r>
    </w:p>
    <w:p w14:paraId="47CF091C" w14:textId="77777777" w:rsidR="00036BF1" w:rsidRPr="00036BF1" w:rsidRDefault="00036BF1" w:rsidP="00036BF1">
      <w:r w:rsidRPr="00036BF1">
        <w:rPr>
          <w:b/>
          <w:bCs/>
        </w:rPr>
        <w:t>Predicts full completion or early termination in Phase II/III trials from early design-stage information.</w:t>
      </w:r>
    </w:p>
    <w:p w14:paraId="6C9D60BE" w14:textId="77777777" w:rsidR="00036BF1" w:rsidRPr="00036BF1" w:rsidRDefault="00036BF1" w:rsidP="00036BF1">
      <w:r w:rsidRPr="00036BF1">
        <w:t>A predictive pre-screening engine built on publicly available data from 30,000+ late-stage clinical trials to identify trials at risk of early termination, classify risk tiers, and reveal trial-specific risk drivers.</w:t>
      </w:r>
    </w:p>
    <w:p w14:paraId="6C95569A" w14:textId="42AD06F2" w:rsidR="00036BF1" w:rsidRPr="00036BF1" w:rsidRDefault="00036BF1" w:rsidP="00036BF1">
      <w:r w:rsidRPr="00036BF1">
        <w:t>Simulation mode</w:t>
      </w:r>
      <w:r>
        <w:t xml:space="preserve"> also</w:t>
      </w:r>
      <w:r w:rsidRPr="00036BF1">
        <w:t xml:space="preserve"> enables testing the impact of trial-design modifications before trial initiation.</w:t>
      </w:r>
    </w:p>
    <w:p w14:paraId="38283C45" w14:textId="77777777" w:rsidR="00036BF1" w:rsidRPr="00036BF1" w:rsidRDefault="00036BF1" w:rsidP="00036BF1">
      <w:r w:rsidRPr="00036BF1">
        <w:rPr>
          <w:b/>
          <w:bCs/>
        </w:rPr>
        <w:t>Button:</w:t>
      </w:r>
      <w:r w:rsidRPr="00036BF1">
        <w:t xml:space="preserve"> Launch Demo</w:t>
      </w:r>
    </w:p>
    <w:p w14:paraId="7A9CF350" w14:textId="77777777" w:rsidR="00036BF1" w:rsidRPr="00036BF1" w:rsidRDefault="00533C98" w:rsidP="00036BF1">
      <w:r>
        <w:pict w14:anchorId="588ABE0C">
          <v:rect id="_x0000_i1027" style="width:0;height:1.5pt" o:hralign="center" o:hrstd="t" o:hr="t" fillcolor="#a0a0a0" stroked="f"/>
        </w:pict>
      </w:r>
    </w:p>
    <w:p w14:paraId="722F3281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Why it matters</w:t>
      </w:r>
    </w:p>
    <w:p w14:paraId="50D53741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Focus attention early, where clinical, financial, and strategic stakes are highest.</w:t>
      </w:r>
    </w:p>
    <w:p w14:paraId="0DE911FF" w14:textId="77777777" w:rsidR="00036BF1" w:rsidRPr="00036BF1" w:rsidRDefault="00036BF1" w:rsidP="00036BF1">
      <w:r w:rsidRPr="00036BF1">
        <w:t>Phase II/III is where scientific ambition meets major financial and strategic stakes. CTPredict helps identify trials most exposed to early-termination risk, helping focus support, review, and key protocol or strategic decisions where they matter most.</w:t>
      </w:r>
    </w:p>
    <w:p w14:paraId="41642486" w14:textId="77777777" w:rsidR="00036BF1" w:rsidRPr="00036BF1" w:rsidRDefault="00533C98" w:rsidP="00036BF1">
      <w:r>
        <w:pict w14:anchorId="5DA9BBC8">
          <v:rect id="_x0000_i1028" style="width:0;height:1.5pt" o:hralign="center" o:hrstd="t" o:hr="t" fillcolor="#a0a0a0" stroked="f"/>
        </w:pict>
      </w:r>
    </w:p>
    <w:p w14:paraId="39DA0E0F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How it works</w:t>
      </w:r>
    </w:p>
    <w:p w14:paraId="7D5A2612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The score</w:t>
      </w:r>
    </w:p>
    <w:p w14:paraId="06736B77" w14:textId="77777777" w:rsidR="00036BF1" w:rsidRPr="00036BF1" w:rsidRDefault="00036BF1" w:rsidP="00036BF1">
      <w:r w:rsidRPr="00036BF1">
        <w:t>Each trial receives a completion-risk score and is assigned to one of four tiers:</w:t>
      </w:r>
    </w:p>
    <w:p w14:paraId="14EE6F80" w14:textId="77777777" w:rsidR="00036BF1" w:rsidRPr="00036BF1" w:rsidRDefault="00036BF1" w:rsidP="00036BF1">
      <w:r w:rsidRPr="00036BF1">
        <w:rPr>
          <w:b/>
          <w:bCs/>
        </w:rPr>
        <w:t>High Risk:</w:t>
      </w:r>
      <w:r w:rsidRPr="00036BF1">
        <w:t xml:space="preserve"> 0-25</w:t>
      </w:r>
      <w:r w:rsidRPr="00036BF1">
        <w:br/>
      </w:r>
      <w:r w:rsidRPr="00036BF1">
        <w:rPr>
          <w:b/>
          <w:bCs/>
        </w:rPr>
        <w:t>Watchlist:</w:t>
      </w:r>
      <w:r w:rsidRPr="00036BF1">
        <w:t xml:space="preserve"> 25-50</w:t>
      </w:r>
      <w:r w:rsidRPr="00036BF1">
        <w:br/>
      </w:r>
      <w:r w:rsidRPr="00036BF1">
        <w:rPr>
          <w:b/>
          <w:bCs/>
        </w:rPr>
        <w:t>Favorable:</w:t>
      </w:r>
      <w:r w:rsidRPr="00036BF1">
        <w:t xml:space="preserve"> 50-75</w:t>
      </w:r>
      <w:r w:rsidRPr="00036BF1">
        <w:br/>
      </w:r>
      <w:r w:rsidRPr="00036BF1">
        <w:rPr>
          <w:b/>
          <w:bCs/>
        </w:rPr>
        <w:t>Low Risk:</w:t>
      </w:r>
      <w:r w:rsidRPr="00036BF1">
        <w:t xml:space="preserve"> 75-100</w:t>
      </w:r>
    </w:p>
    <w:p w14:paraId="1A384EFA" w14:textId="77777777" w:rsidR="00036BF1" w:rsidRPr="00036BF1" w:rsidRDefault="00036BF1" w:rsidP="00036BF1">
      <w:r w:rsidRPr="00036BF1">
        <w:t xml:space="preserve">The score reflects how closely a trial profile resembles historical patterns associated with </w:t>
      </w:r>
      <w:r w:rsidRPr="00036BF1">
        <w:rPr>
          <w:b/>
          <w:bCs/>
        </w:rPr>
        <w:t>full completion vs. early termination</w:t>
      </w:r>
      <w:r w:rsidRPr="00036BF1">
        <w:t>.</w:t>
      </w:r>
    </w:p>
    <w:p w14:paraId="7D3A9F9D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How to read the colour signal</w:t>
      </w:r>
    </w:p>
    <w:p w14:paraId="4D0A3F39" w14:textId="77777777" w:rsidR="00036BF1" w:rsidRPr="00036BF1" w:rsidRDefault="00036BF1" w:rsidP="00036BF1">
      <w:r w:rsidRPr="00036BF1">
        <w:rPr>
          <w:b/>
          <w:bCs/>
        </w:rPr>
        <w:lastRenderedPageBreak/>
        <w:t>Red reflects a riskier trial profile.</w:t>
      </w:r>
      <w:r w:rsidRPr="00036BF1">
        <w:br/>
        <w:t>May flag design choices worth challenging - or capture ambition: novel science, rigorous endpoints, flexible design, or higher complexity. Higher risk can also point to higher potential value.</w:t>
      </w:r>
    </w:p>
    <w:p w14:paraId="1D284AD8" w14:textId="77777777" w:rsidR="00036BF1" w:rsidRPr="00036BF1" w:rsidRDefault="00036BF1" w:rsidP="00036BF1">
      <w:r w:rsidRPr="00036BF1">
        <w:rPr>
          <w:b/>
          <w:bCs/>
        </w:rPr>
        <w:t>Blue signals higher likelihood of reaching full completion.</w:t>
      </w:r>
      <w:r w:rsidRPr="00036BF1">
        <w:br/>
        <w:t>May signal strong execution conditions, high-quality design, or a more established scientific profile with lower complexity. Full completion should still be read alongside scientific and asset value.</w:t>
      </w:r>
    </w:p>
    <w:p w14:paraId="2DCC11D8" w14:textId="77777777" w:rsidR="00036BF1" w:rsidRPr="00036BF1" w:rsidRDefault="00533C98" w:rsidP="00036BF1">
      <w:r>
        <w:pict w14:anchorId="5395D74C">
          <v:rect id="_x0000_i1029" style="width:0;height:1.5pt" o:hralign="center" o:hrstd="t" o:hr="t" fillcolor="#a0a0a0" stroked="f"/>
        </w:pict>
      </w:r>
    </w:p>
    <w:p w14:paraId="08D548FD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Four dimensions behind each prediction</w:t>
      </w:r>
    </w:p>
    <w:p w14:paraId="795DCA41" w14:textId="77777777" w:rsidR="00036BF1" w:rsidRPr="00036BF1" w:rsidRDefault="00036BF1" w:rsidP="00036BF1">
      <w:r w:rsidRPr="00036BF1">
        <w:t>CTPredict groups trial-design signals into four pillars:</w:t>
      </w:r>
    </w:p>
    <w:p w14:paraId="67E95AA0" w14:textId="77777777" w:rsidR="00533C98" w:rsidRPr="00036BF1" w:rsidRDefault="00533C98" w:rsidP="00533C98">
      <w:r w:rsidRPr="00036BF1">
        <w:rPr>
          <w:b/>
          <w:bCs/>
        </w:rPr>
        <w:t>Scientific Challenge</w:t>
      </w:r>
      <w:r w:rsidRPr="00036BF1">
        <w:br/>
        <w:t>Biological Complexity · Protocol Design</w:t>
      </w:r>
    </w:p>
    <w:p w14:paraId="4C3BC16F" w14:textId="77777777" w:rsidR="00533C98" w:rsidRPr="00036BF1" w:rsidRDefault="00533C98" w:rsidP="00533C98">
      <w:r w:rsidRPr="00036BF1">
        <w:rPr>
          <w:b/>
          <w:bCs/>
        </w:rPr>
        <w:t>Execution Framework</w:t>
      </w:r>
      <w:r w:rsidRPr="00036BF1">
        <w:br/>
        <w:t>Operational Setup · Methodological Rigor</w:t>
      </w:r>
    </w:p>
    <w:p w14:paraId="1E25103C" w14:textId="77777777" w:rsidR="00036BF1" w:rsidRPr="00036BF1" w:rsidRDefault="00036BF1" w:rsidP="00036BF1">
      <w:r w:rsidRPr="00036BF1">
        <w:rPr>
          <w:b/>
          <w:bCs/>
        </w:rPr>
        <w:t>Therapeutic Context</w:t>
      </w:r>
      <w:r w:rsidRPr="00036BF1">
        <w:br/>
        <w:t>Disease Profile · Development Stage</w:t>
      </w:r>
    </w:p>
    <w:p w14:paraId="334A6266" w14:textId="77777777" w:rsidR="00036BF1" w:rsidRPr="00036BF1" w:rsidRDefault="00036BF1" w:rsidP="00036BF1">
      <w:r w:rsidRPr="00036BF1">
        <w:rPr>
          <w:b/>
          <w:bCs/>
        </w:rPr>
        <w:t>Patient Profile</w:t>
      </w:r>
      <w:r w:rsidRPr="00036BF1">
        <w:br/>
        <w:t>Population Scope · Clinical Severity</w:t>
      </w:r>
    </w:p>
    <w:p w14:paraId="47ADB2C7" w14:textId="77777777" w:rsidR="00036BF1" w:rsidRPr="00036BF1" w:rsidRDefault="00533C98" w:rsidP="00036BF1">
      <w:r>
        <w:pict w14:anchorId="3671712D">
          <v:rect id="_x0000_i1030" style="width:0;height:1.5pt" o:hralign="center" o:hrstd="t" o:hr="t" fillcolor="#a0a0a0" stroked="f"/>
        </w:pict>
      </w:r>
    </w:p>
    <w:p w14:paraId="6DB06052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Interactive drivers map</w:t>
      </w:r>
    </w:p>
    <w:p w14:paraId="226C1670" w14:textId="77777777" w:rsidR="00036BF1" w:rsidRPr="00036BF1" w:rsidRDefault="00036BF1" w:rsidP="00036BF1">
      <w:r w:rsidRPr="00036BF1">
        <w:t xml:space="preserve">The interactive drivers map breaks each prediction into </w:t>
      </w:r>
      <w:r w:rsidRPr="00036BF1">
        <w:rPr>
          <w:b/>
          <w:bCs/>
        </w:rPr>
        <w:t>27 core features</w:t>
      </w:r>
      <w:r w:rsidRPr="00036BF1">
        <w:t>, showing which factors contribute most to the final risk signal.</w:t>
      </w:r>
    </w:p>
    <w:p w14:paraId="27A588DA" w14:textId="77777777" w:rsidR="00036BF1" w:rsidRPr="00036BF1" w:rsidRDefault="00036BF1" w:rsidP="00036BF1">
      <w:r w:rsidRPr="00036BF1">
        <w:rPr>
          <w:b/>
          <w:bCs/>
        </w:rPr>
        <w:t>Larger blocks indicate stronger impact.</w:t>
      </w:r>
      <w:r w:rsidRPr="00036BF1">
        <w:br/>
      </w:r>
      <w:r w:rsidRPr="00036BF1">
        <w:rPr>
          <w:b/>
          <w:bCs/>
        </w:rPr>
        <w:t>Red drivers push toward early termination.</w:t>
      </w:r>
      <w:r w:rsidRPr="00036BF1">
        <w:br/>
      </w:r>
      <w:r w:rsidRPr="00036BF1">
        <w:rPr>
          <w:b/>
          <w:bCs/>
        </w:rPr>
        <w:t>Blue drivers support full completion.</w:t>
      </w:r>
    </w:p>
    <w:p w14:paraId="147FD596" w14:textId="77777777" w:rsidR="00036BF1" w:rsidRPr="00036BF1" w:rsidRDefault="00036BF1" w:rsidP="00036BF1">
      <w:r w:rsidRPr="00036BF1">
        <w:t xml:space="preserve">Some of these features are </w:t>
      </w:r>
      <w:r w:rsidRPr="00036BF1">
        <w:rPr>
          <w:b/>
          <w:bCs/>
        </w:rPr>
        <w:t>actionable design drivers</w:t>
      </w:r>
      <w:r w:rsidRPr="00036BF1">
        <w:t>, helping identify trial-design elements that may deserve closer review.</w:t>
      </w:r>
    </w:p>
    <w:p w14:paraId="07318C6D" w14:textId="77777777" w:rsidR="00036BF1" w:rsidRPr="00036BF1" w:rsidRDefault="00533C98" w:rsidP="00036BF1">
      <w:r>
        <w:pict w14:anchorId="390F9AC6">
          <v:rect id="_x0000_i1031" style="width:0;height:1.5pt" o:hralign="center" o:hrstd="t" o:hr="t" fillcolor="#a0a0a0" stroked="f"/>
        </w:pict>
      </w:r>
    </w:p>
    <w:p w14:paraId="12E4D62A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Model and data foundation</w:t>
      </w:r>
    </w:p>
    <w:p w14:paraId="6FF8D54F" w14:textId="77777777" w:rsidR="00036BF1" w:rsidRPr="00036BF1" w:rsidRDefault="00036BF1" w:rsidP="00036BF1">
      <w:r w:rsidRPr="00036BF1">
        <w:t xml:space="preserve">CTPredict is built on publicly available </w:t>
      </w:r>
      <w:r w:rsidRPr="00036BF1">
        <w:rPr>
          <w:b/>
          <w:bCs/>
        </w:rPr>
        <w:t>AACT</w:t>
      </w:r>
      <w:r w:rsidRPr="00036BF1">
        <w:t xml:space="preserve"> data from industry-led Phase II/III trials initiated since 2009. Its </w:t>
      </w:r>
      <w:r w:rsidRPr="00036BF1">
        <w:rPr>
          <w:b/>
          <w:bCs/>
        </w:rPr>
        <w:t>XGBoost supervised machine-learning model</w:t>
      </w:r>
      <w:r w:rsidRPr="00036BF1">
        <w:t xml:space="preserve"> uses </w:t>
      </w:r>
      <w:r w:rsidRPr="00036BF1">
        <w:rPr>
          <w:b/>
          <w:bCs/>
        </w:rPr>
        <w:t>27 design-stage variables</w:t>
      </w:r>
      <w:r w:rsidRPr="00036BF1">
        <w:t xml:space="preserve"> to learn patterns of </w:t>
      </w:r>
      <w:r w:rsidRPr="00036BF1">
        <w:rPr>
          <w:b/>
          <w:bCs/>
        </w:rPr>
        <w:t>full completion vs. early termination</w:t>
      </w:r>
      <w:r w:rsidRPr="00036BF1">
        <w:t>.</w:t>
      </w:r>
    </w:p>
    <w:p w14:paraId="381C1F8D" w14:textId="77777777" w:rsidR="00036BF1" w:rsidRPr="00036BF1" w:rsidRDefault="00036BF1" w:rsidP="00036BF1">
      <w:r w:rsidRPr="00036BF1">
        <w:rPr>
          <w:b/>
          <w:bCs/>
        </w:rPr>
        <w:lastRenderedPageBreak/>
        <w:t>AACT:</w:t>
      </w:r>
      <w:r w:rsidRPr="00036BF1">
        <w:t xml:space="preserve"> Aggregate Analysis of ClinicalTrials.gov - an analysis-ready public database derived from ClinicalTrials.gov records.</w:t>
      </w:r>
    </w:p>
    <w:p w14:paraId="29F334C6" w14:textId="77777777" w:rsidR="00036BF1" w:rsidRPr="00036BF1" w:rsidRDefault="00533C98" w:rsidP="00036BF1">
      <w:r>
        <w:pict w14:anchorId="26B16616">
          <v:rect id="_x0000_i1032" style="width:0;height:1.5pt" o:hralign="center" o:hrstd="t" o:hr="t" fillcolor="#a0a0a0" stroked="f"/>
        </w:pict>
      </w:r>
    </w:p>
    <w:p w14:paraId="723C4D85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Quality of the prediction</w:t>
      </w:r>
    </w:p>
    <w:p w14:paraId="0E76CCFF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Model performance from public Phase II/III data.</w:t>
      </w:r>
    </w:p>
    <w:p w14:paraId="7EA318D7" w14:textId="77777777" w:rsidR="00036BF1" w:rsidRPr="00036BF1" w:rsidRDefault="00036BF1" w:rsidP="00036BF1">
      <w:r w:rsidRPr="00036BF1">
        <w:rPr>
          <w:b/>
          <w:bCs/>
        </w:rPr>
        <w:t>30,000+ trials</w:t>
      </w:r>
      <w:r w:rsidRPr="00036BF1">
        <w:br/>
        <w:t xml:space="preserve">Industry-led Phase II/III trials initiated since 2009, labelled for supervised learning as </w:t>
      </w:r>
      <w:r w:rsidRPr="00036BF1">
        <w:rPr>
          <w:b/>
          <w:bCs/>
        </w:rPr>
        <w:t>full completion vs. early termination</w:t>
      </w:r>
      <w:r w:rsidRPr="00036BF1">
        <w:t>.</w:t>
      </w:r>
    </w:p>
    <w:p w14:paraId="51FCF7E0" w14:textId="77777777" w:rsidR="00036BF1" w:rsidRPr="00036BF1" w:rsidRDefault="00036BF1" w:rsidP="00036BF1">
      <w:r w:rsidRPr="00036BF1">
        <w:rPr>
          <w:b/>
          <w:bCs/>
        </w:rPr>
        <w:t>78% AUC</w:t>
      </w:r>
      <w:r w:rsidRPr="00036BF1">
        <w:br/>
        <w:t xml:space="preserve">CTPredict ranks early-terminating trials as higher risk </w:t>
      </w:r>
      <w:r w:rsidRPr="00036BF1">
        <w:rPr>
          <w:b/>
          <w:bCs/>
        </w:rPr>
        <w:t>78% of the time</w:t>
      </w:r>
      <w:r w:rsidRPr="00036BF1">
        <w:t xml:space="preserve"> - an outstanding result, well above the </w:t>
      </w:r>
      <w:r w:rsidRPr="00036BF1">
        <w:rPr>
          <w:b/>
          <w:bCs/>
        </w:rPr>
        <w:t>50% baseline</w:t>
      </w:r>
      <w:r w:rsidRPr="00036BF1">
        <w:t>, using only publicly available Phase II/III trial data.</w:t>
      </w:r>
    </w:p>
    <w:p w14:paraId="70BE2B4E" w14:textId="77777777" w:rsidR="00036BF1" w:rsidRPr="00036BF1" w:rsidRDefault="00036BF1" w:rsidP="00036BF1">
      <w:r w:rsidRPr="00036BF1">
        <w:rPr>
          <w:b/>
          <w:bCs/>
        </w:rPr>
        <w:t>3 in 4 early terminations flagged early</w:t>
      </w:r>
      <w:r w:rsidRPr="00036BF1">
        <w:br/>
        <w:t xml:space="preserve">Around </w:t>
      </w:r>
      <w:r w:rsidRPr="00036BF1">
        <w:rPr>
          <w:b/>
          <w:bCs/>
        </w:rPr>
        <w:t>75% of trials that later terminated early</w:t>
      </w:r>
      <w:r w:rsidRPr="00036BF1">
        <w:t xml:space="preserve"> fall into the </w:t>
      </w:r>
      <w:r w:rsidRPr="00036BF1">
        <w:rPr>
          <w:b/>
          <w:bCs/>
        </w:rPr>
        <w:t>High Risk</w:t>
      </w:r>
      <w:r w:rsidRPr="00036BF1">
        <w:t xml:space="preserve"> or </w:t>
      </w:r>
      <w:r w:rsidRPr="00036BF1">
        <w:rPr>
          <w:b/>
          <w:bCs/>
        </w:rPr>
        <w:t>Watchlist</w:t>
      </w:r>
      <w:r w:rsidRPr="00036BF1">
        <w:t xml:space="preserve"> categories - below </w:t>
      </w:r>
      <w:r w:rsidRPr="00036BF1">
        <w:rPr>
          <w:b/>
          <w:bCs/>
        </w:rPr>
        <w:t>50 points</w:t>
      </w:r>
      <w:r w:rsidRPr="00036BF1">
        <w:t>.</w:t>
      </w:r>
    </w:p>
    <w:p w14:paraId="4A9054DC" w14:textId="77777777" w:rsidR="00036BF1" w:rsidRPr="00036BF1" w:rsidRDefault="00533C98" w:rsidP="00036BF1">
      <w:r>
        <w:pict w14:anchorId="7EA630C1">
          <v:rect id="_x0000_i1033" style="width:0;height:1.5pt" o:hralign="center" o:hrstd="t" o:hr="t" fillcolor="#a0a0a0" stroked="f"/>
        </w:pict>
      </w:r>
    </w:p>
    <w:p w14:paraId="1E1449C6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Where it adds value</w:t>
      </w:r>
    </w:p>
    <w:p w14:paraId="0B5F0035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One predictive engine. Multiple decision perspectives.</w:t>
      </w:r>
    </w:p>
    <w:p w14:paraId="5697AB79" w14:textId="77777777" w:rsidR="00036BF1" w:rsidRPr="00036BF1" w:rsidRDefault="00036BF1" w:rsidP="00036BF1">
      <w:r w:rsidRPr="00036BF1">
        <w:rPr>
          <w:b/>
          <w:bCs/>
        </w:rPr>
        <w:t>Portfolio Management</w:t>
      </w:r>
      <w:r w:rsidRPr="00036BF1">
        <w:br/>
        <w:t>Highlight late-stage assets that may require closer scrutiny.</w:t>
      </w:r>
    </w:p>
    <w:p w14:paraId="139A1FF8" w14:textId="77777777" w:rsidR="00036BF1" w:rsidRPr="00036BF1" w:rsidRDefault="00036BF1" w:rsidP="00036BF1">
      <w:r w:rsidRPr="00036BF1">
        <w:rPr>
          <w:b/>
          <w:bCs/>
        </w:rPr>
        <w:t>Therapeutic Area Leadership</w:t>
      </w:r>
      <w:r w:rsidRPr="00036BF1">
        <w:br/>
        <w:t>Benchmark completion-risk patterns across indications, modalities, phases, and trial designs within a therapeutic area.</w:t>
      </w:r>
    </w:p>
    <w:p w14:paraId="1AC92CDC" w14:textId="77777777" w:rsidR="00036BF1" w:rsidRPr="00036BF1" w:rsidRDefault="00036BF1" w:rsidP="00036BF1">
      <w:r w:rsidRPr="00036BF1">
        <w:rPr>
          <w:b/>
          <w:bCs/>
        </w:rPr>
        <w:t>Clinical Development Leads</w:t>
      </w:r>
      <w:r w:rsidRPr="00036BF1">
        <w:br/>
        <w:t>Explore in simulation mode how design choices may shift the completion-risk profile before trial initiation.</w:t>
      </w:r>
    </w:p>
    <w:p w14:paraId="32CABD81" w14:textId="77777777" w:rsidR="00036BF1" w:rsidRPr="00036BF1" w:rsidRDefault="00036BF1" w:rsidP="00036BF1">
      <w:r w:rsidRPr="00036BF1">
        <w:rPr>
          <w:b/>
          <w:bCs/>
        </w:rPr>
        <w:t>Investors &amp; Analysts</w:t>
      </w:r>
      <w:r w:rsidRPr="00036BF1">
        <w:br/>
        <w:t>Compare completion-risk profiles across late-stage assets in the industry using public data.</w:t>
      </w:r>
    </w:p>
    <w:p w14:paraId="26D4BF94" w14:textId="77777777" w:rsidR="00036BF1" w:rsidRPr="00036BF1" w:rsidRDefault="00036BF1" w:rsidP="00036BF1">
      <w:r w:rsidRPr="00036BF1">
        <w:rPr>
          <w:b/>
          <w:bCs/>
        </w:rPr>
        <w:t>Training &amp; Capability Building</w:t>
      </w:r>
      <w:r w:rsidRPr="00036BF1">
        <w:br/>
        <w:t>Use real trials and simulation mode to support learning and strengthen risk-based decision-making.</w:t>
      </w:r>
    </w:p>
    <w:p w14:paraId="4AC64FB4" w14:textId="77777777" w:rsidR="00036BF1" w:rsidRPr="00036BF1" w:rsidRDefault="00533C98" w:rsidP="00036BF1">
      <w:r>
        <w:pict w14:anchorId="48A9695A">
          <v:rect id="_x0000_i1034" style="width:0;height:1.5pt" o:hralign="center" o:hrstd="t" o:hr="t" fillcolor="#a0a0a0" stroked="f"/>
        </w:pict>
      </w:r>
    </w:p>
    <w:p w14:paraId="34EC9C69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See the prediction in action.</w:t>
      </w:r>
    </w:p>
    <w:p w14:paraId="743930D2" w14:textId="77777777" w:rsidR="00036BF1" w:rsidRPr="00036BF1" w:rsidRDefault="00036BF1" w:rsidP="00036BF1">
      <w:r w:rsidRPr="00036BF1">
        <w:t>Start from a real Phase II/III trial and move from risk tier to score drivers in a few clicks.</w:t>
      </w:r>
    </w:p>
    <w:p w14:paraId="5112EFD5" w14:textId="77777777" w:rsidR="00036BF1" w:rsidRPr="00036BF1" w:rsidRDefault="00036BF1" w:rsidP="00036BF1">
      <w:r w:rsidRPr="00036BF1">
        <w:rPr>
          <w:b/>
          <w:bCs/>
        </w:rPr>
        <w:lastRenderedPageBreak/>
        <w:t>Button:</w:t>
      </w:r>
      <w:r w:rsidRPr="00036BF1">
        <w:t xml:space="preserve"> Launch Demo</w:t>
      </w:r>
    </w:p>
    <w:p w14:paraId="5E87AED8" w14:textId="77777777" w:rsidR="00036BF1" w:rsidRPr="00036BF1" w:rsidRDefault="00533C98" w:rsidP="00036BF1">
      <w:r>
        <w:pict w14:anchorId="263B8AAC">
          <v:rect id="_x0000_i1035" style="width:0;height:1.5pt" o:hralign="center" o:hrstd="t" o:hr="t" fillcolor="#a0a0a0" stroked="f"/>
        </w:pict>
      </w:r>
    </w:p>
    <w:p w14:paraId="164B86F6" w14:textId="77777777" w:rsidR="00036BF1" w:rsidRPr="00036BF1" w:rsidRDefault="00036BF1" w:rsidP="00036BF1">
      <w:pPr>
        <w:rPr>
          <w:b/>
          <w:bCs/>
        </w:rPr>
      </w:pPr>
      <w:r w:rsidRPr="00036BF1">
        <w:rPr>
          <w:b/>
          <w:bCs/>
        </w:rPr>
        <w:t>Pilot version. Welcoming your ideas.</w:t>
      </w:r>
    </w:p>
    <w:p w14:paraId="6A8553D2" w14:textId="77777777" w:rsidR="00036BF1" w:rsidRPr="00036BF1" w:rsidRDefault="00036BF1" w:rsidP="00036BF1">
      <w:r w:rsidRPr="00036BF1">
        <w:t xml:space="preserve">This demo focuses on single-trial exploration. Broader views are available or currently being developed, including </w:t>
      </w:r>
      <w:r w:rsidRPr="00036BF1">
        <w:rPr>
          <w:b/>
          <w:bCs/>
        </w:rPr>
        <w:t>sponsor full-portfolio screening</w:t>
      </w:r>
      <w:r w:rsidRPr="00036BF1">
        <w:t xml:space="preserve">, </w:t>
      </w:r>
      <w:r w:rsidRPr="00036BF1">
        <w:rPr>
          <w:b/>
          <w:bCs/>
        </w:rPr>
        <w:t>therapeutic-area benchmarking</w:t>
      </w:r>
      <w:r w:rsidRPr="00036BF1">
        <w:t xml:space="preserve">, and </w:t>
      </w:r>
      <w:r w:rsidRPr="00036BF1">
        <w:rPr>
          <w:b/>
          <w:bCs/>
        </w:rPr>
        <w:t>simulation-based use cases</w:t>
      </w:r>
      <w:r w:rsidRPr="00036BF1">
        <w:t>.</w:t>
      </w:r>
    </w:p>
    <w:p w14:paraId="17ED91EF" w14:textId="77777777" w:rsidR="00036BF1" w:rsidRPr="00036BF1" w:rsidRDefault="00036BF1" w:rsidP="00036BF1">
      <w:r w:rsidRPr="00036BF1">
        <w:rPr>
          <w:b/>
          <w:bCs/>
        </w:rPr>
        <w:t>I would be happy to hear your feedback, questions, or ideas for future development.</w:t>
      </w:r>
    </w:p>
    <w:p w14:paraId="10042DDB" w14:textId="77777777" w:rsidR="00036BF1" w:rsidRPr="00036BF1" w:rsidRDefault="00036BF1" w:rsidP="00036BF1">
      <w:pPr>
        <w:rPr>
          <w:lang w:val="es-ES"/>
        </w:rPr>
      </w:pPr>
      <w:r w:rsidRPr="00036BF1">
        <w:rPr>
          <w:b/>
          <w:bCs/>
          <w:lang w:val="es-ES"/>
        </w:rPr>
        <w:t>Contact:</w:t>
      </w:r>
      <w:r w:rsidRPr="00036BF1">
        <w:rPr>
          <w:lang w:val="es-ES"/>
        </w:rPr>
        <w:t xml:space="preserve"> Nicolas Delaunay</w:t>
      </w:r>
      <w:r w:rsidRPr="00036BF1">
        <w:rPr>
          <w:lang w:val="es-ES"/>
        </w:rPr>
        <w:br/>
      </w:r>
      <w:r w:rsidRPr="00036BF1">
        <w:rPr>
          <w:b/>
          <w:bCs/>
          <w:lang w:val="es-ES"/>
        </w:rPr>
        <w:t>Email:</w:t>
      </w:r>
      <w:r w:rsidRPr="00036BF1">
        <w:rPr>
          <w:lang w:val="es-ES"/>
        </w:rPr>
        <w:t xml:space="preserve"> </w:t>
      </w:r>
      <w:hyperlink r:id="rId4" w:history="1">
        <w:r w:rsidRPr="00036BF1">
          <w:rPr>
            <w:rStyle w:val="Hyperlink"/>
            <w:lang w:val="es-ES"/>
          </w:rPr>
          <w:t>delaunay80@gmail.com</w:t>
        </w:r>
      </w:hyperlink>
    </w:p>
    <w:p w14:paraId="38B46E45" w14:textId="77777777" w:rsidR="006F0128" w:rsidRPr="00036BF1" w:rsidRDefault="006F0128" w:rsidP="00036BF1">
      <w:pPr>
        <w:rPr>
          <w:lang w:val="es-ES"/>
        </w:rPr>
      </w:pPr>
    </w:p>
    <w:sectPr w:rsidR="006F0128" w:rsidRPr="00036B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27F"/>
    <w:rsid w:val="00036BF1"/>
    <w:rsid w:val="00106509"/>
    <w:rsid w:val="00332B75"/>
    <w:rsid w:val="00533C98"/>
    <w:rsid w:val="006F0128"/>
    <w:rsid w:val="007426B0"/>
    <w:rsid w:val="008340E1"/>
    <w:rsid w:val="009E791A"/>
    <w:rsid w:val="00AC627F"/>
    <w:rsid w:val="00CD48D1"/>
    <w:rsid w:val="00DA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3492C41"/>
  <w15:chartTrackingRefBased/>
  <w15:docId w15:val="{0B5C4128-ABA7-4C28-AB53-6B937CB92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6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6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62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6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62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6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6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6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6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62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62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62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62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62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6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6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6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6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6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6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6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6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6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6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6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62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62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62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62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6BF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B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elaunay8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4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Delaunay</dc:creator>
  <cp:keywords/>
  <dc:description/>
  <cp:lastModifiedBy>Nicolas Delaunay</cp:lastModifiedBy>
  <cp:revision>2</cp:revision>
  <dcterms:created xsi:type="dcterms:W3CDTF">2026-05-12T15:39:00Z</dcterms:created>
  <dcterms:modified xsi:type="dcterms:W3CDTF">2026-05-13T14:18:00Z</dcterms:modified>
</cp:coreProperties>
</file>