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rPr>
      </w:pPr>
      <w:r w:rsidDel="00000000" w:rsidR="00000000" w:rsidRPr="00000000">
        <w:rPr>
          <w:rFonts w:ascii="Calibri" w:cs="Calibri" w:eastAsia="Calibri" w:hAnsi="Calibri"/>
          <w:b w:val="1"/>
          <w:rtl w:val="0"/>
        </w:rPr>
        <w:t xml:space="preserve">The author of this article lives and works on unceded territory of the Multnomah, Kathlamet, Clackamas, bands of Chinook, Tualatin Kalapuya, Molalla and many other Tribes who made their homes along the Columbia River.</w:t>
      </w:r>
    </w:p>
    <w:p w:rsidR="00000000" w:rsidDel="00000000" w:rsidP="00000000" w:rsidRDefault="00000000" w:rsidRPr="00000000" w14:paraId="00000002">
      <w:pP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sz w:val="36"/>
          <w:szCs w:val="36"/>
          <w:rtl w:val="0"/>
        </w:rPr>
        <w:t xml:space="preserve">Persons: Sylvester Farrell</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Jan de Leeuw</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Version 11-21-2018</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Pr>
        <w:drawing>
          <wp:inline distB="114300" distT="114300" distL="114300" distR="114300">
            <wp:extent cx="4033838" cy="6225297"/>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33838" cy="622529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Pr>
        <w:drawing>
          <wp:inline distB="114300" distT="114300" distL="114300" distR="114300">
            <wp:extent cx="5943600" cy="57150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Pr>
        <w:drawing>
          <wp:inline distB="114300" distT="114300" distL="114300" distR="114300">
            <wp:extent cx="3438525" cy="8851151"/>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438525" cy="8851151"/>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