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97D80" w14:textId="52A7EACB" w:rsidR="00537026" w:rsidRPr="00537026" w:rsidRDefault="00537026" w:rsidP="00537026">
      <w:pPr>
        <w:jc w:val="center"/>
        <w:rPr>
          <w:b/>
        </w:rPr>
      </w:pPr>
      <w:r w:rsidRPr="00537026">
        <w:rPr>
          <w:b/>
        </w:rPr>
        <w:t xml:space="preserve">Supplementary Materials for “Thermal biology of </w:t>
      </w:r>
      <w:r w:rsidR="00BF498E">
        <w:rPr>
          <w:b/>
        </w:rPr>
        <w:t>mosquito</w:t>
      </w:r>
      <w:r w:rsidRPr="00537026">
        <w:rPr>
          <w:b/>
        </w:rPr>
        <w:t>-borne disease”</w:t>
      </w:r>
    </w:p>
    <w:p w14:paraId="7EB05A7B" w14:textId="77777777" w:rsidR="00537026" w:rsidRPr="00537026" w:rsidRDefault="00537026" w:rsidP="00537026"/>
    <w:p w14:paraId="4E8C2FB9" w14:textId="7DC81093" w:rsidR="00537026" w:rsidRPr="00537026" w:rsidRDefault="00537026" w:rsidP="00537026">
      <w:r w:rsidRPr="00537026">
        <w:t xml:space="preserve">Erin A. Mordecai, Jamie M. Caldwell, Marissa Grossman, Catherine A. Lippi, Leah R. Johnson, Marco Neira, Jason R. Rohr, Sadie J. Ryan, Van Savage, Marta </w:t>
      </w:r>
      <w:bookmarkStart w:id="0" w:name="_GoBack"/>
      <w:bookmarkEnd w:id="0"/>
      <w:r w:rsidRPr="00537026">
        <w:t>S. Shocke</w:t>
      </w:r>
      <w:r>
        <w:t>t</w:t>
      </w:r>
      <w:r w:rsidRPr="00537026">
        <w:t>, Rachel Sippy, Anna Stewart Ibarra, Matthew B. Thomas, Oswaldo Villena</w:t>
      </w:r>
    </w:p>
    <w:p w14:paraId="0D5B7063" w14:textId="07F32D88" w:rsidR="00537026" w:rsidRDefault="00537026"/>
    <w:p w14:paraId="6F837EFC" w14:textId="42454DEA" w:rsidR="00AE7B15" w:rsidRDefault="00AE7B15">
      <w:pPr>
        <w:rPr>
          <w:b/>
        </w:rPr>
      </w:pPr>
      <w:r>
        <w:rPr>
          <w:b/>
        </w:rPr>
        <w:t>Supplementary Tables (Tables S1-S2)</w:t>
      </w:r>
    </w:p>
    <w:p w14:paraId="77CAE20C" w14:textId="37F942CE" w:rsidR="00AE7B15" w:rsidRDefault="00AE7B15">
      <w:r>
        <w:rPr>
          <w:b/>
        </w:rPr>
        <w:t>Table S1.</w:t>
      </w:r>
      <w:r>
        <w:t xml:space="preserve"> Published species distribution models for vectors and vector-borne diseases.</w:t>
      </w:r>
    </w:p>
    <w:p w14:paraId="7084A33D" w14:textId="61A6DFEA" w:rsidR="00AE7B15" w:rsidRPr="00AE7B15" w:rsidRDefault="00AE7B15">
      <w:r>
        <w:rPr>
          <w:b/>
        </w:rPr>
        <w:t xml:space="preserve">Table S2. </w:t>
      </w:r>
      <w:r>
        <w:t>Trait thermal response functions fit across systems.</w:t>
      </w:r>
    </w:p>
    <w:p w14:paraId="2966015C" w14:textId="77777777" w:rsidR="00AE7B15" w:rsidRDefault="00AE7B15">
      <w:pPr>
        <w:rPr>
          <w:b/>
        </w:rPr>
      </w:pPr>
    </w:p>
    <w:p w14:paraId="17266A4A" w14:textId="22AB86FB" w:rsidR="00537026" w:rsidRPr="00537026" w:rsidRDefault="00537026">
      <w:pPr>
        <w:rPr>
          <w:b/>
        </w:rPr>
      </w:pPr>
      <w:r w:rsidRPr="00537026">
        <w:rPr>
          <w:b/>
        </w:rPr>
        <w:t>Supplementary Figures</w:t>
      </w:r>
      <w:r>
        <w:rPr>
          <w:b/>
        </w:rPr>
        <w:t xml:space="preserve"> (Fig</w:t>
      </w:r>
      <w:r w:rsidR="00F736D4">
        <w:rPr>
          <w:b/>
        </w:rPr>
        <w:t>ures</w:t>
      </w:r>
      <w:r>
        <w:rPr>
          <w:b/>
        </w:rPr>
        <w:t xml:space="preserve"> S1-</w:t>
      </w:r>
      <w:r w:rsidR="00F736D4">
        <w:rPr>
          <w:b/>
        </w:rPr>
        <w:t>S</w:t>
      </w:r>
      <w:r>
        <w:rPr>
          <w:b/>
        </w:rPr>
        <w:t>4)</w:t>
      </w:r>
    </w:p>
    <w:p w14:paraId="0DBB3EDB" w14:textId="07BD3467" w:rsidR="00537026" w:rsidRDefault="00537026" w:rsidP="00F736D4">
      <w:pPr>
        <w:pStyle w:val="Bibliography"/>
        <w:ind w:left="810" w:hanging="810"/>
      </w:pPr>
      <w:r w:rsidRPr="00F736D4">
        <w:rPr>
          <w:b/>
        </w:rPr>
        <w:t>Fig</w:t>
      </w:r>
      <w:r w:rsidR="00F736D4">
        <w:rPr>
          <w:b/>
        </w:rPr>
        <w:t>.</w:t>
      </w:r>
      <w:r w:rsidRPr="00F736D4">
        <w:rPr>
          <w:b/>
        </w:rPr>
        <w:t xml:space="preserve"> S</w:t>
      </w:r>
      <w:r w:rsidR="00F736D4" w:rsidRPr="00F736D4">
        <w:rPr>
          <w:b/>
        </w:rPr>
        <w:t>1.</w:t>
      </w:r>
      <w:r w:rsidR="00F736D4">
        <w:t xml:space="preserve"> Validation of our malaria temperature-dependent </w:t>
      </w:r>
      <w:r w:rsidR="00F736D4" w:rsidRPr="00F736D4">
        <w:rPr>
          <w:i/>
        </w:rPr>
        <w:t>R</w:t>
      </w:r>
      <w:r w:rsidR="00F736D4" w:rsidRPr="00F736D4">
        <w:rPr>
          <w:i/>
          <w:vertAlign w:val="subscript"/>
        </w:rPr>
        <w:t>0</w:t>
      </w:r>
      <w:r w:rsidR="00F736D4">
        <w:t xml:space="preserve"> model </w:t>
      </w:r>
      <w:r w:rsidR="00F736D4">
        <w:fldChar w:fldCharType="begin"/>
      </w:r>
      <w:r w:rsidR="00F736D4">
        <w:instrText xml:space="preserve"> ADDIN ZOTERO_ITEM CSL_CITATION {"citationID":"5Z1dvI2x","properties":{"formattedCitation":"(Mordecai {\\i{}et al.} 2013)","plainCitation":"(Mordecai et al. 2013)","noteIndex":0},"citationItems":[{"id":277,"uris":["http://zotero.org/users/275805/items/DTHXIX5P"],"uri":["http://zotero.org/users/275805/items/DTHXIX5P"],"itemData":{"id":277,"type":"article-journal","title":"Optimal temperature for malaria transmission is dramatically lower than previously predicted","container-title":"Ecology Letters","page":"22-30","volume":"16","author":[{"family":"Mordecai","given":"E.A."},{"family":"Paaijmans","given":"K.P."},{"family":"Johnson","given":"L.R."},{"family":"Balzer","given":"C.H."},{"family":"Ben-Horin","given":"T."},{"family":"Moor","given":"E.","non-dropping-particle":"de"},{"family":"McNally","given":"A."},{"family":"Pawar","given":"S."},{"family":"Ryan","given":"S.J."},{"family":"Smith","given":"T.C."},{"family":"Lafferty","given":"K.D."}],"issued":{"date-parts":[["2013"]]}}}],"schema":"https://github.com/citation-style-language/schema/raw/master/csl-citation.json"} </w:instrText>
      </w:r>
      <w:r w:rsidR="00F736D4">
        <w:fldChar w:fldCharType="separate"/>
      </w:r>
      <w:r w:rsidR="00F736D4" w:rsidRPr="00F736D4">
        <w:t xml:space="preserve">(Mordecai </w:t>
      </w:r>
      <w:r w:rsidR="00F736D4" w:rsidRPr="00F736D4">
        <w:rPr>
          <w:i/>
          <w:iCs/>
        </w:rPr>
        <w:t>et al.</w:t>
      </w:r>
      <w:r w:rsidR="00F736D4" w:rsidRPr="00F736D4">
        <w:t xml:space="preserve"> 2013)</w:t>
      </w:r>
      <w:r w:rsidR="00F736D4">
        <w:fldChar w:fldCharType="end"/>
      </w:r>
      <w:r w:rsidR="00F736D4">
        <w:t xml:space="preserve"> in comparison with a previous model </w:t>
      </w:r>
      <w:r w:rsidR="00F736D4">
        <w:fldChar w:fldCharType="begin"/>
      </w:r>
      <w:r w:rsidR="00F736D4">
        <w:instrText xml:space="preserve"> ADDIN ZOTERO_ITEM CSL_CITATION {"citationID":"1Hcz5LWc","properties":{"formattedCitation":"(Parham &amp; Michael 2010)","plainCitation":"(Parham &amp; Michael 2010)","noteIndex":0},"citationItems":[{"id":231,"uris":["http://zotero.org/users/275805/items/BDDD3Q26"],"uri":["http://zotero.org/users/275805/items/BDDD3Q26"],"itemData":{"id":231,"type":"article-journal","title":"Modeling the Effects of Weather and Climate Change on Malaria Transmission","container-title":"Environmental Health Perspectives","page":"620-626","volume":"118","issue":"5","author":[{"family":"Parham","given":"PE"},{"family":"Michael","given":"E"}],"issued":{"date-parts":[["2010"]]}}}],"schema":"https://github.com/citation-style-language/schema/raw/master/csl-citation.json"} </w:instrText>
      </w:r>
      <w:r w:rsidR="00F736D4">
        <w:fldChar w:fldCharType="separate"/>
      </w:r>
      <w:r w:rsidR="00F736D4">
        <w:rPr>
          <w:noProof/>
        </w:rPr>
        <w:t>(Parham &amp; Michael 2010)</w:t>
      </w:r>
      <w:r w:rsidR="00F736D4">
        <w:fldChar w:fldCharType="end"/>
      </w:r>
      <w:r w:rsidR="00F736D4">
        <w:t>.</w:t>
      </w:r>
    </w:p>
    <w:p w14:paraId="59338611" w14:textId="326D9975" w:rsidR="00F736D4" w:rsidRDefault="00F736D4" w:rsidP="00F736D4">
      <w:pPr>
        <w:ind w:left="810" w:hanging="810"/>
      </w:pPr>
      <w:r>
        <w:rPr>
          <w:b/>
        </w:rPr>
        <w:t>Fig. S2.</w:t>
      </w:r>
      <w:r>
        <w:t xml:space="preserve"> Validation of our dengue, chikungunya, and Zika virus temperature-dependent </w:t>
      </w:r>
      <w:r w:rsidRPr="00F736D4">
        <w:rPr>
          <w:i/>
        </w:rPr>
        <w:t>R</w:t>
      </w:r>
      <w:r w:rsidRPr="00F736D4">
        <w:rPr>
          <w:i/>
          <w:vertAlign w:val="subscript"/>
        </w:rPr>
        <w:t>0</w:t>
      </w:r>
      <w:r>
        <w:t xml:space="preserve"> model in </w:t>
      </w:r>
      <w:r w:rsidRPr="00F736D4">
        <w:rPr>
          <w:i/>
        </w:rPr>
        <w:t>Aedes aegypti</w:t>
      </w:r>
      <w:r>
        <w:t xml:space="preserve"> </w:t>
      </w:r>
      <w:r>
        <w:fldChar w:fldCharType="begin"/>
      </w:r>
      <w:r>
        <w:instrText xml:space="preserve"> ADDIN ZOTERO_ITEM CSL_CITATION {"citationID":"PqOQv9eA","properties":{"formattedCitation":"(Mordecai {\\i{}et al.} 2017)","plainCitation":"(Mordecai et al. 2017)","noteIndex":0},"citationItems":[{"id":6249,"uris":["http://zotero.org/users/275805/items/K7SB3GB2"],"uri":["http://zotero.org/users/275805/items/K7SB3GB2"],"itemData":{"id":6249,"type":"article-journal","title":"Detecting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fldChar w:fldCharType="separate"/>
      </w:r>
      <w:r w:rsidRPr="00F736D4">
        <w:t xml:space="preserve">(Mordecai </w:t>
      </w:r>
      <w:r w:rsidRPr="00F736D4">
        <w:rPr>
          <w:i/>
          <w:iCs/>
        </w:rPr>
        <w:t>et al.</w:t>
      </w:r>
      <w:r w:rsidRPr="00F736D4">
        <w:t xml:space="preserve"> 2017)</w:t>
      </w:r>
      <w:r>
        <w:fldChar w:fldCharType="end"/>
      </w:r>
      <w:r>
        <w:t>.</w:t>
      </w:r>
    </w:p>
    <w:p w14:paraId="69B8039F" w14:textId="1D0252B3" w:rsidR="00F736D4" w:rsidRDefault="00F736D4" w:rsidP="00F736D4">
      <w:pPr>
        <w:ind w:left="810" w:hanging="810"/>
      </w:pPr>
      <w:r>
        <w:rPr>
          <w:b/>
        </w:rPr>
        <w:t>Fig.</w:t>
      </w:r>
      <w:r w:rsidR="00456DAF">
        <w:rPr>
          <w:b/>
        </w:rPr>
        <w:t xml:space="preserve"> </w:t>
      </w:r>
      <w:r>
        <w:rPr>
          <w:b/>
        </w:rPr>
        <w:t>S3.</w:t>
      </w:r>
      <w:r>
        <w:t xml:space="preserve"> Validation of our West Nile virus temperature-dependent </w:t>
      </w:r>
      <w:r w:rsidRPr="00F736D4">
        <w:rPr>
          <w:i/>
        </w:rPr>
        <w:t>R</w:t>
      </w:r>
      <w:r w:rsidRPr="00F736D4">
        <w:rPr>
          <w:i/>
          <w:vertAlign w:val="subscript"/>
        </w:rPr>
        <w:t>0</w:t>
      </w:r>
      <w:r>
        <w:t xml:space="preserve"> model (Shocket et al., in prep).</w:t>
      </w:r>
    </w:p>
    <w:p w14:paraId="4B367FC0" w14:textId="4BEE4F4A" w:rsidR="00F736D4" w:rsidRPr="00F736D4" w:rsidRDefault="00F736D4" w:rsidP="00F736D4">
      <w:pPr>
        <w:ind w:left="810" w:hanging="810"/>
      </w:pPr>
      <w:r>
        <w:rPr>
          <w:b/>
        </w:rPr>
        <w:t>Fig. S4.</w:t>
      </w:r>
      <w:r>
        <w:t xml:space="preserve"> Validation of our Ross River virus temperature-dependent </w:t>
      </w:r>
      <w:r w:rsidRPr="00F736D4">
        <w:rPr>
          <w:i/>
        </w:rPr>
        <w:t>R</w:t>
      </w:r>
      <w:r w:rsidRPr="00F736D4">
        <w:rPr>
          <w:i/>
          <w:vertAlign w:val="subscript"/>
        </w:rPr>
        <w:t>0</w:t>
      </w:r>
      <w:r>
        <w:t xml:space="preserve"> model </w:t>
      </w:r>
      <w:r>
        <w:fldChar w:fldCharType="begin"/>
      </w:r>
      <w:r>
        <w:instrText xml:space="preserve"> ADDIN ZOTERO_ITEM CSL_CITATION {"citationID":"jbqf4fFb","properties":{"formattedCitation":"(Shocket {\\i{}et al.} 2018)","plainCitation":"(Shocket et al. 2018)","noteIndex":0},"citationItems":[{"id":6540,"uris":["http://zotero.org/users/275805/items/CW9PIVIJ"],"uri":["http://zotero.org/users/275805/items/CW9PIVIJ"],"itemData":{"id":6540,"type":"article-journal","title":"Temperature explains broad patterns of Ross River virus transmission","container-title":"eLife","page":"e37762","volume":"7","DOI":"10.7554/eLife.37762","author":[{"family":"Shocket","given":"M.S."},{"family":"Ryan","given":"S.J."},{"family":"Mordecai","given":"E.A."}],"issued":{"date-parts":[["2018"]]}}}],"schema":"https://github.com/citation-style-language/schema/raw/master/csl-citation.json"} </w:instrText>
      </w:r>
      <w:r>
        <w:fldChar w:fldCharType="separate"/>
      </w:r>
      <w:r w:rsidRPr="00F736D4">
        <w:t xml:space="preserve">(Shocket </w:t>
      </w:r>
      <w:r w:rsidRPr="00F736D4">
        <w:rPr>
          <w:i/>
          <w:iCs/>
        </w:rPr>
        <w:t>et al.</w:t>
      </w:r>
      <w:r w:rsidRPr="00F736D4">
        <w:t xml:space="preserve"> 2018)</w:t>
      </w:r>
      <w:r>
        <w:fldChar w:fldCharType="end"/>
      </w:r>
      <w:r>
        <w:t>.</w:t>
      </w:r>
    </w:p>
    <w:p w14:paraId="5BF301B9" w14:textId="77777777" w:rsidR="00AE7B15" w:rsidRDefault="00AE7B15">
      <w:pPr>
        <w:sectPr w:rsidR="00AE7B15" w:rsidSect="00C448D2">
          <w:pgSz w:w="12240" w:h="15840"/>
          <w:pgMar w:top="1440" w:right="1440" w:bottom="1440" w:left="1440" w:header="720" w:footer="720" w:gutter="0"/>
          <w:cols w:space="720"/>
          <w:docGrid w:linePitch="360"/>
        </w:sectPr>
      </w:pPr>
    </w:p>
    <w:p w14:paraId="2C913789" w14:textId="49692512" w:rsidR="00AE5FDA" w:rsidRDefault="00AE7B15" w:rsidP="00AE5FDA">
      <w:r>
        <w:rPr>
          <w:b/>
        </w:rPr>
        <w:lastRenderedPageBreak/>
        <w:t>Table S1.</w:t>
      </w:r>
      <w:r w:rsidR="00AE5FDA">
        <w:rPr>
          <w:b/>
        </w:rPr>
        <w:t xml:space="preserve"> </w:t>
      </w:r>
      <w:r w:rsidR="00AE5FDA" w:rsidRPr="00200BFD">
        <w:rPr>
          <w:b/>
        </w:rPr>
        <w:t>Trait thermal response functional forms, parameters (including thermal limits), and optima.</w:t>
      </w:r>
      <w:r w:rsidR="00AE5FDA" w:rsidRPr="00AE5FDA">
        <w:t xml:space="preserve"> Medians and 95% CIs. </w:t>
      </w:r>
      <w:r w:rsidR="00AE5FDA" w:rsidRPr="00AE5FDA">
        <w:rPr>
          <w:i/>
        </w:rPr>
        <w:t>T</w:t>
      </w:r>
      <w:r w:rsidR="00AE5FDA" w:rsidRPr="00AE5FDA">
        <w:rPr>
          <w:i/>
          <w:vertAlign w:val="subscript"/>
        </w:rPr>
        <w:t>min</w:t>
      </w:r>
      <w:r w:rsidR="00AE5FDA" w:rsidRPr="00AE5FDA">
        <w:t xml:space="preserve">, </w:t>
      </w:r>
      <w:r w:rsidR="00AE5FDA" w:rsidRPr="00AE5FDA">
        <w:rPr>
          <w:i/>
        </w:rPr>
        <w:t>T</w:t>
      </w:r>
      <w:r w:rsidR="00AE5FDA" w:rsidRPr="00AE5FDA">
        <w:rPr>
          <w:i/>
          <w:vertAlign w:val="subscript"/>
        </w:rPr>
        <w:t>max</w:t>
      </w:r>
      <w:r w:rsidR="00AE5FDA" w:rsidRPr="00AE5FDA">
        <w:t xml:space="preserve">, and </w:t>
      </w:r>
      <w:r w:rsidR="00AE5FDA" w:rsidRPr="00AE5FDA">
        <w:rPr>
          <w:i/>
        </w:rPr>
        <w:t>T</w:t>
      </w:r>
      <w:r w:rsidR="00AE5FDA" w:rsidRPr="00AE5FDA">
        <w:rPr>
          <w:i/>
          <w:vertAlign w:val="subscript"/>
        </w:rPr>
        <w:t>opt</w:t>
      </w:r>
      <w:r w:rsidR="00AE5FDA" w:rsidRPr="00AE5FDA">
        <w:rPr>
          <w:vertAlign w:val="subscript"/>
        </w:rPr>
        <w:t xml:space="preserve"> </w:t>
      </w:r>
      <w:r w:rsidR="00AE5FDA" w:rsidRPr="00AE5FDA">
        <w:t>in degrees Celcius. F(x) is the functional form of the thermal response: B = Brière (</w:t>
      </w:r>
      <w:r w:rsidR="00200BFD">
        <w:rPr>
          <w:i/>
        </w:rPr>
        <w:t>q</w:t>
      </w:r>
      <w:r w:rsidR="00AE5FDA" w:rsidRPr="00AE5FDA">
        <w:rPr>
          <w:i/>
        </w:rPr>
        <w:t>T</w:t>
      </w:r>
      <w:r w:rsidR="00AE5FDA" w:rsidRPr="00AE5FDA">
        <w:t>[</w:t>
      </w:r>
      <w:r w:rsidR="00AE5FDA" w:rsidRPr="00AE5FDA">
        <w:rPr>
          <w:i/>
        </w:rPr>
        <w:t>T</w:t>
      </w:r>
      <w:r w:rsidR="00AE5FDA" w:rsidRPr="00AE5FDA">
        <w:t xml:space="preserve"> – </w:t>
      </w:r>
      <w:r w:rsidR="00AE5FDA" w:rsidRPr="00AE5FDA">
        <w:rPr>
          <w:i/>
        </w:rPr>
        <w:t>T</w:t>
      </w:r>
      <w:r w:rsidR="00AE5FDA" w:rsidRPr="00AE5FDA">
        <w:rPr>
          <w:i/>
          <w:vertAlign w:val="subscript"/>
        </w:rPr>
        <w:t>min</w:t>
      </w:r>
      <w:r w:rsidR="00AE5FDA" w:rsidRPr="00AE5FDA">
        <w:t>][</w:t>
      </w:r>
      <w:r w:rsidR="00AE5FDA" w:rsidRPr="00AE5FDA">
        <w:rPr>
          <w:i/>
        </w:rPr>
        <w:t xml:space="preserve"> T</w:t>
      </w:r>
      <w:r w:rsidR="00AE5FDA" w:rsidRPr="00AE5FDA">
        <w:rPr>
          <w:i/>
          <w:vertAlign w:val="subscript"/>
        </w:rPr>
        <w:t>max</w:t>
      </w:r>
      <w:r w:rsidR="00AE5FDA" w:rsidRPr="00AE5FDA">
        <w:t xml:space="preserve"> - </w:t>
      </w:r>
      <w:r w:rsidR="00AE5FDA" w:rsidRPr="00AE5FDA">
        <w:rPr>
          <w:i/>
        </w:rPr>
        <w:t>T</w:t>
      </w:r>
      <w:r w:rsidR="00AE5FDA" w:rsidRPr="00AE5FDA">
        <w:t>]</w:t>
      </w:r>
      <w:r w:rsidR="00AE5FDA" w:rsidRPr="00AE5FDA">
        <w:rPr>
          <w:vertAlign w:val="superscript"/>
        </w:rPr>
        <w:t>1/2</w:t>
      </w:r>
      <w:r w:rsidR="00AE5FDA" w:rsidRPr="00AE5FDA">
        <w:t>), Q = quadratic (–</w:t>
      </w:r>
      <w:r w:rsidR="00AE5FDA" w:rsidRPr="00AE5FDA">
        <w:rPr>
          <w:i/>
        </w:rPr>
        <w:t>qT</w:t>
      </w:r>
      <w:r w:rsidR="00AE5FDA" w:rsidRPr="00AE5FDA">
        <w:t>[</w:t>
      </w:r>
      <w:r w:rsidR="00AE5FDA" w:rsidRPr="00AE5FDA">
        <w:rPr>
          <w:i/>
        </w:rPr>
        <w:t>T</w:t>
      </w:r>
      <w:r w:rsidR="00AE5FDA" w:rsidRPr="00AE5FDA">
        <w:t xml:space="preserve"> – </w:t>
      </w:r>
      <w:r w:rsidR="00AE5FDA" w:rsidRPr="00AE5FDA">
        <w:rPr>
          <w:i/>
        </w:rPr>
        <w:t>T</w:t>
      </w:r>
      <w:r w:rsidR="00AE5FDA" w:rsidRPr="00AE5FDA">
        <w:rPr>
          <w:i/>
          <w:vertAlign w:val="subscript"/>
        </w:rPr>
        <w:t>min</w:t>
      </w:r>
      <w:r w:rsidR="00AE5FDA" w:rsidRPr="00AE5FDA">
        <w:t>][</w:t>
      </w:r>
      <w:r w:rsidR="00AE5FDA" w:rsidRPr="00AE5FDA">
        <w:rPr>
          <w:i/>
        </w:rPr>
        <w:t>T – T</w:t>
      </w:r>
      <w:r w:rsidR="00AE5FDA" w:rsidRPr="00AE5FDA">
        <w:rPr>
          <w:i/>
          <w:vertAlign w:val="subscript"/>
        </w:rPr>
        <w:t>max</w:t>
      </w:r>
      <w:r w:rsidR="00AE5FDA" w:rsidRPr="00AE5FDA">
        <w:t xml:space="preserve">]), Q* = </w:t>
      </w:r>
      <w:r w:rsidR="00200BFD">
        <w:t xml:space="preserve">alternative </w:t>
      </w:r>
      <w:r w:rsidR="00AE5FDA" w:rsidRPr="00AE5FDA">
        <w:t>quadratic (</w:t>
      </w:r>
      <w:r w:rsidR="00AE5FDA" w:rsidRPr="00AE5FDA">
        <w:rPr>
          <w:i/>
        </w:rPr>
        <w:t>qT</w:t>
      </w:r>
      <w:r w:rsidR="00AE5FDA" w:rsidRPr="00AE5FDA">
        <w:rPr>
          <w:vertAlign w:val="superscript"/>
        </w:rPr>
        <w:t>2</w:t>
      </w:r>
      <w:r w:rsidR="00AE5FDA" w:rsidRPr="00AE5FDA">
        <w:t xml:space="preserve"> </w:t>
      </w:r>
      <w:r w:rsidR="00FE3775">
        <w:t>-</w:t>
      </w:r>
      <w:r w:rsidR="00AE5FDA" w:rsidRPr="00AE5FDA">
        <w:t xml:space="preserve"> </w:t>
      </w:r>
      <w:r w:rsidR="00AE5FDA" w:rsidRPr="00AE5FDA">
        <w:rPr>
          <w:i/>
        </w:rPr>
        <w:t xml:space="preserve">rT </w:t>
      </w:r>
      <w:r w:rsidR="00AE5FDA" w:rsidRPr="00AE5FDA">
        <w:t xml:space="preserve">+ </w:t>
      </w:r>
      <w:r w:rsidR="00AE5FDA" w:rsidRPr="00AE5FDA">
        <w:rPr>
          <w:i/>
        </w:rPr>
        <w:t>s</w:t>
      </w:r>
      <w:r w:rsidR="00AE5FDA" w:rsidRPr="00AE5FDA">
        <w:t>), and L = linear (</w:t>
      </w:r>
      <w:r w:rsidR="00AE5FDA" w:rsidRPr="00AE5FDA">
        <w:rPr>
          <w:i/>
        </w:rPr>
        <w:t>–mT</w:t>
      </w:r>
      <w:r w:rsidR="00AE5FDA" w:rsidRPr="00AE5FDA">
        <w:t xml:space="preserve"> + </w:t>
      </w:r>
      <w:r w:rsidR="00AE5FDA" w:rsidRPr="00AE5FDA">
        <w:rPr>
          <w:i/>
        </w:rPr>
        <w:t>z</w:t>
      </w:r>
      <w:r w:rsidR="00AE5FDA" w:rsidRPr="00AE5FDA">
        <w:t>).</w:t>
      </w:r>
      <w:r w:rsidR="00200BFD">
        <w:t xml:space="preserve"> Traits with functional forms Q* and L are listed separately below.</w:t>
      </w:r>
    </w:p>
    <w:p w14:paraId="7756B722" w14:textId="77777777" w:rsidR="00AE5FDA" w:rsidRPr="00AE5FDA" w:rsidRDefault="00AE5FDA" w:rsidP="00AE5FDA"/>
    <w:tbl>
      <w:tblPr>
        <w:tblW w:w="12865" w:type="dxa"/>
        <w:tblLook w:val="04A0" w:firstRow="1" w:lastRow="0" w:firstColumn="1" w:lastColumn="0" w:noHBand="0" w:noVBand="1"/>
      </w:tblPr>
      <w:tblGrid>
        <w:gridCol w:w="3235"/>
        <w:gridCol w:w="661"/>
        <w:gridCol w:w="2939"/>
        <w:gridCol w:w="1980"/>
        <w:gridCol w:w="2070"/>
        <w:gridCol w:w="1980"/>
      </w:tblGrid>
      <w:tr w:rsidR="00AE5FDA" w:rsidRPr="00AE5FDA" w14:paraId="72491A4D" w14:textId="77777777" w:rsidTr="00A93316">
        <w:tc>
          <w:tcPr>
            <w:tcW w:w="3235" w:type="dxa"/>
            <w:tcBorders>
              <w:top w:val="single" w:sz="4" w:space="0" w:color="auto"/>
              <w:left w:val="single" w:sz="4" w:space="0" w:color="auto"/>
              <w:bottom w:val="single" w:sz="4" w:space="0" w:color="auto"/>
            </w:tcBorders>
          </w:tcPr>
          <w:p w14:paraId="34586F64" w14:textId="77777777" w:rsidR="00AE5FDA" w:rsidRPr="00AE5FDA" w:rsidRDefault="00AE5FDA" w:rsidP="00AE5FDA">
            <w:pPr>
              <w:rPr>
                <w:b/>
                <w:i/>
              </w:rPr>
            </w:pPr>
            <w:r w:rsidRPr="00AE5FDA">
              <w:rPr>
                <w:b/>
                <w:i/>
              </w:rPr>
              <w:t>Trait / System</w:t>
            </w:r>
          </w:p>
        </w:tc>
        <w:tc>
          <w:tcPr>
            <w:tcW w:w="661" w:type="dxa"/>
            <w:tcBorders>
              <w:top w:val="single" w:sz="4" w:space="0" w:color="auto"/>
              <w:bottom w:val="single" w:sz="4" w:space="0" w:color="auto"/>
            </w:tcBorders>
          </w:tcPr>
          <w:p w14:paraId="3FB62592" w14:textId="77777777" w:rsidR="00AE5FDA" w:rsidRPr="00AE5FDA" w:rsidRDefault="00AE5FDA" w:rsidP="00AE5FDA">
            <w:pPr>
              <w:rPr>
                <w:b/>
                <w:i/>
              </w:rPr>
            </w:pPr>
            <w:r w:rsidRPr="00AE5FDA">
              <w:rPr>
                <w:b/>
                <w:i/>
              </w:rPr>
              <w:t>F(x)</w:t>
            </w:r>
          </w:p>
        </w:tc>
        <w:tc>
          <w:tcPr>
            <w:tcW w:w="2939" w:type="dxa"/>
            <w:tcBorders>
              <w:top w:val="single" w:sz="4" w:space="0" w:color="auto"/>
              <w:bottom w:val="single" w:sz="4" w:space="0" w:color="auto"/>
            </w:tcBorders>
          </w:tcPr>
          <w:p w14:paraId="49CC2E80" w14:textId="77777777" w:rsidR="00AE5FDA" w:rsidRPr="00AE5FDA" w:rsidRDefault="00AE5FDA" w:rsidP="00AE5FDA">
            <w:pPr>
              <w:rPr>
                <w:b/>
              </w:rPr>
            </w:pPr>
            <w:r w:rsidRPr="00AE5FDA">
              <w:rPr>
                <w:b/>
                <w:i/>
              </w:rPr>
              <w:t>q</w:t>
            </w:r>
            <w:r w:rsidRPr="00AE5FDA">
              <w:rPr>
                <w:b/>
              </w:rPr>
              <w:t xml:space="preserve"> (CIs)</w:t>
            </w:r>
          </w:p>
        </w:tc>
        <w:tc>
          <w:tcPr>
            <w:tcW w:w="1980" w:type="dxa"/>
            <w:tcBorders>
              <w:top w:val="single" w:sz="4" w:space="0" w:color="auto"/>
              <w:bottom w:val="single" w:sz="4" w:space="0" w:color="auto"/>
            </w:tcBorders>
          </w:tcPr>
          <w:p w14:paraId="3920C3E2" w14:textId="77777777" w:rsidR="00AE5FDA" w:rsidRPr="00AE5FDA" w:rsidRDefault="00AE5FDA" w:rsidP="00AE5FDA">
            <w:pPr>
              <w:rPr>
                <w:b/>
              </w:rPr>
            </w:pPr>
            <w:r w:rsidRPr="00AE5FDA">
              <w:rPr>
                <w:b/>
                <w:i/>
              </w:rPr>
              <w:t>T</w:t>
            </w:r>
            <w:r w:rsidRPr="00AE5FDA">
              <w:rPr>
                <w:b/>
                <w:i/>
                <w:vertAlign w:val="subscript"/>
              </w:rPr>
              <w:t>min</w:t>
            </w:r>
            <w:r w:rsidRPr="00AE5FDA">
              <w:rPr>
                <w:b/>
              </w:rPr>
              <w:t xml:space="preserve"> (CIs)</w:t>
            </w:r>
          </w:p>
        </w:tc>
        <w:tc>
          <w:tcPr>
            <w:tcW w:w="2070" w:type="dxa"/>
            <w:tcBorders>
              <w:top w:val="single" w:sz="4" w:space="0" w:color="auto"/>
              <w:bottom w:val="single" w:sz="4" w:space="0" w:color="auto"/>
            </w:tcBorders>
          </w:tcPr>
          <w:p w14:paraId="390797B5" w14:textId="77777777" w:rsidR="00AE5FDA" w:rsidRPr="00AE5FDA" w:rsidRDefault="00AE5FDA" w:rsidP="00AE5FDA">
            <w:pPr>
              <w:rPr>
                <w:b/>
                <w:i/>
              </w:rPr>
            </w:pPr>
            <w:r w:rsidRPr="00AE5FDA">
              <w:rPr>
                <w:b/>
                <w:i/>
              </w:rPr>
              <w:t>T</w:t>
            </w:r>
            <w:r w:rsidRPr="00AE5FDA">
              <w:rPr>
                <w:b/>
                <w:i/>
                <w:vertAlign w:val="subscript"/>
              </w:rPr>
              <w:t>max</w:t>
            </w:r>
            <w:r w:rsidRPr="00AE5FDA">
              <w:rPr>
                <w:b/>
              </w:rPr>
              <w:t xml:space="preserve"> (CIs)</w:t>
            </w:r>
          </w:p>
        </w:tc>
        <w:tc>
          <w:tcPr>
            <w:tcW w:w="1980" w:type="dxa"/>
            <w:tcBorders>
              <w:top w:val="single" w:sz="4" w:space="0" w:color="auto"/>
              <w:bottom w:val="single" w:sz="4" w:space="0" w:color="auto"/>
              <w:right w:val="single" w:sz="4" w:space="0" w:color="auto"/>
            </w:tcBorders>
          </w:tcPr>
          <w:p w14:paraId="7353D617" w14:textId="77777777" w:rsidR="00AE5FDA" w:rsidRPr="00AE5FDA" w:rsidRDefault="00AE5FDA" w:rsidP="00AE5FDA">
            <w:pPr>
              <w:rPr>
                <w:b/>
              </w:rPr>
            </w:pPr>
            <w:r w:rsidRPr="00AE5FDA">
              <w:rPr>
                <w:b/>
                <w:i/>
              </w:rPr>
              <w:t>T</w:t>
            </w:r>
            <w:r w:rsidRPr="00AE5FDA">
              <w:rPr>
                <w:b/>
                <w:i/>
                <w:vertAlign w:val="subscript"/>
              </w:rPr>
              <w:t>opt</w:t>
            </w:r>
            <w:r w:rsidRPr="00AE5FDA">
              <w:rPr>
                <w:b/>
              </w:rPr>
              <w:t xml:space="preserve"> (CIs)</w:t>
            </w:r>
          </w:p>
        </w:tc>
      </w:tr>
      <w:tr w:rsidR="00AE5FDA" w:rsidRPr="00AE5FDA" w14:paraId="31E0BEDB" w14:textId="77777777" w:rsidTr="00A93316">
        <w:tc>
          <w:tcPr>
            <w:tcW w:w="3235" w:type="dxa"/>
            <w:tcBorders>
              <w:top w:val="single" w:sz="4" w:space="0" w:color="auto"/>
              <w:left w:val="single" w:sz="4" w:space="0" w:color="auto"/>
            </w:tcBorders>
          </w:tcPr>
          <w:p w14:paraId="7982F62D" w14:textId="77777777" w:rsidR="00AE5FDA" w:rsidRPr="00AE5FDA" w:rsidRDefault="00AE5FDA" w:rsidP="00AE5FDA">
            <w:pPr>
              <w:rPr>
                <w:b/>
              </w:rPr>
            </w:pPr>
            <w:r w:rsidRPr="00AE5FDA">
              <w:rPr>
                <w:b/>
              </w:rPr>
              <w:t>Biting rate (</w:t>
            </w:r>
            <w:r w:rsidRPr="00AE5FDA">
              <w:rPr>
                <w:b/>
                <w:i/>
              </w:rPr>
              <w:t>a</w:t>
            </w:r>
            <w:r w:rsidRPr="00AE5FDA">
              <w:rPr>
                <w:b/>
              </w:rPr>
              <w:t>)</w:t>
            </w:r>
          </w:p>
        </w:tc>
        <w:tc>
          <w:tcPr>
            <w:tcW w:w="661" w:type="dxa"/>
            <w:tcBorders>
              <w:top w:val="single" w:sz="4" w:space="0" w:color="auto"/>
            </w:tcBorders>
          </w:tcPr>
          <w:p w14:paraId="302B2671" w14:textId="77777777" w:rsidR="00AE5FDA" w:rsidRPr="00AE5FDA" w:rsidRDefault="00AE5FDA" w:rsidP="00AE5FDA"/>
        </w:tc>
        <w:tc>
          <w:tcPr>
            <w:tcW w:w="2939" w:type="dxa"/>
            <w:tcBorders>
              <w:top w:val="single" w:sz="4" w:space="0" w:color="auto"/>
            </w:tcBorders>
          </w:tcPr>
          <w:p w14:paraId="026E8DE7" w14:textId="77777777" w:rsidR="00AE5FDA" w:rsidRPr="00AE5FDA" w:rsidRDefault="00AE5FDA" w:rsidP="00AE5FDA"/>
        </w:tc>
        <w:tc>
          <w:tcPr>
            <w:tcW w:w="1980" w:type="dxa"/>
            <w:tcBorders>
              <w:top w:val="single" w:sz="4" w:space="0" w:color="auto"/>
            </w:tcBorders>
          </w:tcPr>
          <w:p w14:paraId="66468A04" w14:textId="77777777" w:rsidR="00AE5FDA" w:rsidRPr="00AE5FDA" w:rsidRDefault="00AE5FDA" w:rsidP="00AE5FDA"/>
        </w:tc>
        <w:tc>
          <w:tcPr>
            <w:tcW w:w="2070" w:type="dxa"/>
            <w:tcBorders>
              <w:top w:val="single" w:sz="4" w:space="0" w:color="auto"/>
            </w:tcBorders>
          </w:tcPr>
          <w:p w14:paraId="3B29B703" w14:textId="77777777" w:rsidR="00AE5FDA" w:rsidRPr="00AE5FDA" w:rsidRDefault="00AE5FDA" w:rsidP="00AE5FDA"/>
        </w:tc>
        <w:tc>
          <w:tcPr>
            <w:tcW w:w="1980" w:type="dxa"/>
            <w:tcBorders>
              <w:top w:val="single" w:sz="4" w:space="0" w:color="auto"/>
              <w:right w:val="single" w:sz="4" w:space="0" w:color="auto"/>
            </w:tcBorders>
          </w:tcPr>
          <w:p w14:paraId="4A5ECCB9" w14:textId="77777777" w:rsidR="00AE5FDA" w:rsidRPr="00AE5FDA" w:rsidRDefault="00AE5FDA" w:rsidP="00AE5FDA"/>
        </w:tc>
      </w:tr>
      <w:tr w:rsidR="00AE5FDA" w:rsidRPr="00AE5FDA" w14:paraId="174EC42B" w14:textId="77777777" w:rsidTr="00A93316">
        <w:tc>
          <w:tcPr>
            <w:tcW w:w="3235" w:type="dxa"/>
            <w:tcBorders>
              <w:left w:val="single" w:sz="4" w:space="0" w:color="auto"/>
            </w:tcBorders>
          </w:tcPr>
          <w:p w14:paraId="1606B5BF" w14:textId="77777777" w:rsidR="00AE5FDA" w:rsidRPr="00AE5FDA" w:rsidRDefault="00AE5FDA" w:rsidP="00AE5FDA">
            <w:pPr>
              <w:rPr>
                <w:b/>
              </w:rPr>
            </w:pPr>
            <w:r w:rsidRPr="00AE5FDA">
              <w:rPr>
                <w:i/>
              </w:rPr>
              <w:t>Ae. aegypti</w:t>
            </w:r>
          </w:p>
        </w:tc>
        <w:tc>
          <w:tcPr>
            <w:tcW w:w="661" w:type="dxa"/>
          </w:tcPr>
          <w:p w14:paraId="1A77203A" w14:textId="77777777" w:rsidR="00AE5FDA" w:rsidRPr="00AE5FDA" w:rsidRDefault="00AE5FDA" w:rsidP="00AE5FDA">
            <w:r w:rsidRPr="00AE5FDA">
              <w:t>B</w:t>
            </w:r>
          </w:p>
        </w:tc>
        <w:tc>
          <w:tcPr>
            <w:tcW w:w="2939" w:type="dxa"/>
          </w:tcPr>
          <w:p w14:paraId="671C219E" w14:textId="77777777" w:rsidR="00AE5FDA" w:rsidRPr="00AE5FDA" w:rsidRDefault="00AE5FDA" w:rsidP="00AE5FDA">
            <w:r w:rsidRPr="00AE5FDA">
              <w:t>2.02·10</w:t>
            </w:r>
            <w:r w:rsidRPr="00AE5FDA">
              <w:rPr>
                <w:vertAlign w:val="superscript"/>
              </w:rPr>
              <w:t>-4</w:t>
            </w:r>
            <w:r w:rsidRPr="00AE5FDA">
              <w:t xml:space="preserve"> (1.26–2.88·10</w:t>
            </w:r>
            <w:r w:rsidRPr="00AE5FDA">
              <w:rPr>
                <w:vertAlign w:val="superscript"/>
              </w:rPr>
              <w:t>-4</w:t>
            </w:r>
            <w:r w:rsidRPr="00AE5FDA">
              <w:t xml:space="preserve">) </w:t>
            </w:r>
          </w:p>
        </w:tc>
        <w:tc>
          <w:tcPr>
            <w:tcW w:w="1980" w:type="dxa"/>
          </w:tcPr>
          <w:p w14:paraId="3D428E5A" w14:textId="77777777" w:rsidR="00AE5FDA" w:rsidRPr="00AE5FDA" w:rsidRDefault="00AE5FDA" w:rsidP="00AE5FDA">
            <w:r w:rsidRPr="00AE5FDA">
              <w:t>13.8 (7.7–17.1)</w:t>
            </w:r>
          </w:p>
        </w:tc>
        <w:tc>
          <w:tcPr>
            <w:tcW w:w="2070" w:type="dxa"/>
          </w:tcPr>
          <w:p w14:paraId="3D5BF860" w14:textId="77777777" w:rsidR="00AE5FDA" w:rsidRPr="00AE5FDA" w:rsidRDefault="00AE5FDA" w:rsidP="00AE5FDA">
            <w:r w:rsidRPr="00AE5FDA">
              <w:t>40.0 (40.0–40.4)</w:t>
            </w:r>
          </w:p>
        </w:tc>
        <w:tc>
          <w:tcPr>
            <w:tcW w:w="1980" w:type="dxa"/>
            <w:tcBorders>
              <w:right w:val="single" w:sz="4" w:space="0" w:color="auto"/>
            </w:tcBorders>
          </w:tcPr>
          <w:p w14:paraId="0C544103" w14:textId="77777777" w:rsidR="00AE5FDA" w:rsidRPr="00AE5FDA" w:rsidRDefault="00AE5FDA" w:rsidP="00AE5FDA">
            <w:r w:rsidRPr="00AE5FDA">
              <w:t>33.8 (33.0–34.3)</w:t>
            </w:r>
          </w:p>
        </w:tc>
      </w:tr>
      <w:tr w:rsidR="00AE5FDA" w:rsidRPr="00AE5FDA" w14:paraId="6BBD5EAF" w14:textId="77777777" w:rsidTr="00A93316">
        <w:tc>
          <w:tcPr>
            <w:tcW w:w="3235" w:type="dxa"/>
            <w:tcBorders>
              <w:left w:val="single" w:sz="4" w:space="0" w:color="auto"/>
            </w:tcBorders>
          </w:tcPr>
          <w:p w14:paraId="43C86250" w14:textId="77777777" w:rsidR="00AE5FDA" w:rsidRPr="00AE5FDA" w:rsidRDefault="00AE5FDA" w:rsidP="00AE5FDA">
            <w:pPr>
              <w:rPr>
                <w:b/>
              </w:rPr>
            </w:pPr>
            <w:r w:rsidRPr="00AE5FDA">
              <w:rPr>
                <w:i/>
              </w:rPr>
              <w:t>Ae. albopictus</w:t>
            </w:r>
          </w:p>
        </w:tc>
        <w:tc>
          <w:tcPr>
            <w:tcW w:w="661" w:type="dxa"/>
          </w:tcPr>
          <w:p w14:paraId="797075D8" w14:textId="77777777" w:rsidR="00AE5FDA" w:rsidRPr="00AE5FDA" w:rsidRDefault="00AE5FDA" w:rsidP="00AE5FDA">
            <w:r w:rsidRPr="00AE5FDA">
              <w:t>B</w:t>
            </w:r>
          </w:p>
        </w:tc>
        <w:tc>
          <w:tcPr>
            <w:tcW w:w="2939" w:type="dxa"/>
          </w:tcPr>
          <w:p w14:paraId="6A65D70D" w14:textId="77777777" w:rsidR="00AE5FDA" w:rsidRPr="00AE5FDA" w:rsidRDefault="00AE5FDA" w:rsidP="00AE5FDA">
            <w:r w:rsidRPr="00AE5FDA">
              <w:t>1.90·10</w:t>
            </w:r>
            <w:r w:rsidRPr="00AE5FDA">
              <w:rPr>
                <w:vertAlign w:val="superscript"/>
              </w:rPr>
              <w:t>-4</w:t>
            </w:r>
            <w:r w:rsidRPr="00AE5FDA">
              <w:t xml:space="preserve"> (1.33–2.68·10</w:t>
            </w:r>
            <w:r w:rsidRPr="00AE5FDA">
              <w:rPr>
                <w:vertAlign w:val="superscript"/>
              </w:rPr>
              <w:t>-4</w:t>
            </w:r>
            <w:r w:rsidRPr="00AE5FDA">
              <w:t>)</w:t>
            </w:r>
          </w:p>
        </w:tc>
        <w:tc>
          <w:tcPr>
            <w:tcW w:w="1980" w:type="dxa"/>
          </w:tcPr>
          <w:p w14:paraId="5FF80A07" w14:textId="77777777" w:rsidR="00AE5FDA" w:rsidRPr="00AE5FDA" w:rsidRDefault="00AE5FDA" w:rsidP="00AE5FDA">
            <w:r w:rsidRPr="00AE5FDA">
              <w:t>10.4 (5.4–14.4)</w:t>
            </w:r>
          </w:p>
        </w:tc>
        <w:tc>
          <w:tcPr>
            <w:tcW w:w="2070" w:type="dxa"/>
          </w:tcPr>
          <w:p w14:paraId="49A5957F" w14:textId="77777777" w:rsidR="00AE5FDA" w:rsidRPr="00AE5FDA" w:rsidRDefault="00AE5FDA" w:rsidP="00AE5FDA">
            <w:r w:rsidRPr="00AE5FDA">
              <w:t>38.1 (36.8–40.9)</w:t>
            </w:r>
          </w:p>
        </w:tc>
        <w:tc>
          <w:tcPr>
            <w:tcW w:w="1980" w:type="dxa"/>
            <w:tcBorders>
              <w:right w:val="single" w:sz="4" w:space="0" w:color="auto"/>
            </w:tcBorders>
          </w:tcPr>
          <w:p w14:paraId="7064F2A4" w14:textId="77777777" w:rsidR="00AE5FDA" w:rsidRPr="00AE5FDA" w:rsidRDefault="00AE5FDA" w:rsidP="00AE5FDA">
            <w:r w:rsidRPr="00AE5FDA">
              <w:t>31.8 (30.8–33.7)</w:t>
            </w:r>
          </w:p>
        </w:tc>
      </w:tr>
      <w:tr w:rsidR="00AE5FDA" w:rsidRPr="00AE5FDA" w14:paraId="304926A2" w14:textId="77777777" w:rsidTr="00A93316">
        <w:tc>
          <w:tcPr>
            <w:tcW w:w="3235" w:type="dxa"/>
            <w:tcBorders>
              <w:left w:val="single" w:sz="4" w:space="0" w:color="auto"/>
            </w:tcBorders>
          </w:tcPr>
          <w:p w14:paraId="5AE648FF" w14:textId="40B3EBEE" w:rsidR="00AE5FDA" w:rsidRPr="00AE5FDA" w:rsidRDefault="00AE5FDA" w:rsidP="00AE5FDA">
            <w:pPr>
              <w:rPr>
                <w:i/>
              </w:rPr>
            </w:pPr>
            <w:r w:rsidRPr="00AE5FDA">
              <w:rPr>
                <w:i/>
              </w:rPr>
              <w:t>An</w:t>
            </w:r>
            <w:r w:rsidR="00E812A2">
              <w:rPr>
                <w:i/>
              </w:rPr>
              <w:t>. pseudopunctipennis</w:t>
            </w:r>
          </w:p>
        </w:tc>
        <w:tc>
          <w:tcPr>
            <w:tcW w:w="661" w:type="dxa"/>
          </w:tcPr>
          <w:p w14:paraId="4F8B4E5B" w14:textId="77777777" w:rsidR="00AE5FDA" w:rsidRPr="00AE5FDA" w:rsidRDefault="00AE5FDA" w:rsidP="00AE5FDA">
            <w:r w:rsidRPr="00AE5FDA">
              <w:t>B</w:t>
            </w:r>
          </w:p>
        </w:tc>
        <w:tc>
          <w:tcPr>
            <w:tcW w:w="2939" w:type="dxa"/>
          </w:tcPr>
          <w:p w14:paraId="2E49CC3B" w14:textId="77777777" w:rsidR="00AE5FDA" w:rsidRPr="00AE5FDA" w:rsidRDefault="00AE5FDA" w:rsidP="00AE5FDA">
            <w:r w:rsidRPr="00AE5FDA">
              <w:t>3.43·10</w:t>
            </w:r>
            <w:r w:rsidRPr="00AE5FDA">
              <w:rPr>
                <w:vertAlign w:val="superscript"/>
              </w:rPr>
              <w:t>-4</w:t>
            </w:r>
            <w:r w:rsidRPr="00AE5FDA">
              <w:t xml:space="preserve"> (1.28–8.21·10</w:t>
            </w:r>
            <w:r w:rsidRPr="00AE5FDA">
              <w:rPr>
                <w:vertAlign w:val="superscript"/>
              </w:rPr>
              <w:t>-4</w:t>
            </w:r>
            <w:r w:rsidRPr="00AE5FDA">
              <w:t>)</w:t>
            </w:r>
          </w:p>
        </w:tc>
        <w:tc>
          <w:tcPr>
            <w:tcW w:w="1980" w:type="dxa"/>
          </w:tcPr>
          <w:p w14:paraId="602CBEBC" w14:textId="77777777" w:rsidR="00AE5FDA" w:rsidRPr="00AE5FDA" w:rsidRDefault="00AE5FDA" w:rsidP="00AE5FDA">
            <w:r w:rsidRPr="00AE5FDA">
              <w:t>17.1 (2.6–23.3)</w:t>
            </w:r>
          </w:p>
        </w:tc>
        <w:tc>
          <w:tcPr>
            <w:tcW w:w="2070" w:type="dxa"/>
          </w:tcPr>
          <w:p w14:paraId="2F9E2131" w14:textId="77777777" w:rsidR="00AE5FDA" w:rsidRPr="00AE5FDA" w:rsidRDefault="00AE5FDA" w:rsidP="00AE5FDA">
            <w:r w:rsidRPr="00AE5FDA">
              <w:t>38.7 (35.6–44.2)</w:t>
            </w:r>
          </w:p>
        </w:tc>
        <w:tc>
          <w:tcPr>
            <w:tcW w:w="1980" w:type="dxa"/>
            <w:tcBorders>
              <w:right w:val="single" w:sz="4" w:space="0" w:color="auto"/>
            </w:tcBorders>
          </w:tcPr>
          <w:p w14:paraId="606C280B" w14:textId="77777777" w:rsidR="00AE5FDA" w:rsidRPr="00AE5FDA" w:rsidRDefault="00AE5FDA" w:rsidP="00AE5FDA">
            <w:r w:rsidRPr="00AE5FDA">
              <w:t>33.2 (30.4–37.3)</w:t>
            </w:r>
          </w:p>
        </w:tc>
      </w:tr>
      <w:tr w:rsidR="00AE5FDA" w:rsidRPr="00AE5FDA" w14:paraId="051F6A62" w14:textId="77777777" w:rsidTr="00A93316">
        <w:tc>
          <w:tcPr>
            <w:tcW w:w="3235" w:type="dxa"/>
            <w:tcBorders>
              <w:left w:val="single" w:sz="4" w:space="0" w:color="auto"/>
            </w:tcBorders>
          </w:tcPr>
          <w:p w14:paraId="015BD944" w14:textId="77777777" w:rsidR="00AE5FDA" w:rsidRPr="00AE5FDA" w:rsidRDefault="00AE5FDA" w:rsidP="00AE5FDA">
            <w:pPr>
              <w:rPr>
                <w:b/>
              </w:rPr>
            </w:pPr>
            <w:r w:rsidRPr="00AE5FDA">
              <w:rPr>
                <w:i/>
              </w:rPr>
              <w:t>Cx. annulirostris</w:t>
            </w:r>
          </w:p>
        </w:tc>
        <w:tc>
          <w:tcPr>
            <w:tcW w:w="661" w:type="dxa"/>
          </w:tcPr>
          <w:p w14:paraId="3BAAB2F6" w14:textId="77777777" w:rsidR="00AE5FDA" w:rsidRPr="00AE5FDA" w:rsidRDefault="00AE5FDA" w:rsidP="00AE5FDA">
            <w:r w:rsidRPr="00AE5FDA">
              <w:t>B</w:t>
            </w:r>
          </w:p>
        </w:tc>
        <w:tc>
          <w:tcPr>
            <w:tcW w:w="2939" w:type="dxa"/>
            <w:vAlign w:val="bottom"/>
          </w:tcPr>
          <w:p w14:paraId="1EA0561F" w14:textId="77777777" w:rsidR="00AE5FDA" w:rsidRPr="00AE5FDA" w:rsidRDefault="00AE5FDA" w:rsidP="00AE5FDA">
            <w:r w:rsidRPr="00AE5FDA">
              <w:t>1.23·10</w:t>
            </w:r>
            <w:r w:rsidRPr="00AE5FDA">
              <w:rPr>
                <w:vertAlign w:val="superscript"/>
              </w:rPr>
              <w:t>-4</w:t>
            </w:r>
            <w:r w:rsidRPr="00AE5FDA">
              <w:t xml:space="preserve"> (1.02–1.70·10</w:t>
            </w:r>
            <w:r w:rsidRPr="00AE5FDA">
              <w:rPr>
                <w:vertAlign w:val="superscript"/>
              </w:rPr>
              <w:t>-4</w:t>
            </w:r>
            <w:r w:rsidRPr="00AE5FDA">
              <w:t>)</w:t>
            </w:r>
          </w:p>
        </w:tc>
        <w:tc>
          <w:tcPr>
            <w:tcW w:w="1980" w:type="dxa"/>
            <w:vAlign w:val="bottom"/>
          </w:tcPr>
          <w:p w14:paraId="08149E89" w14:textId="77777777" w:rsidR="00AE5FDA" w:rsidRPr="00AE5FDA" w:rsidRDefault="00AE5FDA" w:rsidP="00AE5FDA">
            <w:r w:rsidRPr="00AE5FDA">
              <w:t>3.8 (0.7–8.5)</w:t>
            </w:r>
          </w:p>
        </w:tc>
        <w:tc>
          <w:tcPr>
            <w:tcW w:w="2070" w:type="dxa"/>
            <w:vAlign w:val="bottom"/>
          </w:tcPr>
          <w:p w14:paraId="1A1294E2" w14:textId="77777777" w:rsidR="00AE5FDA" w:rsidRPr="00AE5FDA" w:rsidRDefault="00AE5FDA" w:rsidP="00AE5FDA">
            <w:r w:rsidRPr="00AE5FDA">
              <w:t>39.1 (38.0–40.0)</w:t>
            </w:r>
          </w:p>
        </w:tc>
        <w:tc>
          <w:tcPr>
            <w:tcW w:w="1980" w:type="dxa"/>
            <w:tcBorders>
              <w:right w:val="single" w:sz="4" w:space="0" w:color="auto"/>
            </w:tcBorders>
            <w:vAlign w:val="bottom"/>
          </w:tcPr>
          <w:p w14:paraId="55E674E5" w14:textId="77777777" w:rsidR="00AE5FDA" w:rsidRPr="00AE5FDA" w:rsidRDefault="00AE5FDA" w:rsidP="00AE5FDA">
            <w:r w:rsidRPr="00AE5FDA">
              <w:t>31.8 (30.8–32.6)</w:t>
            </w:r>
          </w:p>
        </w:tc>
      </w:tr>
      <w:tr w:rsidR="00AE5FDA" w:rsidRPr="00AE5FDA" w14:paraId="403EBBD2" w14:textId="77777777" w:rsidTr="00A93316">
        <w:tc>
          <w:tcPr>
            <w:tcW w:w="3235" w:type="dxa"/>
            <w:tcBorders>
              <w:left w:val="single" w:sz="4" w:space="0" w:color="auto"/>
            </w:tcBorders>
          </w:tcPr>
          <w:p w14:paraId="2140E860" w14:textId="77777777" w:rsidR="00AE5FDA" w:rsidRPr="00AE5FDA" w:rsidRDefault="00AE5FDA" w:rsidP="00AE5FDA">
            <w:pPr>
              <w:rPr>
                <w:b/>
              </w:rPr>
            </w:pPr>
            <w:r w:rsidRPr="00AE5FDA">
              <w:rPr>
                <w:i/>
              </w:rPr>
              <w:t>Cx. pipiens</w:t>
            </w:r>
          </w:p>
        </w:tc>
        <w:tc>
          <w:tcPr>
            <w:tcW w:w="661" w:type="dxa"/>
          </w:tcPr>
          <w:p w14:paraId="521F7C3F" w14:textId="77777777" w:rsidR="00AE5FDA" w:rsidRPr="00AE5FDA" w:rsidRDefault="00AE5FDA" w:rsidP="00AE5FDA">
            <w:r w:rsidRPr="00AE5FDA">
              <w:t>B</w:t>
            </w:r>
          </w:p>
        </w:tc>
        <w:tc>
          <w:tcPr>
            <w:tcW w:w="2939" w:type="dxa"/>
            <w:vAlign w:val="bottom"/>
          </w:tcPr>
          <w:p w14:paraId="1CEE60C5" w14:textId="77777777" w:rsidR="00AE5FDA" w:rsidRPr="00AE5FDA" w:rsidRDefault="00AE5FDA" w:rsidP="00AE5FDA">
            <w:r w:rsidRPr="00AE5FDA">
              <w:t>1.70·10</w:t>
            </w:r>
            <w:r w:rsidRPr="00AE5FDA">
              <w:rPr>
                <w:vertAlign w:val="superscript"/>
              </w:rPr>
              <w:t>-4</w:t>
            </w:r>
            <w:r w:rsidRPr="00AE5FDA">
              <w:t xml:space="preserve"> (1.18–2.29·10</w:t>
            </w:r>
            <w:r w:rsidRPr="00AE5FDA">
              <w:rPr>
                <w:vertAlign w:val="superscript"/>
              </w:rPr>
              <w:t>-4</w:t>
            </w:r>
            <w:r w:rsidRPr="00AE5FDA">
              <w:t>)</w:t>
            </w:r>
          </w:p>
        </w:tc>
        <w:tc>
          <w:tcPr>
            <w:tcW w:w="1980" w:type="dxa"/>
            <w:vAlign w:val="bottom"/>
          </w:tcPr>
          <w:p w14:paraId="00031DEB" w14:textId="77777777" w:rsidR="00AE5FDA" w:rsidRPr="00AE5FDA" w:rsidRDefault="00AE5FDA" w:rsidP="00AE5FDA">
            <w:r w:rsidRPr="00AE5FDA">
              <w:t>9.4 (2.8–13.4)</w:t>
            </w:r>
          </w:p>
        </w:tc>
        <w:tc>
          <w:tcPr>
            <w:tcW w:w="2070" w:type="dxa"/>
            <w:vAlign w:val="bottom"/>
          </w:tcPr>
          <w:p w14:paraId="129F6444" w14:textId="77777777" w:rsidR="00AE5FDA" w:rsidRPr="00AE5FDA" w:rsidRDefault="00AE5FDA" w:rsidP="00AE5FDA">
            <w:r w:rsidRPr="00AE5FDA">
              <w:t>39.6 (37.9–40.6)</w:t>
            </w:r>
          </w:p>
        </w:tc>
        <w:tc>
          <w:tcPr>
            <w:tcW w:w="1980" w:type="dxa"/>
            <w:tcBorders>
              <w:right w:val="single" w:sz="4" w:space="0" w:color="auto"/>
            </w:tcBorders>
            <w:vAlign w:val="bottom"/>
          </w:tcPr>
          <w:p w14:paraId="07D63869" w14:textId="77777777" w:rsidR="00AE5FDA" w:rsidRPr="00AE5FDA" w:rsidRDefault="00AE5FDA" w:rsidP="00AE5FDA">
            <w:r w:rsidRPr="00AE5FDA">
              <w:t>32.7 (31.3–33.6)</w:t>
            </w:r>
          </w:p>
        </w:tc>
      </w:tr>
      <w:tr w:rsidR="00AE5FDA" w:rsidRPr="00AE5FDA" w14:paraId="7B3EDC83" w14:textId="77777777" w:rsidTr="00A93316">
        <w:tc>
          <w:tcPr>
            <w:tcW w:w="3235" w:type="dxa"/>
            <w:tcBorders>
              <w:left w:val="single" w:sz="4" w:space="0" w:color="auto"/>
            </w:tcBorders>
          </w:tcPr>
          <w:p w14:paraId="41B834CD" w14:textId="77777777" w:rsidR="00AE5FDA" w:rsidRPr="00AE5FDA" w:rsidRDefault="00AE5FDA" w:rsidP="00AE5FDA">
            <w:pPr>
              <w:rPr>
                <w:b/>
              </w:rPr>
            </w:pPr>
            <w:r w:rsidRPr="00AE5FDA">
              <w:rPr>
                <w:i/>
              </w:rPr>
              <w:t>Cx. quinquefasciatus</w:t>
            </w:r>
          </w:p>
        </w:tc>
        <w:tc>
          <w:tcPr>
            <w:tcW w:w="661" w:type="dxa"/>
          </w:tcPr>
          <w:p w14:paraId="52CE85F9" w14:textId="77777777" w:rsidR="00AE5FDA" w:rsidRPr="00AE5FDA" w:rsidRDefault="00AE5FDA" w:rsidP="00AE5FDA">
            <w:r w:rsidRPr="00AE5FDA">
              <w:t>B</w:t>
            </w:r>
          </w:p>
        </w:tc>
        <w:tc>
          <w:tcPr>
            <w:tcW w:w="2939" w:type="dxa"/>
            <w:vAlign w:val="bottom"/>
          </w:tcPr>
          <w:p w14:paraId="57F671B4" w14:textId="77777777" w:rsidR="00AE5FDA" w:rsidRPr="00AE5FDA" w:rsidRDefault="00AE5FDA" w:rsidP="00AE5FDA">
            <w:r w:rsidRPr="00AE5FDA">
              <w:t>7.28·10</w:t>
            </w:r>
            <w:r w:rsidRPr="00AE5FDA">
              <w:rPr>
                <w:vertAlign w:val="superscript"/>
              </w:rPr>
              <w:t>-5</w:t>
            </w:r>
            <w:r w:rsidRPr="00AE5FDA">
              <w:t xml:space="preserve"> (5.31–11.8·10</w:t>
            </w:r>
            <w:r w:rsidRPr="00AE5FDA">
              <w:rPr>
                <w:vertAlign w:val="superscript"/>
              </w:rPr>
              <w:t>-5</w:t>
            </w:r>
            <w:r w:rsidRPr="00AE5FDA">
              <w:t>)</w:t>
            </w:r>
          </w:p>
        </w:tc>
        <w:tc>
          <w:tcPr>
            <w:tcW w:w="1980" w:type="dxa"/>
            <w:vAlign w:val="bottom"/>
          </w:tcPr>
          <w:p w14:paraId="2474F4D6" w14:textId="77777777" w:rsidR="00AE5FDA" w:rsidRPr="00AE5FDA" w:rsidRDefault="00AE5FDA" w:rsidP="00AE5FDA">
            <w:r w:rsidRPr="00AE5FDA">
              <w:t>3.1 (0.1–10.9)</w:t>
            </w:r>
          </w:p>
        </w:tc>
        <w:tc>
          <w:tcPr>
            <w:tcW w:w="2070" w:type="dxa"/>
            <w:vAlign w:val="bottom"/>
          </w:tcPr>
          <w:p w14:paraId="35E1858B" w14:textId="77777777" w:rsidR="00AE5FDA" w:rsidRPr="00AE5FDA" w:rsidRDefault="00AE5FDA" w:rsidP="00AE5FDA">
            <w:r w:rsidRPr="00AE5FDA">
              <w:t>39.3 (38.0–40.8)</w:t>
            </w:r>
          </w:p>
        </w:tc>
        <w:tc>
          <w:tcPr>
            <w:tcW w:w="1980" w:type="dxa"/>
            <w:tcBorders>
              <w:right w:val="single" w:sz="4" w:space="0" w:color="auto"/>
            </w:tcBorders>
            <w:vAlign w:val="bottom"/>
          </w:tcPr>
          <w:p w14:paraId="27CCEA22" w14:textId="77777777" w:rsidR="00AE5FDA" w:rsidRPr="00AE5FDA" w:rsidRDefault="00AE5FDA" w:rsidP="00AE5FDA">
            <w:r w:rsidRPr="00AE5FDA">
              <w:t>31.9 (30.6–33.3)</w:t>
            </w:r>
          </w:p>
        </w:tc>
      </w:tr>
      <w:tr w:rsidR="00AE5FDA" w:rsidRPr="00AE5FDA" w14:paraId="2CB1B04D" w14:textId="77777777" w:rsidTr="00A93316">
        <w:tc>
          <w:tcPr>
            <w:tcW w:w="3235" w:type="dxa"/>
            <w:tcBorders>
              <w:left w:val="single" w:sz="4" w:space="0" w:color="auto"/>
            </w:tcBorders>
          </w:tcPr>
          <w:p w14:paraId="359E7657" w14:textId="77777777" w:rsidR="00AE5FDA" w:rsidRPr="00AE5FDA" w:rsidRDefault="00AE5FDA" w:rsidP="00AE5FDA">
            <w:pPr>
              <w:rPr>
                <w:b/>
              </w:rPr>
            </w:pPr>
            <w:r w:rsidRPr="00AE5FDA">
              <w:rPr>
                <w:i/>
              </w:rPr>
              <w:t>Cx. tarsalis</w:t>
            </w:r>
          </w:p>
        </w:tc>
        <w:tc>
          <w:tcPr>
            <w:tcW w:w="661" w:type="dxa"/>
          </w:tcPr>
          <w:p w14:paraId="1B2EBF0D" w14:textId="77777777" w:rsidR="00AE5FDA" w:rsidRPr="00AE5FDA" w:rsidRDefault="00AE5FDA" w:rsidP="00AE5FDA">
            <w:r w:rsidRPr="00AE5FDA">
              <w:t>B</w:t>
            </w:r>
          </w:p>
        </w:tc>
        <w:tc>
          <w:tcPr>
            <w:tcW w:w="2939" w:type="dxa"/>
            <w:vAlign w:val="bottom"/>
          </w:tcPr>
          <w:p w14:paraId="6B640839" w14:textId="77777777" w:rsidR="00AE5FDA" w:rsidRPr="00AE5FDA" w:rsidRDefault="00AE5FDA" w:rsidP="00AE5FDA">
            <w:r w:rsidRPr="00AE5FDA">
              <w:t>1.67·10</w:t>
            </w:r>
            <w:r w:rsidRPr="00AE5FDA">
              <w:rPr>
                <w:vertAlign w:val="superscript"/>
              </w:rPr>
              <w:t>-4</w:t>
            </w:r>
            <w:r w:rsidRPr="00AE5FDA">
              <w:t xml:space="preserve"> (0.87–2.56·10</w:t>
            </w:r>
            <w:r w:rsidRPr="00AE5FDA">
              <w:rPr>
                <w:vertAlign w:val="superscript"/>
              </w:rPr>
              <w:t>-4</w:t>
            </w:r>
            <w:r w:rsidRPr="00AE5FDA">
              <w:t>)</w:t>
            </w:r>
          </w:p>
        </w:tc>
        <w:tc>
          <w:tcPr>
            <w:tcW w:w="1980" w:type="dxa"/>
            <w:vAlign w:val="bottom"/>
          </w:tcPr>
          <w:p w14:paraId="779C5CE1" w14:textId="77777777" w:rsidR="00AE5FDA" w:rsidRPr="00AE5FDA" w:rsidRDefault="00AE5FDA" w:rsidP="00AE5FDA">
            <w:r w:rsidRPr="00AE5FDA">
              <w:t>2.3 (0.1–9.4)</w:t>
            </w:r>
          </w:p>
        </w:tc>
        <w:tc>
          <w:tcPr>
            <w:tcW w:w="2070" w:type="dxa"/>
            <w:vAlign w:val="bottom"/>
          </w:tcPr>
          <w:p w14:paraId="44A40C6A" w14:textId="77777777" w:rsidR="00AE5FDA" w:rsidRPr="00AE5FDA" w:rsidRDefault="00AE5FDA" w:rsidP="00AE5FDA">
            <w:r w:rsidRPr="00AE5FDA">
              <w:t>32.0 (30.6–41.7)</w:t>
            </w:r>
          </w:p>
        </w:tc>
        <w:tc>
          <w:tcPr>
            <w:tcW w:w="1980" w:type="dxa"/>
            <w:tcBorders>
              <w:right w:val="single" w:sz="4" w:space="0" w:color="auto"/>
            </w:tcBorders>
            <w:vAlign w:val="bottom"/>
          </w:tcPr>
          <w:p w14:paraId="647D0EE7" w14:textId="77777777" w:rsidR="00AE5FDA" w:rsidRPr="00AE5FDA" w:rsidRDefault="00AE5FDA" w:rsidP="00AE5FDA">
            <w:r w:rsidRPr="00AE5FDA">
              <w:t>25.9 (24.8–33.9)</w:t>
            </w:r>
          </w:p>
        </w:tc>
      </w:tr>
      <w:tr w:rsidR="00AE5FDA" w:rsidRPr="00AE5FDA" w14:paraId="6D7A11DE" w14:textId="77777777" w:rsidTr="00A93316">
        <w:tc>
          <w:tcPr>
            <w:tcW w:w="3235" w:type="dxa"/>
            <w:tcBorders>
              <w:left w:val="single" w:sz="4" w:space="0" w:color="auto"/>
            </w:tcBorders>
          </w:tcPr>
          <w:p w14:paraId="37C54188" w14:textId="77777777" w:rsidR="00AE5FDA" w:rsidRPr="00AE5FDA" w:rsidRDefault="00AE5FDA" w:rsidP="00AE5FDA">
            <w:pPr>
              <w:rPr>
                <w:i/>
              </w:rPr>
            </w:pPr>
            <w:r w:rsidRPr="00AE5FDA">
              <w:rPr>
                <w:i/>
              </w:rPr>
              <w:t>Cs. melanura</w:t>
            </w:r>
          </w:p>
        </w:tc>
        <w:tc>
          <w:tcPr>
            <w:tcW w:w="661" w:type="dxa"/>
          </w:tcPr>
          <w:p w14:paraId="256FC3CB" w14:textId="77777777" w:rsidR="00AE5FDA" w:rsidRPr="00AE5FDA" w:rsidRDefault="00AE5FDA" w:rsidP="00AE5FDA">
            <w:r w:rsidRPr="00AE5FDA">
              <w:t>B</w:t>
            </w:r>
          </w:p>
        </w:tc>
        <w:tc>
          <w:tcPr>
            <w:tcW w:w="2939" w:type="dxa"/>
            <w:vAlign w:val="bottom"/>
          </w:tcPr>
          <w:p w14:paraId="4BB6FDDD" w14:textId="77777777" w:rsidR="00AE5FDA" w:rsidRPr="00AE5FDA" w:rsidRDefault="00AE5FDA" w:rsidP="00AE5FDA">
            <w:r w:rsidRPr="00AE5FDA">
              <w:t>1.87·10</w:t>
            </w:r>
            <w:r w:rsidRPr="00AE5FDA">
              <w:rPr>
                <w:vertAlign w:val="superscript"/>
              </w:rPr>
              <w:t>-4</w:t>
            </w:r>
            <w:r w:rsidRPr="00AE5FDA">
              <w:t xml:space="preserve"> (1.49–2.31·10</w:t>
            </w:r>
            <w:r w:rsidRPr="00AE5FDA">
              <w:rPr>
                <w:vertAlign w:val="superscript"/>
              </w:rPr>
              <w:t>-4</w:t>
            </w:r>
            <w:r w:rsidRPr="00AE5FDA">
              <w:t>)</w:t>
            </w:r>
          </w:p>
        </w:tc>
        <w:tc>
          <w:tcPr>
            <w:tcW w:w="1980" w:type="dxa"/>
            <w:vAlign w:val="bottom"/>
          </w:tcPr>
          <w:p w14:paraId="4635ED30" w14:textId="77777777" w:rsidR="00AE5FDA" w:rsidRPr="00AE5FDA" w:rsidRDefault="00AE5FDA" w:rsidP="00AE5FDA">
            <w:r w:rsidRPr="00AE5FDA">
              <w:t>7.8 (5.5–11.4)</w:t>
            </w:r>
          </w:p>
        </w:tc>
        <w:tc>
          <w:tcPr>
            <w:tcW w:w="2070" w:type="dxa"/>
            <w:vAlign w:val="bottom"/>
          </w:tcPr>
          <w:p w14:paraId="1DD9257A" w14:textId="77777777" w:rsidR="00AE5FDA" w:rsidRPr="00AE5FDA" w:rsidRDefault="00AE5FDA" w:rsidP="00AE5FDA">
            <w:r w:rsidRPr="00AE5FDA">
              <w:t>31.8 (31.0–33.4)</w:t>
            </w:r>
          </w:p>
        </w:tc>
        <w:tc>
          <w:tcPr>
            <w:tcW w:w="1980" w:type="dxa"/>
            <w:tcBorders>
              <w:right w:val="single" w:sz="4" w:space="0" w:color="auto"/>
            </w:tcBorders>
          </w:tcPr>
          <w:p w14:paraId="2E7F8766" w14:textId="77777777" w:rsidR="00AE5FDA" w:rsidRPr="00AE5FDA" w:rsidRDefault="00AE5FDA" w:rsidP="00AE5FDA">
            <w:r w:rsidRPr="00AE5FDA">
              <w:t>26.4 (25.7–27.9)</w:t>
            </w:r>
          </w:p>
        </w:tc>
      </w:tr>
      <w:tr w:rsidR="00AE5FDA" w:rsidRPr="00AE5FDA" w14:paraId="0659D253" w14:textId="77777777" w:rsidTr="00A93316">
        <w:tc>
          <w:tcPr>
            <w:tcW w:w="3235" w:type="dxa"/>
            <w:tcBorders>
              <w:left w:val="single" w:sz="4" w:space="0" w:color="auto"/>
            </w:tcBorders>
          </w:tcPr>
          <w:p w14:paraId="7F0C6C3A" w14:textId="77777777" w:rsidR="00AE5FDA" w:rsidRPr="00AE5FDA" w:rsidRDefault="00AE5FDA" w:rsidP="00AE5FDA">
            <w:pPr>
              <w:rPr>
                <w:i/>
              </w:rPr>
            </w:pPr>
            <w:r w:rsidRPr="00AE5FDA">
              <w:rPr>
                <w:b/>
              </w:rPr>
              <w:t>Fecundity</w:t>
            </w:r>
          </w:p>
        </w:tc>
        <w:tc>
          <w:tcPr>
            <w:tcW w:w="661" w:type="dxa"/>
          </w:tcPr>
          <w:p w14:paraId="1AA0F392" w14:textId="77777777" w:rsidR="00AE5FDA" w:rsidRPr="00AE5FDA" w:rsidRDefault="00AE5FDA" w:rsidP="00AE5FDA"/>
        </w:tc>
        <w:tc>
          <w:tcPr>
            <w:tcW w:w="2939" w:type="dxa"/>
          </w:tcPr>
          <w:p w14:paraId="2BACDD51" w14:textId="77777777" w:rsidR="00AE5FDA" w:rsidRPr="00AE5FDA" w:rsidRDefault="00AE5FDA" w:rsidP="00AE5FDA"/>
        </w:tc>
        <w:tc>
          <w:tcPr>
            <w:tcW w:w="1980" w:type="dxa"/>
          </w:tcPr>
          <w:p w14:paraId="21B32586" w14:textId="77777777" w:rsidR="00AE5FDA" w:rsidRPr="00AE5FDA" w:rsidRDefault="00AE5FDA" w:rsidP="00AE5FDA"/>
        </w:tc>
        <w:tc>
          <w:tcPr>
            <w:tcW w:w="2070" w:type="dxa"/>
          </w:tcPr>
          <w:p w14:paraId="70B348E3" w14:textId="77777777" w:rsidR="00AE5FDA" w:rsidRPr="00AE5FDA" w:rsidRDefault="00AE5FDA" w:rsidP="00AE5FDA"/>
        </w:tc>
        <w:tc>
          <w:tcPr>
            <w:tcW w:w="1980" w:type="dxa"/>
            <w:tcBorders>
              <w:right w:val="single" w:sz="4" w:space="0" w:color="auto"/>
            </w:tcBorders>
          </w:tcPr>
          <w:p w14:paraId="29002A0C" w14:textId="77777777" w:rsidR="00AE5FDA" w:rsidRPr="00AE5FDA" w:rsidRDefault="00AE5FDA" w:rsidP="00AE5FDA"/>
        </w:tc>
      </w:tr>
      <w:tr w:rsidR="00AE5FDA" w:rsidRPr="00AE5FDA" w14:paraId="4496B91E" w14:textId="77777777" w:rsidTr="00A93316">
        <w:tc>
          <w:tcPr>
            <w:tcW w:w="3235" w:type="dxa"/>
            <w:tcBorders>
              <w:left w:val="single" w:sz="4" w:space="0" w:color="auto"/>
            </w:tcBorders>
          </w:tcPr>
          <w:p w14:paraId="3EE663F6" w14:textId="77777777" w:rsidR="00AE5FDA" w:rsidRPr="00AE5FDA" w:rsidRDefault="00AE5FDA" w:rsidP="00AE5FDA">
            <w:pPr>
              <w:rPr>
                <w:b/>
              </w:rPr>
            </w:pPr>
            <w:r w:rsidRPr="00AE5FDA">
              <w:rPr>
                <w:i/>
              </w:rPr>
              <w:t xml:space="preserve">Ae. aegypti </w:t>
            </w:r>
            <w:r w:rsidRPr="00AE5FDA">
              <w:t>(</w:t>
            </w:r>
            <w:r w:rsidRPr="00AE5FDA">
              <w:rPr>
                <w:i/>
              </w:rPr>
              <w:t>EFD</w:t>
            </w:r>
            <w:r w:rsidRPr="00AE5FDA">
              <w:t>)</w:t>
            </w:r>
          </w:p>
        </w:tc>
        <w:tc>
          <w:tcPr>
            <w:tcW w:w="661" w:type="dxa"/>
          </w:tcPr>
          <w:p w14:paraId="2795BBD8" w14:textId="77777777" w:rsidR="00AE5FDA" w:rsidRPr="00AE5FDA" w:rsidRDefault="00AE5FDA" w:rsidP="00AE5FDA">
            <w:r w:rsidRPr="00AE5FDA">
              <w:t>B</w:t>
            </w:r>
          </w:p>
        </w:tc>
        <w:tc>
          <w:tcPr>
            <w:tcW w:w="2939" w:type="dxa"/>
            <w:vAlign w:val="bottom"/>
          </w:tcPr>
          <w:p w14:paraId="36542164" w14:textId="77777777" w:rsidR="00AE5FDA" w:rsidRPr="00AE5FDA" w:rsidRDefault="00AE5FDA" w:rsidP="00AE5FDA">
            <w:r w:rsidRPr="00AE5FDA">
              <w:t>8.16·10</w:t>
            </w:r>
            <w:r w:rsidRPr="00AE5FDA">
              <w:rPr>
                <w:vertAlign w:val="superscript"/>
              </w:rPr>
              <w:t>-3</w:t>
            </w:r>
            <w:r w:rsidRPr="00AE5FDA">
              <w:t xml:space="preserve"> (4.32–15.3·10</w:t>
            </w:r>
            <w:r w:rsidRPr="00AE5FDA">
              <w:rPr>
                <w:vertAlign w:val="superscript"/>
              </w:rPr>
              <w:t>-3</w:t>
            </w:r>
            <w:r w:rsidRPr="00AE5FDA">
              <w:t>)</w:t>
            </w:r>
          </w:p>
        </w:tc>
        <w:tc>
          <w:tcPr>
            <w:tcW w:w="1980" w:type="dxa"/>
            <w:vAlign w:val="bottom"/>
          </w:tcPr>
          <w:p w14:paraId="5491BD96" w14:textId="77777777" w:rsidR="00AE5FDA" w:rsidRPr="00AE5FDA" w:rsidRDefault="00AE5FDA" w:rsidP="00AE5FDA">
            <w:r w:rsidRPr="00AE5FDA">
              <w:t>14.7 (7.7–20.4)</w:t>
            </w:r>
          </w:p>
        </w:tc>
        <w:tc>
          <w:tcPr>
            <w:tcW w:w="2070" w:type="dxa"/>
            <w:vAlign w:val="bottom"/>
          </w:tcPr>
          <w:p w14:paraId="76230F89" w14:textId="77777777" w:rsidR="00AE5FDA" w:rsidRPr="00AE5FDA" w:rsidRDefault="00AE5FDA" w:rsidP="00AE5FDA">
            <w:r w:rsidRPr="00AE5FDA">
              <w:t>34.4 (34.0–36.2)</w:t>
            </w:r>
          </w:p>
        </w:tc>
        <w:tc>
          <w:tcPr>
            <w:tcW w:w="1980" w:type="dxa"/>
            <w:tcBorders>
              <w:right w:val="single" w:sz="4" w:space="0" w:color="auto"/>
            </w:tcBorders>
            <w:vAlign w:val="bottom"/>
          </w:tcPr>
          <w:p w14:paraId="3A17F820" w14:textId="77777777" w:rsidR="00AE5FDA" w:rsidRPr="00AE5FDA" w:rsidRDefault="00AE5FDA" w:rsidP="00AE5FDA">
            <w:r w:rsidRPr="00AE5FDA">
              <w:t>29.6 (28.5–31.1)</w:t>
            </w:r>
          </w:p>
        </w:tc>
      </w:tr>
      <w:tr w:rsidR="00AE5FDA" w:rsidRPr="00AE5FDA" w14:paraId="35FEAD85" w14:textId="77777777" w:rsidTr="00A93316">
        <w:tc>
          <w:tcPr>
            <w:tcW w:w="3235" w:type="dxa"/>
            <w:tcBorders>
              <w:left w:val="single" w:sz="4" w:space="0" w:color="auto"/>
            </w:tcBorders>
          </w:tcPr>
          <w:p w14:paraId="65489767" w14:textId="77777777" w:rsidR="00AE5FDA" w:rsidRPr="00AE5FDA" w:rsidRDefault="00AE5FDA" w:rsidP="00AE5FDA">
            <w:pPr>
              <w:rPr>
                <w:b/>
              </w:rPr>
            </w:pPr>
            <w:r w:rsidRPr="00AE5FDA">
              <w:rPr>
                <w:i/>
              </w:rPr>
              <w:t xml:space="preserve">Ae. albopictus </w:t>
            </w:r>
            <w:r w:rsidRPr="00AE5FDA">
              <w:t>(</w:t>
            </w:r>
            <w:r w:rsidRPr="00AE5FDA">
              <w:rPr>
                <w:i/>
              </w:rPr>
              <w:t>TFD</w:t>
            </w:r>
            <w:r w:rsidRPr="00AE5FDA">
              <w:t>)</w:t>
            </w:r>
          </w:p>
        </w:tc>
        <w:tc>
          <w:tcPr>
            <w:tcW w:w="661" w:type="dxa"/>
          </w:tcPr>
          <w:p w14:paraId="2CE52CA7" w14:textId="77777777" w:rsidR="00AE5FDA" w:rsidRPr="00AE5FDA" w:rsidRDefault="00AE5FDA" w:rsidP="00AE5FDA">
            <w:r w:rsidRPr="00AE5FDA">
              <w:t>B</w:t>
            </w:r>
          </w:p>
        </w:tc>
        <w:tc>
          <w:tcPr>
            <w:tcW w:w="2939" w:type="dxa"/>
            <w:vAlign w:val="bottom"/>
          </w:tcPr>
          <w:p w14:paraId="6EEEBB29" w14:textId="77777777" w:rsidR="00AE5FDA" w:rsidRPr="00AE5FDA" w:rsidRDefault="00AE5FDA" w:rsidP="00AE5FDA">
            <w:r w:rsidRPr="00AE5FDA">
              <w:t>4.77·10</w:t>
            </w:r>
            <w:r w:rsidRPr="00AE5FDA">
              <w:rPr>
                <w:vertAlign w:val="superscript"/>
              </w:rPr>
              <w:t>-2</w:t>
            </w:r>
            <w:r w:rsidRPr="00AE5FDA">
              <w:t xml:space="preserve"> (3.43–7.01·10</w:t>
            </w:r>
            <w:r w:rsidRPr="00AE5FDA">
              <w:rPr>
                <w:vertAlign w:val="superscript"/>
              </w:rPr>
              <w:t>-2</w:t>
            </w:r>
            <w:r w:rsidRPr="00AE5FDA">
              <w:t>)</w:t>
            </w:r>
          </w:p>
        </w:tc>
        <w:tc>
          <w:tcPr>
            <w:tcW w:w="1980" w:type="dxa"/>
            <w:vAlign w:val="bottom"/>
          </w:tcPr>
          <w:p w14:paraId="578F1273" w14:textId="77777777" w:rsidR="00AE5FDA" w:rsidRPr="00AE5FDA" w:rsidRDefault="00AE5FDA" w:rsidP="00AE5FDA">
            <w:r w:rsidRPr="00AE5FDA">
              <w:t>7.9 (3.4–13.3)</w:t>
            </w:r>
          </w:p>
        </w:tc>
        <w:tc>
          <w:tcPr>
            <w:tcW w:w="2070" w:type="dxa"/>
            <w:vAlign w:val="bottom"/>
          </w:tcPr>
          <w:p w14:paraId="26C397AD" w14:textId="77777777" w:rsidR="00AE5FDA" w:rsidRPr="00AE5FDA" w:rsidRDefault="00AE5FDA" w:rsidP="00AE5FDA">
            <w:r w:rsidRPr="00AE5FDA">
              <w:t>35.6 (35.1–36.9)</w:t>
            </w:r>
          </w:p>
        </w:tc>
        <w:tc>
          <w:tcPr>
            <w:tcW w:w="1980" w:type="dxa"/>
            <w:tcBorders>
              <w:right w:val="single" w:sz="4" w:space="0" w:color="auto"/>
            </w:tcBorders>
            <w:vAlign w:val="bottom"/>
          </w:tcPr>
          <w:p w14:paraId="389E8FC8" w14:textId="77777777" w:rsidR="00AE5FDA" w:rsidRPr="00AE5FDA" w:rsidRDefault="00AE5FDA" w:rsidP="00AE5FDA">
            <w:r w:rsidRPr="00AE5FDA">
              <w:t>29.4 (28.7–30.6)</w:t>
            </w:r>
          </w:p>
        </w:tc>
      </w:tr>
      <w:tr w:rsidR="00AE5FDA" w:rsidRPr="00AE5FDA" w14:paraId="27CD4491" w14:textId="77777777" w:rsidTr="00A93316">
        <w:tc>
          <w:tcPr>
            <w:tcW w:w="3235" w:type="dxa"/>
            <w:tcBorders>
              <w:left w:val="single" w:sz="4" w:space="0" w:color="auto"/>
            </w:tcBorders>
          </w:tcPr>
          <w:p w14:paraId="6FF2C1DC" w14:textId="77777777" w:rsidR="00AE5FDA" w:rsidRPr="00AE5FDA" w:rsidRDefault="00AE5FDA" w:rsidP="00AE5FDA">
            <w:pPr>
              <w:rPr>
                <w:b/>
              </w:rPr>
            </w:pPr>
            <w:r w:rsidRPr="00AE5FDA">
              <w:rPr>
                <w:i/>
              </w:rPr>
              <w:t xml:space="preserve">Cx. annulirostris </w:t>
            </w:r>
            <w:r w:rsidRPr="00AE5FDA">
              <w:t>(</w:t>
            </w:r>
            <w:r w:rsidRPr="00AE5FDA">
              <w:rPr>
                <w:i/>
              </w:rPr>
              <w:t>EFD</w:t>
            </w:r>
            <w:r w:rsidRPr="00AE5FDA">
              <w:t>)</w:t>
            </w:r>
          </w:p>
        </w:tc>
        <w:tc>
          <w:tcPr>
            <w:tcW w:w="661" w:type="dxa"/>
          </w:tcPr>
          <w:p w14:paraId="4F03FD72" w14:textId="77777777" w:rsidR="00AE5FDA" w:rsidRPr="00AE5FDA" w:rsidRDefault="00AE5FDA" w:rsidP="00AE5FDA">
            <w:r w:rsidRPr="00AE5FDA">
              <w:t>Q</w:t>
            </w:r>
          </w:p>
        </w:tc>
        <w:tc>
          <w:tcPr>
            <w:tcW w:w="2939" w:type="dxa"/>
            <w:vAlign w:val="bottom"/>
          </w:tcPr>
          <w:p w14:paraId="671EE73D" w14:textId="77777777" w:rsidR="00AE5FDA" w:rsidRPr="00AE5FDA" w:rsidRDefault="00AE5FDA" w:rsidP="00AE5FDA">
            <w:r w:rsidRPr="00AE5FDA">
              <w:t>5.65·10</w:t>
            </w:r>
            <w:r w:rsidRPr="00AE5FDA">
              <w:rPr>
                <w:vertAlign w:val="superscript"/>
              </w:rPr>
              <w:t>-3</w:t>
            </w:r>
            <w:r w:rsidRPr="00AE5FDA">
              <w:t xml:space="preserve"> (3.90–8.71·10</w:t>
            </w:r>
            <w:r w:rsidRPr="00AE5FDA">
              <w:rPr>
                <w:vertAlign w:val="superscript"/>
              </w:rPr>
              <w:t>-3</w:t>
            </w:r>
            <w:r w:rsidRPr="00AE5FDA">
              <w:t>)</w:t>
            </w:r>
          </w:p>
        </w:tc>
        <w:tc>
          <w:tcPr>
            <w:tcW w:w="1980" w:type="dxa"/>
            <w:vAlign w:val="bottom"/>
          </w:tcPr>
          <w:p w14:paraId="2799ED6C" w14:textId="77777777" w:rsidR="00AE5FDA" w:rsidRPr="00AE5FDA" w:rsidRDefault="00AE5FDA" w:rsidP="00AE5FDA">
            <w:r w:rsidRPr="00AE5FDA">
              <w:t>14.8 (11.9–17.2)</w:t>
            </w:r>
          </w:p>
        </w:tc>
        <w:tc>
          <w:tcPr>
            <w:tcW w:w="2070" w:type="dxa"/>
            <w:vAlign w:val="bottom"/>
          </w:tcPr>
          <w:p w14:paraId="57360F0A" w14:textId="77777777" w:rsidR="00AE5FDA" w:rsidRPr="00AE5FDA" w:rsidRDefault="00AE5FDA" w:rsidP="00AE5FDA">
            <w:r w:rsidRPr="00AE5FDA">
              <w:t>31.3 (30.3–32.9)</w:t>
            </w:r>
          </w:p>
        </w:tc>
        <w:tc>
          <w:tcPr>
            <w:tcW w:w="1980" w:type="dxa"/>
            <w:tcBorders>
              <w:right w:val="single" w:sz="4" w:space="0" w:color="auto"/>
            </w:tcBorders>
            <w:vAlign w:val="bottom"/>
          </w:tcPr>
          <w:p w14:paraId="4FEBE56C" w14:textId="77777777" w:rsidR="00AE5FDA" w:rsidRPr="00AE5FDA" w:rsidRDefault="00AE5FDA" w:rsidP="00AE5FDA">
            <w:r w:rsidRPr="00AE5FDA">
              <w:t>27.0 (26.2–28.4)</w:t>
            </w:r>
          </w:p>
        </w:tc>
      </w:tr>
      <w:tr w:rsidR="00AE5FDA" w:rsidRPr="00AE5FDA" w14:paraId="1736D780" w14:textId="77777777" w:rsidTr="00A93316">
        <w:tc>
          <w:tcPr>
            <w:tcW w:w="3235" w:type="dxa"/>
            <w:tcBorders>
              <w:left w:val="single" w:sz="4" w:space="0" w:color="auto"/>
            </w:tcBorders>
          </w:tcPr>
          <w:p w14:paraId="08CC2A79" w14:textId="77777777" w:rsidR="00AE5FDA" w:rsidRPr="00AE5FDA" w:rsidRDefault="00AE5FDA" w:rsidP="00AE5FDA">
            <w:pPr>
              <w:rPr>
                <w:b/>
              </w:rPr>
            </w:pPr>
            <w:r w:rsidRPr="00AE5FDA">
              <w:rPr>
                <w:i/>
              </w:rPr>
              <w:t xml:space="preserve">Cx. annulirostris </w:t>
            </w:r>
            <w:r w:rsidRPr="00AE5FDA">
              <w:t>(</w:t>
            </w:r>
            <w:r w:rsidRPr="00AE5FDA">
              <w:rPr>
                <w:i/>
              </w:rPr>
              <w:t>nLR</w:t>
            </w:r>
            <w:r w:rsidRPr="00AE5FDA">
              <w:t>)</w:t>
            </w:r>
          </w:p>
        </w:tc>
        <w:tc>
          <w:tcPr>
            <w:tcW w:w="661" w:type="dxa"/>
          </w:tcPr>
          <w:p w14:paraId="1B86157D" w14:textId="77777777" w:rsidR="00AE5FDA" w:rsidRPr="00AE5FDA" w:rsidRDefault="00AE5FDA" w:rsidP="00AE5FDA">
            <w:r w:rsidRPr="00AE5FDA">
              <w:t>Q</w:t>
            </w:r>
          </w:p>
        </w:tc>
        <w:tc>
          <w:tcPr>
            <w:tcW w:w="2939" w:type="dxa"/>
            <w:vAlign w:val="bottom"/>
          </w:tcPr>
          <w:p w14:paraId="01F3125D" w14:textId="77777777" w:rsidR="00AE5FDA" w:rsidRPr="00AE5FDA" w:rsidRDefault="00AE5FDA" w:rsidP="00AE5FDA">
            <w:r w:rsidRPr="00AE5FDA">
              <w:t>2.75·10</w:t>
            </w:r>
            <w:r w:rsidRPr="00AE5FDA">
              <w:rPr>
                <w:vertAlign w:val="superscript"/>
              </w:rPr>
              <w:t>-3</w:t>
            </w:r>
            <w:r w:rsidRPr="00AE5FDA">
              <w:t xml:space="preserve"> (1.99–3.29·10</w:t>
            </w:r>
            <w:r w:rsidRPr="00AE5FDA">
              <w:rPr>
                <w:vertAlign w:val="superscript"/>
              </w:rPr>
              <w:t>-3</w:t>
            </w:r>
            <w:r w:rsidRPr="00AE5FDA">
              <w:t>)</w:t>
            </w:r>
          </w:p>
        </w:tc>
        <w:tc>
          <w:tcPr>
            <w:tcW w:w="1980" w:type="dxa"/>
            <w:vAlign w:val="bottom"/>
          </w:tcPr>
          <w:p w14:paraId="651424DE" w14:textId="77777777" w:rsidR="00AE5FDA" w:rsidRPr="00AE5FDA" w:rsidRDefault="00AE5FDA" w:rsidP="00AE5FDA">
            <w:r w:rsidRPr="00AE5FDA">
              <w:t>17.1 (15.6–17.9)</w:t>
            </w:r>
          </w:p>
        </w:tc>
        <w:tc>
          <w:tcPr>
            <w:tcW w:w="2070" w:type="dxa"/>
            <w:vAlign w:val="bottom"/>
          </w:tcPr>
          <w:p w14:paraId="50D7437F" w14:textId="77777777" w:rsidR="00AE5FDA" w:rsidRPr="00AE5FDA" w:rsidRDefault="00AE5FDA" w:rsidP="00AE5FDA">
            <w:r w:rsidRPr="00AE5FDA">
              <w:t>37.1 (36.4–38.4)</w:t>
            </w:r>
          </w:p>
        </w:tc>
        <w:tc>
          <w:tcPr>
            <w:tcW w:w="1980" w:type="dxa"/>
            <w:tcBorders>
              <w:right w:val="single" w:sz="4" w:space="0" w:color="auto"/>
            </w:tcBorders>
            <w:vAlign w:val="bottom"/>
          </w:tcPr>
          <w:p w14:paraId="6D4550BA" w14:textId="77777777" w:rsidR="00AE5FDA" w:rsidRPr="00AE5FDA" w:rsidRDefault="00AE5FDA" w:rsidP="00AE5FDA">
            <w:r w:rsidRPr="00AE5FDA">
              <w:t>27.2 (26.6–27.6)</w:t>
            </w:r>
          </w:p>
        </w:tc>
      </w:tr>
      <w:tr w:rsidR="00AE5FDA" w:rsidRPr="00AE5FDA" w14:paraId="49ADD7B7" w14:textId="77777777" w:rsidTr="00A93316">
        <w:tc>
          <w:tcPr>
            <w:tcW w:w="3235" w:type="dxa"/>
            <w:tcBorders>
              <w:left w:val="single" w:sz="4" w:space="0" w:color="auto"/>
            </w:tcBorders>
          </w:tcPr>
          <w:p w14:paraId="2DF5FA94" w14:textId="77777777" w:rsidR="00AE5FDA" w:rsidRPr="00AE5FDA" w:rsidRDefault="00AE5FDA" w:rsidP="00AE5FDA">
            <w:pPr>
              <w:rPr>
                <w:i/>
              </w:rPr>
            </w:pPr>
            <w:r w:rsidRPr="00AE5FDA">
              <w:rPr>
                <w:i/>
              </w:rPr>
              <w:t xml:space="preserve">Cx. pipiens </w:t>
            </w:r>
            <w:r w:rsidRPr="00AE5FDA">
              <w:t>(</w:t>
            </w:r>
            <w:r w:rsidRPr="00AE5FDA">
              <w:rPr>
                <w:i/>
              </w:rPr>
              <w:t>EFGC</w:t>
            </w:r>
            <w:r w:rsidRPr="00AE5FDA">
              <w:t>)</w:t>
            </w:r>
          </w:p>
        </w:tc>
        <w:tc>
          <w:tcPr>
            <w:tcW w:w="661" w:type="dxa"/>
          </w:tcPr>
          <w:p w14:paraId="509AD8A1" w14:textId="77777777" w:rsidR="00AE5FDA" w:rsidRPr="00AE5FDA" w:rsidRDefault="00AE5FDA" w:rsidP="00AE5FDA">
            <w:r w:rsidRPr="00AE5FDA">
              <w:t>Q</w:t>
            </w:r>
          </w:p>
        </w:tc>
        <w:tc>
          <w:tcPr>
            <w:tcW w:w="2939" w:type="dxa"/>
            <w:vAlign w:val="bottom"/>
          </w:tcPr>
          <w:p w14:paraId="5F7582A9" w14:textId="77777777" w:rsidR="00AE5FDA" w:rsidRPr="00AE5FDA" w:rsidRDefault="00AE5FDA" w:rsidP="00AE5FDA">
            <w:r w:rsidRPr="00AE5FDA">
              <w:t>5.98·10</w:t>
            </w:r>
            <w:r w:rsidRPr="00AE5FDA">
              <w:rPr>
                <w:vertAlign w:val="superscript"/>
              </w:rPr>
              <w:t>-1</w:t>
            </w:r>
            <w:r w:rsidRPr="00AE5FDA">
              <w:t xml:space="preserve"> (4.31–7.91·10</w:t>
            </w:r>
            <w:r w:rsidRPr="00AE5FDA">
              <w:rPr>
                <w:vertAlign w:val="superscript"/>
              </w:rPr>
              <w:t>-1</w:t>
            </w:r>
            <w:r w:rsidRPr="00AE5FDA">
              <w:t>)</w:t>
            </w:r>
          </w:p>
        </w:tc>
        <w:tc>
          <w:tcPr>
            <w:tcW w:w="1980" w:type="dxa"/>
            <w:vAlign w:val="bottom"/>
          </w:tcPr>
          <w:p w14:paraId="3A2275FF" w14:textId="77777777" w:rsidR="00AE5FDA" w:rsidRPr="00AE5FDA" w:rsidRDefault="00AE5FDA" w:rsidP="00AE5FDA">
            <w:r w:rsidRPr="00AE5FDA">
              <w:t>5.3 (2.6–8.5)</w:t>
            </w:r>
          </w:p>
        </w:tc>
        <w:tc>
          <w:tcPr>
            <w:tcW w:w="2070" w:type="dxa"/>
            <w:vAlign w:val="bottom"/>
          </w:tcPr>
          <w:p w14:paraId="571580FE" w14:textId="77777777" w:rsidR="00AE5FDA" w:rsidRPr="00AE5FDA" w:rsidRDefault="00AE5FDA" w:rsidP="00AE5FDA">
            <w:r w:rsidRPr="00AE5FDA">
              <w:t>38.9 (36.2–41.8)</w:t>
            </w:r>
          </w:p>
        </w:tc>
        <w:tc>
          <w:tcPr>
            <w:tcW w:w="1980" w:type="dxa"/>
            <w:tcBorders>
              <w:right w:val="single" w:sz="4" w:space="0" w:color="auto"/>
            </w:tcBorders>
            <w:vAlign w:val="bottom"/>
          </w:tcPr>
          <w:p w14:paraId="6F026371" w14:textId="77777777" w:rsidR="00AE5FDA" w:rsidRPr="00AE5FDA" w:rsidRDefault="00AE5FDA" w:rsidP="00AE5FDA">
            <w:r w:rsidRPr="00AE5FDA">
              <w:t>22.1 (20.1–24.4)</w:t>
            </w:r>
          </w:p>
        </w:tc>
      </w:tr>
      <w:tr w:rsidR="00AE5FDA" w:rsidRPr="00AE5FDA" w14:paraId="31F5D4D0" w14:textId="77777777" w:rsidTr="00A93316">
        <w:tc>
          <w:tcPr>
            <w:tcW w:w="3235" w:type="dxa"/>
            <w:tcBorders>
              <w:left w:val="single" w:sz="4" w:space="0" w:color="auto"/>
            </w:tcBorders>
          </w:tcPr>
          <w:p w14:paraId="2D397673" w14:textId="77777777" w:rsidR="00AE5FDA" w:rsidRPr="00AE5FDA" w:rsidRDefault="00AE5FDA" w:rsidP="00AE5FDA">
            <w:pPr>
              <w:rPr>
                <w:b/>
              </w:rPr>
            </w:pPr>
            <w:r w:rsidRPr="00AE5FDA">
              <w:rPr>
                <w:i/>
              </w:rPr>
              <w:t xml:space="preserve">Cx. quinquefasciatus </w:t>
            </w:r>
            <w:r w:rsidRPr="00AE5FDA">
              <w:t>(</w:t>
            </w:r>
            <w:r w:rsidRPr="00AE5FDA">
              <w:rPr>
                <w:i/>
              </w:rPr>
              <w:t>ER</w:t>
            </w:r>
            <w:r w:rsidRPr="00AE5FDA">
              <w:t>)</w:t>
            </w:r>
          </w:p>
        </w:tc>
        <w:tc>
          <w:tcPr>
            <w:tcW w:w="661" w:type="dxa"/>
          </w:tcPr>
          <w:p w14:paraId="1081F3FF" w14:textId="77777777" w:rsidR="00AE5FDA" w:rsidRPr="00AE5FDA" w:rsidRDefault="00AE5FDA" w:rsidP="00AE5FDA">
            <w:r w:rsidRPr="00AE5FDA">
              <w:t>Q</w:t>
            </w:r>
          </w:p>
        </w:tc>
        <w:tc>
          <w:tcPr>
            <w:tcW w:w="2939" w:type="dxa"/>
            <w:vAlign w:val="bottom"/>
          </w:tcPr>
          <w:p w14:paraId="647A256C" w14:textId="77777777" w:rsidR="00AE5FDA" w:rsidRPr="00AE5FDA" w:rsidRDefault="00AE5FDA" w:rsidP="00AE5FDA">
            <w:r w:rsidRPr="00AE5FDA">
              <w:t>6.36·10</w:t>
            </w:r>
            <w:r w:rsidRPr="00AE5FDA">
              <w:rPr>
                <w:vertAlign w:val="superscript"/>
              </w:rPr>
              <w:t>-1</w:t>
            </w:r>
            <w:r w:rsidRPr="00AE5FDA">
              <w:t xml:space="preserve"> (4.50–9.05·10</w:t>
            </w:r>
            <w:r w:rsidRPr="00AE5FDA">
              <w:rPr>
                <w:vertAlign w:val="superscript"/>
              </w:rPr>
              <w:t>-1</w:t>
            </w:r>
            <w:r w:rsidRPr="00AE5FDA">
              <w:t>)</w:t>
            </w:r>
          </w:p>
        </w:tc>
        <w:tc>
          <w:tcPr>
            <w:tcW w:w="1980" w:type="dxa"/>
            <w:vAlign w:val="bottom"/>
          </w:tcPr>
          <w:p w14:paraId="3CFA8B62" w14:textId="77777777" w:rsidR="00AE5FDA" w:rsidRPr="00AE5FDA" w:rsidRDefault="00AE5FDA" w:rsidP="00AE5FDA">
            <w:r w:rsidRPr="00AE5FDA">
              <w:t>5.0 (1.3–9.8)</w:t>
            </w:r>
          </w:p>
        </w:tc>
        <w:tc>
          <w:tcPr>
            <w:tcW w:w="2070" w:type="dxa"/>
            <w:vAlign w:val="bottom"/>
          </w:tcPr>
          <w:p w14:paraId="72C1FEB2" w14:textId="77777777" w:rsidR="00AE5FDA" w:rsidRPr="00AE5FDA" w:rsidRDefault="00AE5FDA" w:rsidP="00AE5FDA">
            <w:r w:rsidRPr="00AE5FDA">
              <w:t>37.7 (34.8–40.7)</w:t>
            </w:r>
          </w:p>
        </w:tc>
        <w:tc>
          <w:tcPr>
            <w:tcW w:w="1980" w:type="dxa"/>
            <w:tcBorders>
              <w:right w:val="single" w:sz="4" w:space="0" w:color="auto"/>
            </w:tcBorders>
            <w:vAlign w:val="bottom"/>
          </w:tcPr>
          <w:p w14:paraId="1754F98A" w14:textId="77777777" w:rsidR="00AE5FDA" w:rsidRPr="00AE5FDA" w:rsidRDefault="00AE5FDA" w:rsidP="00AE5FDA">
            <w:r w:rsidRPr="00AE5FDA">
              <w:t>21.4 (18.9–24.4)</w:t>
            </w:r>
          </w:p>
        </w:tc>
      </w:tr>
      <w:tr w:rsidR="00AE5FDA" w:rsidRPr="00AE5FDA" w14:paraId="10E275CB" w14:textId="77777777" w:rsidTr="00A93316">
        <w:tc>
          <w:tcPr>
            <w:tcW w:w="3235" w:type="dxa"/>
            <w:tcBorders>
              <w:left w:val="single" w:sz="4" w:space="0" w:color="auto"/>
            </w:tcBorders>
          </w:tcPr>
          <w:p w14:paraId="3EF1F373" w14:textId="77777777" w:rsidR="00AE5FDA" w:rsidRPr="00AE5FDA" w:rsidRDefault="00AE5FDA" w:rsidP="00AE5FDA">
            <w:pPr>
              <w:rPr>
                <w:i/>
              </w:rPr>
            </w:pPr>
            <w:r w:rsidRPr="00AE5FDA">
              <w:rPr>
                <w:b/>
              </w:rPr>
              <w:t>Proportion ovipositing (</w:t>
            </w:r>
            <w:r w:rsidRPr="00AE5FDA">
              <w:rPr>
                <w:b/>
                <w:i/>
              </w:rPr>
              <w:t>pO</w:t>
            </w:r>
            <w:r w:rsidRPr="00AE5FDA">
              <w:rPr>
                <w:b/>
              </w:rPr>
              <w:t>)</w:t>
            </w:r>
          </w:p>
        </w:tc>
        <w:tc>
          <w:tcPr>
            <w:tcW w:w="661" w:type="dxa"/>
          </w:tcPr>
          <w:p w14:paraId="63154BFB" w14:textId="77777777" w:rsidR="00AE5FDA" w:rsidRPr="00AE5FDA" w:rsidRDefault="00AE5FDA" w:rsidP="00AE5FDA">
            <w:pPr>
              <w:rPr>
                <w:i/>
              </w:rPr>
            </w:pPr>
          </w:p>
        </w:tc>
        <w:tc>
          <w:tcPr>
            <w:tcW w:w="2939" w:type="dxa"/>
          </w:tcPr>
          <w:p w14:paraId="4310C7C8" w14:textId="77777777" w:rsidR="00AE5FDA" w:rsidRPr="00AE5FDA" w:rsidRDefault="00AE5FDA" w:rsidP="00AE5FDA">
            <w:pPr>
              <w:rPr>
                <w:i/>
              </w:rPr>
            </w:pPr>
          </w:p>
        </w:tc>
        <w:tc>
          <w:tcPr>
            <w:tcW w:w="1980" w:type="dxa"/>
          </w:tcPr>
          <w:p w14:paraId="75CD1733" w14:textId="77777777" w:rsidR="00AE5FDA" w:rsidRPr="00AE5FDA" w:rsidRDefault="00AE5FDA" w:rsidP="00AE5FDA"/>
        </w:tc>
        <w:tc>
          <w:tcPr>
            <w:tcW w:w="2070" w:type="dxa"/>
          </w:tcPr>
          <w:p w14:paraId="57FFEDAC" w14:textId="77777777" w:rsidR="00AE5FDA" w:rsidRPr="00AE5FDA" w:rsidRDefault="00AE5FDA" w:rsidP="00AE5FDA"/>
        </w:tc>
        <w:tc>
          <w:tcPr>
            <w:tcW w:w="1980" w:type="dxa"/>
            <w:tcBorders>
              <w:right w:val="single" w:sz="4" w:space="0" w:color="auto"/>
            </w:tcBorders>
          </w:tcPr>
          <w:p w14:paraId="104DB9ED" w14:textId="77777777" w:rsidR="00AE5FDA" w:rsidRPr="00AE5FDA" w:rsidRDefault="00AE5FDA" w:rsidP="00AE5FDA"/>
        </w:tc>
      </w:tr>
      <w:tr w:rsidR="00AE5FDA" w:rsidRPr="00AE5FDA" w14:paraId="010C8803" w14:textId="77777777" w:rsidTr="00A93316">
        <w:tc>
          <w:tcPr>
            <w:tcW w:w="3235" w:type="dxa"/>
            <w:tcBorders>
              <w:left w:val="single" w:sz="4" w:space="0" w:color="auto"/>
            </w:tcBorders>
          </w:tcPr>
          <w:p w14:paraId="5ACDA52A" w14:textId="77777777" w:rsidR="00AE5FDA" w:rsidRPr="00AE5FDA" w:rsidRDefault="00AE5FDA" w:rsidP="00AE5FDA">
            <w:pPr>
              <w:rPr>
                <w:b/>
              </w:rPr>
            </w:pPr>
            <w:r w:rsidRPr="00AE5FDA">
              <w:rPr>
                <w:i/>
              </w:rPr>
              <w:t>Cx. pipiens</w:t>
            </w:r>
          </w:p>
        </w:tc>
        <w:tc>
          <w:tcPr>
            <w:tcW w:w="661" w:type="dxa"/>
          </w:tcPr>
          <w:p w14:paraId="1E4633D9" w14:textId="77777777" w:rsidR="00AE5FDA" w:rsidRPr="00AE5FDA" w:rsidRDefault="00AE5FDA" w:rsidP="00AE5FDA">
            <w:r w:rsidRPr="00AE5FDA">
              <w:t>Q</w:t>
            </w:r>
          </w:p>
        </w:tc>
        <w:tc>
          <w:tcPr>
            <w:tcW w:w="2939" w:type="dxa"/>
            <w:vAlign w:val="bottom"/>
          </w:tcPr>
          <w:p w14:paraId="063FBB6A" w14:textId="77777777" w:rsidR="00AE5FDA" w:rsidRPr="00AE5FDA" w:rsidRDefault="00AE5FDA" w:rsidP="00AE5FDA">
            <w:pPr>
              <w:rPr>
                <w:i/>
              </w:rPr>
            </w:pPr>
            <w:r w:rsidRPr="00AE5FDA">
              <w:t>4.45·10</w:t>
            </w:r>
            <w:r w:rsidRPr="00AE5FDA">
              <w:rPr>
                <w:vertAlign w:val="superscript"/>
              </w:rPr>
              <w:t>-3</w:t>
            </w:r>
            <w:r w:rsidRPr="00AE5FDA">
              <w:t xml:space="preserve"> (2.54–7.77·10</w:t>
            </w:r>
            <w:r w:rsidRPr="00AE5FDA">
              <w:rPr>
                <w:vertAlign w:val="superscript"/>
              </w:rPr>
              <w:t>-3</w:t>
            </w:r>
            <w:r w:rsidRPr="00AE5FDA">
              <w:t>)</w:t>
            </w:r>
          </w:p>
        </w:tc>
        <w:tc>
          <w:tcPr>
            <w:tcW w:w="1980" w:type="dxa"/>
            <w:vAlign w:val="bottom"/>
          </w:tcPr>
          <w:p w14:paraId="56059218" w14:textId="77777777" w:rsidR="00AE5FDA" w:rsidRPr="00AE5FDA" w:rsidRDefault="00AE5FDA" w:rsidP="00AE5FDA">
            <w:r w:rsidRPr="00AE5FDA">
              <w:t>8.2 (4.6–12.1)</w:t>
            </w:r>
          </w:p>
        </w:tc>
        <w:tc>
          <w:tcPr>
            <w:tcW w:w="2070" w:type="dxa"/>
            <w:vAlign w:val="bottom"/>
          </w:tcPr>
          <w:p w14:paraId="2EC29297" w14:textId="77777777" w:rsidR="00AE5FDA" w:rsidRPr="00AE5FDA" w:rsidRDefault="00AE5FDA" w:rsidP="00AE5FDA">
            <w:r w:rsidRPr="00AE5FDA">
              <w:t>33.2 (30.1–37.5)</w:t>
            </w:r>
          </w:p>
        </w:tc>
        <w:tc>
          <w:tcPr>
            <w:tcW w:w="1980" w:type="dxa"/>
            <w:tcBorders>
              <w:right w:val="single" w:sz="4" w:space="0" w:color="auto"/>
            </w:tcBorders>
            <w:vAlign w:val="bottom"/>
          </w:tcPr>
          <w:p w14:paraId="797E6599" w14:textId="77777777" w:rsidR="00AE5FDA" w:rsidRPr="00AE5FDA" w:rsidRDefault="00AE5FDA" w:rsidP="00AE5FDA">
            <w:r w:rsidRPr="00AE5FDA">
              <w:t>20.8 (18.6–23.4)</w:t>
            </w:r>
          </w:p>
        </w:tc>
      </w:tr>
      <w:tr w:rsidR="00AE5FDA" w:rsidRPr="00AE5FDA" w14:paraId="3FA9FA4A" w14:textId="77777777" w:rsidTr="00A93316">
        <w:tc>
          <w:tcPr>
            <w:tcW w:w="3235" w:type="dxa"/>
            <w:tcBorders>
              <w:left w:val="single" w:sz="4" w:space="0" w:color="auto"/>
            </w:tcBorders>
          </w:tcPr>
          <w:p w14:paraId="58CA7E15" w14:textId="77777777" w:rsidR="00AE5FDA" w:rsidRPr="00AE5FDA" w:rsidRDefault="00AE5FDA" w:rsidP="00AE5FDA">
            <w:pPr>
              <w:rPr>
                <w:b/>
              </w:rPr>
            </w:pPr>
            <w:r w:rsidRPr="00AE5FDA">
              <w:rPr>
                <w:i/>
              </w:rPr>
              <w:t>Cx. quinquefasciatus</w:t>
            </w:r>
          </w:p>
        </w:tc>
        <w:tc>
          <w:tcPr>
            <w:tcW w:w="661" w:type="dxa"/>
          </w:tcPr>
          <w:p w14:paraId="6B53BECC" w14:textId="77777777" w:rsidR="00AE5FDA" w:rsidRPr="00AE5FDA" w:rsidRDefault="00AE5FDA" w:rsidP="00AE5FDA">
            <w:r w:rsidRPr="00AE5FDA">
              <w:t>B</w:t>
            </w:r>
          </w:p>
        </w:tc>
        <w:tc>
          <w:tcPr>
            <w:tcW w:w="2939" w:type="dxa"/>
            <w:vAlign w:val="bottom"/>
          </w:tcPr>
          <w:p w14:paraId="06CB953E" w14:textId="77777777" w:rsidR="00AE5FDA" w:rsidRPr="00AE5FDA" w:rsidRDefault="00AE5FDA" w:rsidP="00AE5FDA">
            <w:pPr>
              <w:rPr>
                <w:b/>
              </w:rPr>
            </w:pPr>
            <w:r w:rsidRPr="00AE5FDA">
              <w:t>6.67·10</w:t>
            </w:r>
            <w:r w:rsidRPr="00AE5FDA">
              <w:rPr>
                <w:vertAlign w:val="superscript"/>
              </w:rPr>
              <w:t>-4</w:t>
            </w:r>
            <w:r w:rsidRPr="00AE5FDA">
              <w:t xml:space="preserve"> (5.80–7.91·10</w:t>
            </w:r>
            <w:r w:rsidRPr="00AE5FDA">
              <w:rPr>
                <w:vertAlign w:val="superscript"/>
              </w:rPr>
              <w:t>-4</w:t>
            </w:r>
            <w:r w:rsidRPr="00AE5FDA">
              <w:t>)</w:t>
            </w:r>
          </w:p>
        </w:tc>
        <w:tc>
          <w:tcPr>
            <w:tcW w:w="1980" w:type="dxa"/>
            <w:vAlign w:val="bottom"/>
          </w:tcPr>
          <w:p w14:paraId="4B292C30" w14:textId="77777777" w:rsidR="00AE5FDA" w:rsidRPr="00AE5FDA" w:rsidRDefault="00AE5FDA" w:rsidP="00AE5FDA">
            <w:r w:rsidRPr="00AE5FDA">
              <w:t>1.7 (0.2–4.8)</w:t>
            </w:r>
          </w:p>
        </w:tc>
        <w:tc>
          <w:tcPr>
            <w:tcW w:w="2070" w:type="dxa"/>
            <w:vAlign w:val="bottom"/>
          </w:tcPr>
          <w:p w14:paraId="0590FDEA" w14:textId="77777777" w:rsidR="00AE5FDA" w:rsidRPr="00AE5FDA" w:rsidRDefault="00AE5FDA" w:rsidP="00AE5FDA">
            <w:r w:rsidRPr="00AE5FDA">
              <w:t>31.8 (31.1–32.2)</w:t>
            </w:r>
          </w:p>
        </w:tc>
        <w:tc>
          <w:tcPr>
            <w:tcW w:w="1980" w:type="dxa"/>
            <w:tcBorders>
              <w:right w:val="single" w:sz="4" w:space="0" w:color="auto"/>
            </w:tcBorders>
            <w:vAlign w:val="bottom"/>
          </w:tcPr>
          <w:p w14:paraId="2669B0A2" w14:textId="77777777" w:rsidR="00AE5FDA" w:rsidRPr="00AE5FDA" w:rsidRDefault="00AE5FDA" w:rsidP="00AE5FDA">
            <w:r w:rsidRPr="00AE5FDA">
              <w:t>24.9 (21.8–26.0)</w:t>
            </w:r>
          </w:p>
        </w:tc>
      </w:tr>
      <w:tr w:rsidR="00AE5FDA" w:rsidRPr="00AE5FDA" w14:paraId="24C931DC" w14:textId="77777777" w:rsidTr="00A93316">
        <w:tc>
          <w:tcPr>
            <w:tcW w:w="3235" w:type="dxa"/>
            <w:tcBorders>
              <w:left w:val="single" w:sz="4" w:space="0" w:color="auto"/>
            </w:tcBorders>
          </w:tcPr>
          <w:p w14:paraId="76F3AEA3" w14:textId="77777777" w:rsidR="00AE5FDA" w:rsidRPr="00AE5FDA" w:rsidRDefault="00AE5FDA" w:rsidP="00AE5FDA">
            <w:pPr>
              <w:rPr>
                <w:b/>
              </w:rPr>
            </w:pPr>
            <w:r w:rsidRPr="00AE5FDA">
              <w:rPr>
                <w:i/>
              </w:rPr>
              <w:t>Cs. melanura</w:t>
            </w:r>
          </w:p>
        </w:tc>
        <w:tc>
          <w:tcPr>
            <w:tcW w:w="661" w:type="dxa"/>
          </w:tcPr>
          <w:p w14:paraId="7D7FA789" w14:textId="77777777" w:rsidR="00AE5FDA" w:rsidRPr="00AE5FDA" w:rsidRDefault="00AE5FDA" w:rsidP="00AE5FDA">
            <w:r w:rsidRPr="00AE5FDA">
              <w:t>Q</w:t>
            </w:r>
          </w:p>
        </w:tc>
        <w:tc>
          <w:tcPr>
            <w:tcW w:w="2939" w:type="dxa"/>
            <w:vAlign w:val="bottom"/>
          </w:tcPr>
          <w:p w14:paraId="254B2A95" w14:textId="77777777" w:rsidR="00AE5FDA" w:rsidRPr="00AE5FDA" w:rsidRDefault="00AE5FDA" w:rsidP="00AE5FDA">
            <w:pPr>
              <w:rPr>
                <w:b/>
              </w:rPr>
            </w:pPr>
            <w:r w:rsidRPr="00AE5FDA">
              <w:t>6.31·10</w:t>
            </w:r>
            <w:r w:rsidRPr="00AE5FDA">
              <w:rPr>
                <w:vertAlign w:val="superscript"/>
              </w:rPr>
              <w:t>-3</w:t>
            </w:r>
            <w:r w:rsidRPr="00AE5FDA">
              <w:t xml:space="preserve"> (4.52–7.89·10</w:t>
            </w:r>
            <w:r w:rsidRPr="00AE5FDA">
              <w:rPr>
                <w:vertAlign w:val="superscript"/>
              </w:rPr>
              <w:t>-3</w:t>
            </w:r>
            <w:r w:rsidRPr="00AE5FDA">
              <w:t>)</w:t>
            </w:r>
          </w:p>
        </w:tc>
        <w:tc>
          <w:tcPr>
            <w:tcW w:w="1980" w:type="dxa"/>
            <w:vAlign w:val="bottom"/>
          </w:tcPr>
          <w:p w14:paraId="4FAD5AB0" w14:textId="77777777" w:rsidR="00AE5FDA" w:rsidRPr="00AE5FDA" w:rsidRDefault="00AE5FDA" w:rsidP="00AE5FDA">
            <w:r w:rsidRPr="00AE5FDA">
              <w:t>8.7 (6.9–10.4)</w:t>
            </w:r>
          </w:p>
        </w:tc>
        <w:tc>
          <w:tcPr>
            <w:tcW w:w="2070" w:type="dxa"/>
            <w:vAlign w:val="bottom"/>
          </w:tcPr>
          <w:p w14:paraId="487CF37E" w14:textId="77777777" w:rsidR="00AE5FDA" w:rsidRPr="00AE5FDA" w:rsidRDefault="00AE5FDA" w:rsidP="00AE5FDA">
            <w:r w:rsidRPr="00AE5FDA">
              <w:t>33.6 (32.5–35.4)</w:t>
            </w:r>
          </w:p>
        </w:tc>
        <w:tc>
          <w:tcPr>
            <w:tcW w:w="1980" w:type="dxa"/>
            <w:tcBorders>
              <w:right w:val="single" w:sz="4" w:space="0" w:color="auto"/>
            </w:tcBorders>
            <w:vAlign w:val="bottom"/>
          </w:tcPr>
          <w:p w14:paraId="7C9615A4" w14:textId="77777777" w:rsidR="00AE5FDA" w:rsidRPr="00AE5FDA" w:rsidRDefault="00AE5FDA" w:rsidP="00AE5FDA">
            <w:r w:rsidRPr="00AE5FDA">
              <w:t>20.7 (16.9–22.3)</w:t>
            </w:r>
          </w:p>
        </w:tc>
      </w:tr>
      <w:tr w:rsidR="00AE5FDA" w:rsidRPr="00AE5FDA" w14:paraId="7257E1CF" w14:textId="77777777" w:rsidTr="00A93316">
        <w:tc>
          <w:tcPr>
            <w:tcW w:w="3235" w:type="dxa"/>
            <w:tcBorders>
              <w:left w:val="single" w:sz="4" w:space="0" w:color="auto"/>
            </w:tcBorders>
          </w:tcPr>
          <w:p w14:paraId="558A935F" w14:textId="77777777" w:rsidR="00AE5FDA" w:rsidRPr="00AE5FDA" w:rsidRDefault="00AE5FDA" w:rsidP="00AE5FDA">
            <w:pPr>
              <w:rPr>
                <w:i/>
              </w:rPr>
            </w:pPr>
            <w:r w:rsidRPr="00AE5FDA">
              <w:rPr>
                <w:b/>
              </w:rPr>
              <w:t>Mosquito Dev. Rate (</w:t>
            </w:r>
            <w:r w:rsidRPr="00AE5FDA">
              <w:rPr>
                <w:b/>
                <w:i/>
              </w:rPr>
              <w:t>MDR</w:t>
            </w:r>
            <w:r w:rsidRPr="00AE5FDA">
              <w:rPr>
                <w:b/>
              </w:rPr>
              <w:t>)</w:t>
            </w:r>
          </w:p>
        </w:tc>
        <w:tc>
          <w:tcPr>
            <w:tcW w:w="661" w:type="dxa"/>
          </w:tcPr>
          <w:p w14:paraId="4044842B" w14:textId="77777777" w:rsidR="00AE5FDA" w:rsidRPr="00AE5FDA" w:rsidRDefault="00AE5FDA" w:rsidP="00AE5FDA"/>
        </w:tc>
        <w:tc>
          <w:tcPr>
            <w:tcW w:w="2939" w:type="dxa"/>
          </w:tcPr>
          <w:p w14:paraId="1F8F4B9A" w14:textId="77777777" w:rsidR="00AE5FDA" w:rsidRPr="00AE5FDA" w:rsidRDefault="00AE5FDA" w:rsidP="00AE5FDA"/>
        </w:tc>
        <w:tc>
          <w:tcPr>
            <w:tcW w:w="1980" w:type="dxa"/>
          </w:tcPr>
          <w:p w14:paraId="57540E96" w14:textId="77777777" w:rsidR="00AE5FDA" w:rsidRPr="00AE5FDA" w:rsidRDefault="00AE5FDA" w:rsidP="00AE5FDA"/>
        </w:tc>
        <w:tc>
          <w:tcPr>
            <w:tcW w:w="2070" w:type="dxa"/>
          </w:tcPr>
          <w:p w14:paraId="4EC080CF" w14:textId="77777777" w:rsidR="00AE5FDA" w:rsidRPr="00AE5FDA" w:rsidRDefault="00AE5FDA" w:rsidP="00AE5FDA"/>
        </w:tc>
        <w:tc>
          <w:tcPr>
            <w:tcW w:w="1980" w:type="dxa"/>
            <w:tcBorders>
              <w:right w:val="single" w:sz="4" w:space="0" w:color="auto"/>
            </w:tcBorders>
          </w:tcPr>
          <w:p w14:paraId="4A1A69C1" w14:textId="77777777" w:rsidR="00AE5FDA" w:rsidRPr="00AE5FDA" w:rsidRDefault="00AE5FDA" w:rsidP="00AE5FDA"/>
        </w:tc>
      </w:tr>
      <w:tr w:rsidR="00AE5FDA" w:rsidRPr="00AE5FDA" w14:paraId="252F56E1" w14:textId="77777777" w:rsidTr="00A93316">
        <w:tc>
          <w:tcPr>
            <w:tcW w:w="3235" w:type="dxa"/>
            <w:tcBorders>
              <w:left w:val="single" w:sz="4" w:space="0" w:color="auto"/>
            </w:tcBorders>
          </w:tcPr>
          <w:p w14:paraId="307EB417" w14:textId="77777777" w:rsidR="00AE5FDA" w:rsidRPr="00AE5FDA" w:rsidRDefault="00AE5FDA" w:rsidP="00AE5FDA">
            <w:pPr>
              <w:rPr>
                <w:b/>
              </w:rPr>
            </w:pPr>
            <w:r w:rsidRPr="00AE5FDA">
              <w:rPr>
                <w:i/>
              </w:rPr>
              <w:t>Ae. aegypti</w:t>
            </w:r>
          </w:p>
        </w:tc>
        <w:tc>
          <w:tcPr>
            <w:tcW w:w="661" w:type="dxa"/>
          </w:tcPr>
          <w:p w14:paraId="07CFB3CB" w14:textId="77777777" w:rsidR="00AE5FDA" w:rsidRPr="00AE5FDA" w:rsidRDefault="00AE5FDA" w:rsidP="00AE5FDA">
            <w:r w:rsidRPr="00AE5FDA">
              <w:t>B</w:t>
            </w:r>
          </w:p>
        </w:tc>
        <w:tc>
          <w:tcPr>
            <w:tcW w:w="2939" w:type="dxa"/>
            <w:vAlign w:val="bottom"/>
          </w:tcPr>
          <w:p w14:paraId="463139A1" w14:textId="77777777" w:rsidR="00AE5FDA" w:rsidRPr="00AE5FDA" w:rsidRDefault="00AE5FDA" w:rsidP="00AE5FDA">
            <w:r w:rsidRPr="00AE5FDA">
              <w:t>7.83·10</w:t>
            </w:r>
            <w:r w:rsidRPr="00AE5FDA">
              <w:rPr>
                <w:vertAlign w:val="superscript"/>
              </w:rPr>
              <w:t>-5</w:t>
            </w:r>
            <w:r w:rsidRPr="00AE5FDA">
              <w:t xml:space="preserve"> (5.80–10.0·10</w:t>
            </w:r>
            <w:r w:rsidRPr="00AE5FDA">
              <w:rPr>
                <w:vertAlign w:val="superscript"/>
              </w:rPr>
              <w:t>-5</w:t>
            </w:r>
            <w:r w:rsidRPr="00AE5FDA">
              <w:t>)</w:t>
            </w:r>
          </w:p>
        </w:tc>
        <w:tc>
          <w:tcPr>
            <w:tcW w:w="1980" w:type="dxa"/>
            <w:vAlign w:val="bottom"/>
          </w:tcPr>
          <w:p w14:paraId="697CA8E2" w14:textId="77777777" w:rsidR="00AE5FDA" w:rsidRPr="00AE5FDA" w:rsidRDefault="00AE5FDA" w:rsidP="00AE5FDA">
            <w:r w:rsidRPr="00AE5FDA">
              <w:t>11.6 (6.9–14.7)</w:t>
            </w:r>
          </w:p>
        </w:tc>
        <w:tc>
          <w:tcPr>
            <w:tcW w:w="2070" w:type="dxa"/>
            <w:vAlign w:val="bottom"/>
          </w:tcPr>
          <w:p w14:paraId="6E67C64F" w14:textId="77777777" w:rsidR="00AE5FDA" w:rsidRPr="00AE5FDA" w:rsidRDefault="00AE5FDA" w:rsidP="00AE5FDA">
            <w:r w:rsidRPr="00AE5FDA">
              <w:t>39.1 (39.0–39.7)</w:t>
            </w:r>
          </w:p>
        </w:tc>
        <w:tc>
          <w:tcPr>
            <w:tcW w:w="1980" w:type="dxa"/>
            <w:tcBorders>
              <w:right w:val="single" w:sz="4" w:space="0" w:color="auto"/>
            </w:tcBorders>
            <w:vAlign w:val="bottom"/>
          </w:tcPr>
          <w:p w14:paraId="1E2FA73B" w14:textId="77777777" w:rsidR="00AE5FDA" w:rsidRPr="00AE5FDA" w:rsidRDefault="00AE5FDA" w:rsidP="00AE5FDA">
            <w:r w:rsidRPr="00AE5FDA">
              <w:t>32.7 (32.1–33.3)</w:t>
            </w:r>
          </w:p>
        </w:tc>
      </w:tr>
      <w:tr w:rsidR="00AE5FDA" w:rsidRPr="00AE5FDA" w14:paraId="2F2A2094" w14:textId="77777777" w:rsidTr="00A93316">
        <w:tc>
          <w:tcPr>
            <w:tcW w:w="3235" w:type="dxa"/>
            <w:tcBorders>
              <w:left w:val="single" w:sz="4" w:space="0" w:color="auto"/>
            </w:tcBorders>
          </w:tcPr>
          <w:p w14:paraId="2424C46A" w14:textId="77777777" w:rsidR="00AE5FDA" w:rsidRPr="00AE5FDA" w:rsidRDefault="00AE5FDA" w:rsidP="00AE5FDA">
            <w:pPr>
              <w:rPr>
                <w:b/>
              </w:rPr>
            </w:pPr>
            <w:r w:rsidRPr="00AE5FDA">
              <w:rPr>
                <w:i/>
              </w:rPr>
              <w:t>Ae. albopictus</w:t>
            </w:r>
          </w:p>
        </w:tc>
        <w:tc>
          <w:tcPr>
            <w:tcW w:w="661" w:type="dxa"/>
          </w:tcPr>
          <w:p w14:paraId="318FE5B5" w14:textId="77777777" w:rsidR="00AE5FDA" w:rsidRPr="00AE5FDA" w:rsidRDefault="00AE5FDA" w:rsidP="00AE5FDA">
            <w:r w:rsidRPr="00AE5FDA">
              <w:t>B</w:t>
            </w:r>
          </w:p>
        </w:tc>
        <w:tc>
          <w:tcPr>
            <w:tcW w:w="2939" w:type="dxa"/>
            <w:vAlign w:val="bottom"/>
          </w:tcPr>
          <w:p w14:paraId="786C2A5D" w14:textId="77777777" w:rsidR="00AE5FDA" w:rsidRPr="00AE5FDA" w:rsidRDefault="00AE5FDA" w:rsidP="00AE5FDA">
            <w:r w:rsidRPr="00AE5FDA">
              <w:t>6.33·10</w:t>
            </w:r>
            <w:r w:rsidRPr="00AE5FDA">
              <w:rPr>
                <w:vertAlign w:val="superscript"/>
              </w:rPr>
              <w:t>-5</w:t>
            </w:r>
            <w:r w:rsidRPr="00AE5FDA">
              <w:t xml:space="preserve"> (4.74–8.37·10</w:t>
            </w:r>
            <w:r w:rsidRPr="00AE5FDA">
              <w:rPr>
                <w:vertAlign w:val="superscript"/>
              </w:rPr>
              <w:t>-5</w:t>
            </w:r>
            <w:r w:rsidRPr="00AE5FDA">
              <w:t>)</w:t>
            </w:r>
          </w:p>
        </w:tc>
        <w:tc>
          <w:tcPr>
            <w:tcW w:w="1980" w:type="dxa"/>
            <w:vAlign w:val="bottom"/>
          </w:tcPr>
          <w:p w14:paraId="68A23B47" w14:textId="77777777" w:rsidR="00AE5FDA" w:rsidRPr="00AE5FDA" w:rsidRDefault="00AE5FDA" w:rsidP="00AE5FDA">
            <w:r w:rsidRPr="00AE5FDA">
              <w:t>8.7 (4.3–12.2)</w:t>
            </w:r>
          </w:p>
        </w:tc>
        <w:tc>
          <w:tcPr>
            <w:tcW w:w="2070" w:type="dxa"/>
            <w:vAlign w:val="bottom"/>
          </w:tcPr>
          <w:p w14:paraId="32C8F89F" w14:textId="77777777" w:rsidR="00AE5FDA" w:rsidRPr="00AE5FDA" w:rsidRDefault="00AE5FDA" w:rsidP="00AE5FDA">
            <w:r w:rsidRPr="00AE5FDA">
              <w:t>39.6 (37.9–41.9)</w:t>
            </w:r>
          </w:p>
        </w:tc>
        <w:tc>
          <w:tcPr>
            <w:tcW w:w="1980" w:type="dxa"/>
            <w:tcBorders>
              <w:right w:val="single" w:sz="4" w:space="0" w:color="auto"/>
            </w:tcBorders>
            <w:vAlign w:val="bottom"/>
          </w:tcPr>
          <w:p w14:paraId="62F6BFD4" w14:textId="77777777" w:rsidR="00AE5FDA" w:rsidRPr="00AE5FDA" w:rsidRDefault="00AE5FDA" w:rsidP="00AE5FDA">
            <w:r w:rsidRPr="00AE5FDA">
              <w:t>32.6 (31.4–34.4)</w:t>
            </w:r>
          </w:p>
        </w:tc>
      </w:tr>
      <w:tr w:rsidR="00AE5FDA" w:rsidRPr="00AE5FDA" w14:paraId="6D30B336" w14:textId="77777777" w:rsidTr="00A93316">
        <w:tc>
          <w:tcPr>
            <w:tcW w:w="3235" w:type="dxa"/>
            <w:tcBorders>
              <w:left w:val="single" w:sz="4" w:space="0" w:color="auto"/>
            </w:tcBorders>
          </w:tcPr>
          <w:p w14:paraId="7E308B34" w14:textId="77777777" w:rsidR="00AE5FDA" w:rsidRPr="00AE5FDA" w:rsidRDefault="00AE5FDA" w:rsidP="00AE5FDA">
            <w:pPr>
              <w:rPr>
                <w:i/>
              </w:rPr>
            </w:pPr>
            <w:r w:rsidRPr="00AE5FDA">
              <w:rPr>
                <w:i/>
              </w:rPr>
              <w:t>Ae. camptorhynchus</w:t>
            </w:r>
          </w:p>
        </w:tc>
        <w:tc>
          <w:tcPr>
            <w:tcW w:w="661" w:type="dxa"/>
          </w:tcPr>
          <w:p w14:paraId="275947FF" w14:textId="77777777" w:rsidR="00AE5FDA" w:rsidRPr="00AE5FDA" w:rsidRDefault="00AE5FDA" w:rsidP="00AE5FDA">
            <w:r w:rsidRPr="00AE5FDA">
              <w:t>B</w:t>
            </w:r>
          </w:p>
        </w:tc>
        <w:tc>
          <w:tcPr>
            <w:tcW w:w="2939" w:type="dxa"/>
            <w:vAlign w:val="bottom"/>
          </w:tcPr>
          <w:p w14:paraId="272BD017" w14:textId="77777777" w:rsidR="00AE5FDA" w:rsidRPr="00AE5FDA" w:rsidRDefault="00AE5FDA" w:rsidP="00AE5FDA">
            <w:r w:rsidRPr="00AE5FDA">
              <w:t>4.29·10</w:t>
            </w:r>
            <w:r w:rsidRPr="00AE5FDA">
              <w:rPr>
                <w:vertAlign w:val="superscript"/>
              </w:rPr>
              <w:t>-5</w:t>
            </w:r>
            <w:r w:rsidRPr="00AE5FDA">
              <w:t xml:space="preserve"> (2.50–8.29·10</w:t>
            </w:r>
            <w:r w:rsidRPr="00AE5FDA">
              <w:rPr>
                <w:vertAlign w:val="superscript"/>
              </w:rPr>
              <w:t>-5</w:t>
            </w:r>
            <w:r w:rsidRPr="00AE5FDA">
              <w:t>)</w:t>
            </w:r>
          </w:p>
        </w:tc>
        <w:tc>
          <w:tcPr>
            <w:tcW w:w="1980" w:type="dxa"/>
            <w:vAlign w:val="bottom"/>
          </w:tcPr>
          <w:p w14:paraId="56DABCA6" w14:textId="77777777" w:rsidR="00AE5FDA" w:rsidRPr="00AE5FDA" w:rsidRDefault="00AE5FDA" w:rsidP="00AE5FDA">
            <w:r w:rsidRPr="00AE5FDA">
              <w:t>9.3 (1.8–19.1)</w:t>
            </w:r>
          </w:p>
        </w:tc>
        <w:tc>
          <w:tcPr>
            <w:tcW w:w="2070" w:type="dxa"/>
            <w:vAlign w:val="bottom"/>
          </w:tcPr>
          <w:p w14:paraId="20841249" w14:textId="77777777" w:rsidR="00AE5FDA" w:rsidRPr="00AE5FDA" w:rsidRDefault="00AE5FDA" w:rsidP="00AE5FDA">
            <w:r w:rsidRPr="00AE5FDA">
              <w:t>38.8 (37.2–40.3)</w:t>
            </w:r>
          </w:p>
        </w:tc>
        <w:tc>
          <w:tcPr>
            <w:tcW w:w="1980" w:type="dxa"/>
            <w:tcBorders>
              <w:right w:val="single" w:sz="4" w:space="0" w:color="auto"/>
            </w:tcBorders>
            <w:vAlign w:val="bottom"/>
          </w:tcPr>
          <w:p w14:paraId="05BE362B" w14:textId="77777777" w:rsidR="00AE5FDA" w:rsidRPr="00AE5FDA" w:rsidRDefault="00AE5FDA" w:rsidP="00AE5FDA">
            <w:r w:rsidRPr="00AE5FDA">
              <w:t>32.2 (30.6–34.0)</w:t>
            </w:r>
          </w:p>
        </w:tc>
      </w:tr>
      <w:tr w:rsidR="00AE5FDA" w:rsidRPr="00AE5FDA" w14:paraId="49B25E81" w14:textId="77777777" w:rsidTr="00A93316">
        <w:tc>
          <w:tcPr>
            <w:tcW w:w="3235" w:type="dxa"/>
            <w:tcBorders>
              <w:left w:val="single" w:sz="4" w:space="0" w:color="auto"/>
            </w:tcBorders>
          </w:tcPr>
          <w:p w14:paraId="0058032D" w14:textId="77777777" w:rsidR="00AE5FDA" w:rsidRPr="00AE5FDA" w:rsidRDefault="00AE5FDA" w:rsidP="00AE5FDA">
            <w:pPr>
              <w:rPr>
                <w:i/>
              </w:rPr>
            </w:pPr>
            <w:r w:rsidRPr="00AE5FDA">
              <w:rPr>
                <w:i/>
              </w:rPr>
              <w:t>Ae. notoscriptus</w:t>
            </w:r>
          </w:p>
        </w:tc>
        <w:tc>
          <w:tcPr>
            <w:tcW w:w="661" w:type="dxa"/>
          </w:tcPr>
          <w:p w14:paraId="4B7E7FD5" w14:textId="77777777" w:rsidR="00AE5FDA" w:rsidRPr="00AE5FDA" w:rsidRDefault="00AE5FDA" w:rsidP="00AE5FDA">
            <w:r w:rsidRPr="00AE5FDA">
              <w:t>B</w:t>
            </w:r>
          </w:p>
        </w:tc>
        <w:tc>
          <w:tcPr>
            <w:tcW w:w="2939" w:type="dxa"/>
            <w:vAlign w:val="bottom"/>
          </w:tcPr>
          <w:p w14:paraId="4EFAE7D8" w14:textId="77777777" w:rsidR="00AE5FDA" w:rsidRPr="00AE5FDA" w:rsidRDefault="00AE5FDA" w:rsidP="00AE5FDA">
            <w:r w:rsidRPr="00AE5FDA">
              <w:t>6.81·10</w:t>
            </w:r>
            <w:r w:rsidRPr="00AE5FDA">
              <w:rPr>
                <w:vertAlign w:val="superscript"/>
              </w:rPr>
              <w:t>-5</w:t>
            </w:r>
            <w:r w:rsidRPr="00AE5FDA">
              <w:t xml:space="preserve"> (5.43–8.56·10</w:t>
            </w:r>
            <w:r w:rsidRPr="00AE5FDA">
              <w:rPr>
                <w:vertAlign w:val="superscript"/>
              </w:rPr>
              <w:t>-5</w:t>
            </w:r>
            <w:r w:rsidRPr="00AE5FDA">
              <w:t>)</w:t>
            </w:r>
          </w:p>
        </w:tc>
        <w:tc>
          <w:tcPr>
            <w:tcW w:w="1980" w:type="dxa"/>
            <w:vAlign w:val="bottom"/>
          </w:tcPr>
          <w:p w14:paraId="0A9D2D0D" w14:textId="77777777" w:rsidR="00AE5FDA" w:rsidRPr="00AE5FDA" w:rsidRDefault="00AE5FDA" w:rsidP="00AE5FDA">
            <w:r w:rsidRPr="00AE5FDA">
              <w:t>9.6 (6.4–12.9)</w:t>
            </w:r>
          </w:p>
        </w:tc>
        <w:tc>
          <w:tcPr>
            <w:tcW w:w="2070" w:type="dxa"/>
            <w:vAlign w:val="bottom"/>
          </w:tcPr>
          <w:p w14:paraId="4AD60E8F" w14:textId="77777777" w:rsidR="00AE5FDA" w:rsidRPr="00AE5FDA" w:rsidRDefault="00AE5FDA" w:rsidP="00AE5FDA">
            <w:r w:rsidRPr="00AE5FDA">
              <w:t>38.8 (37.1–40.0)</w:t>
            </w:r>
          </w:p>
        </w:tc>
        <w:tc>
          <w:tcPr>
            <w:tcW w:w="1980" w:type="dxa"/>
            <w:tcBorders>
              <w:right w:val="single" w:sz="4" w:space="0" w:color="auto"/>
            </w:tcBorders>
            <w:vAlign w:val="bottom"/>
          </w:tcPr>
          <w:p w14:paraId="10F95EB1" w14:textId="77777777" w:rsidR="00AE5FDA" w:rsidRPr="00AE5FDA" w:rsidRDefault="00AE5FDA" w:rsidP="00AE5FDA">
            <w:r w:rsidRPr="00AE5FDA">
              <w:t>32.2 (30.8–33.4)</w:t>
            </w:r>
          </w:p>
        </w:tc>
      </w:tr>
      <w:tr w:rsidR="00AE5FDA" w:rsidRPr="00AE5FDA" w14:paraId="3795F60A" w14:textId="77777777" w:rsidTr="00A93316">
        <w:tc>
          <w:tcPr>
            <w:tcW w:w="3235" w:type="dxa"/>
            <w:tcBorders>
              <w:left w:val="single" w:sz="4" w:space="0" w:color="auto"/>
            </w:tcBorders>
          </w:tcPr>
          <w:p w14:paraId="5AE04929" w14:textId="77777777" w:rsidR="00AE5FDA" w:rsidRPr="00AE5FDA" w:rsidRDefault="00AE5FDA" w:rsidP="00AE5FDA">
            <w:pPr>
              <w:rPr>
                <w:i/>
              </w:rPr>
            </w:pPr>
            <w:r w:rsidRPr="00AE5FDA">
              <w:rPr>
                <w:i/>
              </w:rPr>
              <w:t>Ae. triseriatus</w:t>
            </w:r>
          </w:p>
        </w:tc>
        <w:tc>
          <w:tcPr>
            <w:tcW w:w="661" w:type="dxa"/>
          </w:tcPr>
          <w:p w14:paraId="6963A2FA" w14:textId="77777777" w:rsidR="00AE5FDA" w:rsidRPr="00AE5FDA" w:rsidRDefault="00AE5FDA" w:rsidP="00AE5FDA">
            <w:r w:rsidRPr="00AE5FDA">
              <w:t>B</w:t>
            </w:r>
          </w:p>
        </w:tc>
        <w:tc>
          <w:tcPr>
            <w:tcW w:w="2939" w:type="dxa"/>
            <w:vAlign w:val="bottom"/>
          </w:tcPr>
          <w:p w14:paraId="2E703F0B" w14:textId="77777777" w:rsidR="00AE5FDA" w:rsidRPr="00AE5FDA" w:rsidRDefault="00AE5FDA" w:rsidP="00AE5FDA">
            <w:r w:rsidRPr="00AE5FDA">
              <w:t>4.30·10</w:t>
            </w:r>
            <w:r w:rsidRPr="00AE5FDA">
              <w:rPr>
                <w:vertAlign w:val="superscript"/>
              </w:rPr>
              <w:t>-5</w:t>
            </w:r>
            <w:r w:rsidRPr="00AE5FDA">
              <w:t xml:space="preserve"> (3.01–5.83·10</w:t>
            </w:r>
            <w:r w:rsidRPr="00AE5FDA">
              <w:rPr>
                <w:vertAlign w:val="superscript"/>
              </w:rPr>
              <w:t>-5</w:t>
            </w:r>
            <w:r w:rsidRPr="00AE5FDA">
              <w:t>)</w:t>
            </w:r>
          </w:p>
        </w:tc>
        <w:tc>
          <w:tcPr>
            <w:tcW w:w="1980" w:type="dxa"/>
            <w:vAlign w:val="bottom"/>
          </w:tcPr>
          <w:p w14:paraId="232F43E4" w14:textId="77777777" w:rsidR="00AE5FDA" w:rsidRPr="00AE5FDA" w:rsidRDefault="00AE5FDA" w:rsidP="00AE5FDA">
            <w:r w:rsidRPr="00AE5FDA">
              <w:t>0.8 (0–7.5)</w:t>
            </w:r>
          </w:p>
        </w:tc>
        <w:tc>
          <w:tcPr>
            <w:tcW w:w="2070" w:type="dxa"/>
            <w:vAlign w:val="bottom"/>
          </w:tcPr>
          <w:p w14:paraId="674C52D3" w14:textId="77777777" w:rsidR="00AE5FDA" w:rsidRPr="00AE5FDA" w:rsidRDefault="00AE5FDA" w:rsidP="00AE5FDA">
            <w:r w:rsidRPr="00AE5FDA">
              <w:t>36.5 (34.6–39.5)</w:t>
            </w:r>
          </w:p>
        </w:tc>
        <w:tc>
          <w:tcPr>
            <w:tcW w:w="1980" w:type="dxa"/>
            <w:tcBorders>
              <w:right w:val="single" w:sz="4" w:space="0" w:color="auto"/>
            </w:tcBorders>
            <w:vAlign w:val="bottom"/>
          </w:tcPr>
          <w:p w14:paraId="7612500D" w14:textId="77777777" w:rsidR="00AE5FDA" w:rsidRPr="00AE5FDA" w:rsidRDefault="00AE5FDA" w:rsidP="00AE5FDA">
            <w:r w:rsidRPr="00AE5FDA">
              <w:t>29.3 (27.8–31.9)</w:t>
            </w:r>
          </w:p>
        </w:tc>
      </w:tr>
      <w:tr w:rsidR="00AE5FDA" w:rsidRPr="00AE5FDA" w14:paraId="2F7E6F6F" w14:textId="77777777" w:rsidTr="00A93316">
        <w:tc>
          <w:tcPr>
            <w:tcW w:w="3235" w:type="dxa"/>
            <w:tcBorders>
              <w:left w:val="single" w:sz="4" w:space="0" w:color="auto"/>
            </w:tcBorders>
          </w:tcPr>
          <w:p w14:paraId="0F0CA617" w14:textId="77777777" w:rsidR="00AE5FDA" w:rsidRPr="00AE5FDA" w:rsidRDefault="00AE5FDA" w:rsidP="00AE5FDA">
            <w:pPr>
              <w:rPr>
                <w:i/>
              </w:rPr>
            </w:pPr>
            <w:r w:rsidRPr="00AE5FDA">
              <w:rPr>
                <w:i/>
              </w:rPr>
              <w:t>Ae. vexans</w:t>
            </w:r>
          </w:p>
        </w:tc>
        <w:tc>
          <w:tcPr>
            <w:tcW w:w="661" w:type="dxa"/>
          </w:tcPr>
          <w:p w14:paraId="734C8CA1" w14:textId="77777777" w:rsidR="00AE5FDA" w:rsidRPr="00AE5FDA" w:rsidRDefault="00AE5FDA" w:rsidP="00AE5FDA">
            <w:r w:rsidRPr="00AE5FDA">
              <w:t>B</w:t>
            </w:r>
          </w:p>
        </w:tc>
        <w:tc>
          <w:tcPr>
            <w:tcW w:w="2939" w:type="dxa"/>
            <w:vAlign w:val="bottom"/>
          </w:tcPr>
          <w:p w14:paraId="5ABBF93E" w14:textId="77777777" w:rsidR="00AE5FDA" w:rsidRPr="00AE5FDA" w:rsidRDefault="00AE5FDA" w:rsidP="00AE5FDA">
            <w:r w:rsidRPr="00AE5FDA">
              <w:t>4.33·10</w:t>
            </w:r>
            <w:r w:rsidRPr="00AE5FDA">
              <w:rPr>
                <w:vertAlign w:val="superscript"/>
              </w:rPr>
              <w:t>-5</w:t>
            </w:r>
            <w:r w:rsidRPr="00AE5FDA">
              <w:t xml:space="preserve"> (3.34–5.50·10</w:t>
            </w:r>
            <w:r w:rsidRPr="00AE5FDA">
              <w:rPr>
                <w:vertAlign w:val="superscript"/>
              </w:rPr>
              <w:t>-5</w:t>
            </w:r>
            <w:r w:rsidRPr="00AE5FDA">
              <w:t>)</w:t>
            </w:r>
          </w:p>
        </w:tc>
        <w:tc>
          <w:tcPr>
            <w:tcW w:w="1980" w:type="dxa"/>
            <w:vAlign w:val="bottom"/>
          </w:tcPr>
          <w:p w14:paraId="7855A9FE" w14:textId="77777777" w:rsidR="00AE5FDA" w:rsidRPr="00AE5FDA" w:rsidRDefault="00AE5FDA" w:rsidP="00AE5FDA">
            <w:r w:rsidRPr="00AE5FDA">
              <w:t>1.9 (0.1–10.5)</w:t>
            </w:r>
          </w:p>
        </w:tc>
        <w:tc>
          <w:tcPr>
            <w:tcW w:w="2070" w:type="dxa"/>
            <w:vAlign w:val="bottom"/>
          </w:tcPr>
          <w:p w14:paraId="096779C0" w14:textId="77777777" w:rsidR="00AE5FDA" w:rsidRPr="00AE5FDA" w:rsidRDefault="00AE5FDA" w:rsidP="00AE5FDA">
            <w:r w:rsidRPr="00AE5FDA">
              <w:t>38.2 (37.0–39.5)</w:t>
            </w:r>
          </w:p>
        </w:tc>
        <w:tc>
          <w:tcPr>
            <w:tcW w:w="1980" w:type="dxa"/>
            <w:tcBorders>
              <w:right w:val="single" w:sz="4" w:space="0" w:color="auto"/>
            </w:tcBorders>
            <w:vAlign w:val="bottom"/>
          </w:tcPr>
          <w:p w14:paraId="61B6739E" w14:textId="77777777" w:rsidR="00AE5FDA" w:rsidRPr="00AE5FDA" w:rsidRDefault="00AE5FDA" w:rsidP="00AE5FDA">
            <w:r w:rsidRPr="00AE5FDA">
              <w:t>30.9 (29.8–32.2)</w:t>
            </w:r>
          </w:p>
        </w:tc>
      </w:tr>
      <w:tr w:rsidR="00AE5FDA" w:rsidRPr="00AE5FDA" w14:paraId="5D9E7C20" w14:textId="77777777" w:rsidTr="00A93316">
        <w:tc>
          <w:tcPr>
            <w:tcW w:w="3235" w:type="dxa"/>
            <w:tcBorders>
              <w:left w:val="single" w:sz="4" w:space="0" w:color="auto"/>
            </w:tcBorders>
          </w:tcPr>
          <w:p w14:paraId="2085B28B" w14:textId="470DE4E5" w:rsidR="00AE5FDA" w:rsidRPr="00AE5FDA" w:rsidRDefault="00AE5FDA" w:rsidP="00AE5FDA">
            <w:pPr>
              <w:rPr>
                <w:b/>
              </w:rPr>
            </w:pPr>
            <w:r w:rsidRPr="00AE5FDA">
              <w:rPr>
                <w:i/>
              </w:rPr>
              <w:lastRenderedPageBreak/>
              <w:t>An</w:t>
            </w:r>
            <w:r w:rsidR="00E812A2">
              <w:rPr>
                <w:i/>
              </w:rPr>
              <w:t>. gambiae</w:t>
            </w:r>
          </w:p>
        </w:tc>
        <w:tc>
          <w:tcPr>
            <w:tcW w:w="661" w:type="dxa"/>
          </w:tcPr>
          <w:p w14:paraId="441F4155" w14:textId="77777777" w:rsidR="00AE5FDA" w:rsidRPr="00AE5FDA" w:rsidRDefault="00AE5FDA" w:rsidP="00AE5FDA">
            <w:r w:rsidRPr="00AE5FDA">
              <w:t>B</w:t>
            </w:r>
          </w:p>
        </w:tc>
        <w:tc>
          <w:tcPr>
            <w:tcW w:w="2939" w:type="dxa"/>
            <w:vAlign w:val="bottom"/>
          </w:tcPr>
          <w:p w14:paraId="7E1A349D" w14:textId="77777777" w:rsidR="00AE5FDA" w:rsidRPr="00AE5FDA" w:rsidRDefault="00AE5FDA" w:rsidP="00AE5FDA">
            <w:r w:rsidRPr="00AE5FDA">
              <w:t>9.52·10</w:t>
            </w:r>
            <w:r w:rsidRPr="00AE5FDA">
              <w:rPr>
                <w:vertAlign w:val="superscript"/>
              </w:rPr>
              <w:t>-5</w:t>
            </w:r>
            <w:r w:rsidRPr="00AE5FDA">
              <w:t xml:space="preserve"> (4.41–19.6·10</w:t>
            </w:r>
            <w:r w:rsidRPr="00AE5FDA">
              <w:rPr>
                <w:vertAlign w:val="superscript"/>
              </w:rPr>
              <w:t>-5</w:t>
            </w:r>
            <w:r w:rsidRPr="00AE5FDA">
              <w:t>)</w:t>
            </w:r>
          </w:p>
        </w:tc>
        <w:tc>
          <w:tcPr>
            <w:tcW w:w="1980" w:type="dxa"/>
            <w:vAlign w:val="bottom"/>
          </w:tcPr>
          <w:p w14:paraId="4E6169F7" w14:textId="77777777" w:rsidR="00AE5FDA" w:rsidRPr="00AE5FDA" w:rsidRDefault="00AE5FDA" w:rsidP="00AE5FDA">
            <w:r w:rsidRPr="00AE5FDA">
              <w:t>15.4 (10.0–19.9)</w:t>
            </w:r>
          </w:p>
        </w:tc>
        <w:tc>
          <w:tcPr>
            <w:tcW w:w="2070" w:type="dxa"/>
            <w:vAlign w:val="bottom"/>
          </w:tcPr>
          <w:p w14:paraId="0A2AF72F" w14:textId="77777777" w:rsidR="00AE5FDA" w:rsidRPr="00AE5FDA" w:rsidRDefault="00AE5FDA" w:rsidP="00AE5FDA">
            <w:r w:rsidRPr="00AE5FDA">
              <w:t>34.7 (33.0–38.3)</w:t>
            </w:r>
          </w:p>
        </w:tc>
        <w:tc>
          <w:tcPr>
            <w:tcW w:w="1980" w:type="dxa"/>
            <w:tcBorders>
              <w:right w:val="single" w:sz="4" w:space="0" w:color="auto"/>
            </w:tcBorders>
            <w:vAlign w:val="bottom"/>
          </w:tcPr>
          <w:p w14:paraId="2D59805F" w14:textId="77777777" w:rsidR="00AE5FDA" w:rsidRPr="00AE5FDA" w:rsidRDefault="00AE5FDA" w:rsidP="00AE5FDA">
            <w:r w:rsidRPr="00AE5FDA">
              <w:t>29.9 (28.4–32.7)</w:t>
            </w:r>
          </w:p>
        </w:tc>
      </w:tr>
      <w:tr w:rsidR="00AE5FDA" w:rsidRPr="00AE5FDA" w14:paraId="6FE9DDB3" w14:textId="77777777" w:rsidTr="00A93316">
        <w:tc>
          <w:tcPr>
            <w:tcW w:w="3235" w:type="dxa"/>
            <w:tcBorders>
              <w:left w:val="single" w:sz="4" w:space="0" w:color="auto"/>
            </w:tcBorders>
          </w:tcPr>
          <w:p w14:paraId="240CB9A2" w14:textId="77777777" w:rsidR="00AE5FDA" w:rsidRPr="00AE5FDA" w:rsidRDefault="00AE5FDA" w:rsidP="00AE5FDA">
            <w:pPr>
              <w:rPr>
                <w:b/>
              </w:rPr>
            </w:pPr>
            <w:r w:rsidRPr="00AE5FDA">
              <w:rPr>
                <w:i/>
              </w:rPr>
              <w:t>Cx. annulirostris</w:t>
            </w:r>
          </w:p>
        </w:tc>
        <w:tc>
          <w:tcPr>
            <w:tcW w:w="661" w:type="dxa"/>
          </w:tcPr>
          <w:p w14:paraId="173A45CF" w14:textId="77777777" w:rsidR="00AE5FDA" w:rsidRPr="00AE5FDA" w:rsidRDefault="00AE5FDA" w:rsidP="00AE5FDA">
            <w:r w:rsidRPr="00AE5FDA">
              <w:t>B</w:t>
            </w:r>
          </w:p>
        </w:tc>
        <w:tc>
          <w:tcPr>
            <w:tcW w:w="2939" w:type="dxa"/>
            <w:vAlign w:val="bottom"/>
          </w:tcPr>
          <w:p w14:paraId="3194D464" w14:textId="77777777" w:rsidR="00AE5FDA" w:rsidRPr="00AE5FDA" w:rsidRDefault="00AE5FDA" w:rsidP="00AE5FDA">
            <w:r w:rsidRPr="00AE5FDA">
              <w:t>6.82·10</w:t>
            </w:r>
            <w:r w:rsidRPr="00AE5FDA">
              <w:rPr>
                <w:vertAlign w:val="superscript"/>
              </w:rPr>
              <w:t>-5</w:t>
            </w:r>
            <w:r w:rsidRPr="00AE5FDA">
              <w:t xml:space="preserve"> (5.47–8.47·10</w:t>
            </w:r>
            <w:r w:rsidRPr="00AE5FDA">
              <w:rPr>
                <w:vertAlign w:val="superscript"/>
              </w:rPr>
              <w:t>-5</w:t>
            </w:r>
            <w:r w:rsidRPr="00AE5FDA">
              <w:t>)</w:t>
            </w:r>
          </w:p>
        </w:tc>
        <w:tc>
          <w:tcPr>
            <w:tcW w:w="1980" w:type="dxa"/>
            <w:vAlign w:val="bottom"/>
          </w:tcPr>
          <w:p w14:paraId="35A4D107" w14:textId="77777777" w:rsidR="00AE5FDA" w:rsidRPr="00AE5FDA" w:rsidRDefault="00AE5FDA" w:rsidP="00AE5FDA">
            <w:r w:rsidRPr="00AE5FDA">
              <w:t>11.1 (7.7–14.4)</w:t>
            </w:r>
          </w:p>
        </w:tc>
        <w:tc>
          <w:tcPr>
            <w:tcW w:w="2070" w:type="dxa"/>
            <w:vAlign w:val="bottom"/>
          </w:tcPr>
          <w:p w14:paraId="0EF3C513" w14:textId="77777777" w:rsidR="00AE5FDA" w:rsidRPr="00AE5FDA" w:rsidRDefault="00AE5FDA" w:rsidP="00AE5FDA">
            <w:r w:rsidRPr="00AE5FDA">
              <w:t>39.2 (37.9–40.1)</w:t>
            </w:r>
          </w:p>
        </w:tc>
        <w:tc>
          <w:tcPr>
            <w:tcW w:w="1980" w:type="dxa"/>
            <w:tcBorders>
              <w:right w:val="single" w:sz="4" w:space="0" w:color="auto"/>
            </w:tcBorders>
            <w:vAlign w:val="bottom"/>
          </w:tcPr>
          <w:p w14:paraId="38DC20FA" w14:textId="77777777" w:rsidR="00AE5FDA" w:rsidRPr="00AE5FDA" w:rsidRDefault="00AE5FDA" w:rsidP="00AE5FDA">
            <w:r w:rsidRPr="00AE5FDA">
              <w:t>32.8 (31.6–33.6)</w:t>
            </w:r>
          </w:p>
        </w:tc>
      </w:tr>
      <w:tr w:rsidR="00AE5FDA" w:rsidRPr="00AE5FDA" w14:paraId="3F6E4700" w14:textId="77777777" w:rsidTr="00A93316">
        <w:tc>
          <w:tcPr>
            <w:tcW w:w="3235" w:type="dxa"/>
            <w:tcBorders>
              <w:left w:val="single" w:sz="4" w:space="0" w:color="auto"/>
            </w:tcBorders>
          </w:tcPr>
          <w:p w14:paraId="79EB15C8" w14:textId="77777777" w:rsidR="00AE5FDA" w:rsidRPr="00AE5FDA" w:rsidRDefault="00AE5FDA" w:rsidP="00AE5FDA">
            <w:pPr>
              <w:rPr>
                <w:b/>
              </w:rPr>
            </w:pPr>
            <w:r w:rsidRPr="00AE5FDA">
              <w:rPr>
                <w:i/>
              </w:rPr>
              <w:t>Cx. pipiens</w:t>
            </w:r>
          </w:p>
        </w:tc>
        <w:tc>
          <w:tcPr>
            <w:tcW w:w="661" w:type="dxa"/>
          </w:tcPr>
          <w:p w14:paraId="4AAFA04D" w14:textId="77777777" w:rsidR="00AE5FDA" w:rsidRPr="00AE5FDA" w:rsidRDefault="00AE5FDA" w:rsidP="00AE5FDA">
            <w:r w:rsidRPr="00AE5FDA">
              <w:t>B</w:t>
            </w:r>
          </w:p>
        </w:tc>
        <w:tc>
          <w:tcPr>
            <w:tcW w:w="2939" w:type="dxa"/>
            <w:vAlign w:val="bottom"/>
          </w:tcPr>
          <w:p w14:paraId="4EA5938C" w14:textId="77777777" w:rsidR="00AE5FDA" w:rsidRPr="00AE5FDA" w:rsidRDefault="00AE5FDA" w:rsidP="00AE5FDA">
            <w:r w:rsidRPr="00AE5FDA">
              <w:t>3.76·10</w:t>
            </w:r>
            <w:r w:rsidRPr="00AE5FDA">
              <w:rPr>
                <w:vertAlign w:val="superscript"/>
              </w:rPr>
              <w:t>-5</w:t>
            </w:r>
            <w:r w:rsidRPr="00AE5FDA">
              <w:t xml:space="preserve"> (3.36–4.47·10</w:t>
            </w:r>
            <w:r w:rsidRPr="00AE5FDA">
              <w:rPr>
                <w:vertAlign w:val="superscript"/>
              </w:rPr>
              <w:t>-5</w:t>
            </w:r>
            <w:r w:rsidRPr="00AE5FDA">
              <w:t>)</w:t>
            </w:r>
          </w:p>
        </w:tc>
        <w:tc>
          <w:tcPr>
            <w:tcW w:w="1980" w:type="dxa"/>
            <w:vAlign w:val="bottom"/>
          </w:tcPr>
          <w:p w14:paraId="411A3913" w14:textId="77777777" w:rsidR="00AE5FDA" w:rsidRPr="00AE5FDA" w:rsidRDefault="00AE5FDA" w:rsidP="00AE5FDA">
            <w:r w:rsidRPr="00AE5FDA">
              <w:t>0.1 (0–4.0)</w:t>
            </w:r>
          </w:p>
        </w:tc>
        <w:tc>
          <w:tcPr>
            <w:tcW w:w="2070" w:type="dxa"/>
            <w:vAlign w:val="bottom"/>
          </w:tcPr>
          <w:p w14:paraId="260C783A" w14:textId="77777777" w:rsidR="00AE5FDA" w:rsidRPr="00AE5FDA" w:rsidRDefault="00AE5FDA" w:rsidP="00AE5FDA">
            <w:r w:rsidRPr="00AE5FDA">
              <w:t>38.5 (37.6–39.8)</w:t>
            </w:r>
          </w:p>
        </w:tc>
        <w:tc>
          <w:tcPr>
            <w:tcW w:w="1980" w:type="dxa"/>
            <w:tcBorders>
              <w:right w:val="single" w:sz="4" w:space="0" w:color="auto"/>
            </w:tcBorders>
            <w:vAlign w:val="bottom"/>
          </w:tcPr>
          <w:p w14:paraId="476D193E" w14:textId="77777777" w:rsidR="00AE5FDA" w:rsidRPr="00AE5FDA" w:rsidRDefault="00AE5FDA" w:rsidP="00AE5FDA">
            <w:r w:rsidRPr="00AE5FDA">
              <w:t>30.9 (30.2–31.9)</w:t>
            </w:r>
          </w:p>
        </w:tc>
      </w:tr>
      <w:tr w:rsidR="00AE5FDA" w:rsidRPr="00AE5FDA" w14:paraId="0253850B" w14:textId="77777777" w:rsidTr="00A93316">
        <w:tc>
          <w:tcPr>
            <w:tcW w:w="3235" w:type="dxa"/>
            <w:tcBorders>
              <w:left w:val="single" w:sz="4" w:space="0" w:color="auto"/>
            </w:tcBorders>
          </w:tcPr>
          <w:p w14:paraId="04A69EEC" w14:textId="77777777" w:rsidR="00AE5FDA" w:rsidRPr="00AE5FDA" w:rsidRDefault="00AE5FDA" w:rsidP="00AE5FDA">
            <w:pPr>
              <w:rPr>
                <w:b/>
              </w:rPr>
            </w:pPr>
            <w:r w:rsidRPr="00AE5FDA">
              <w:rPr>
                <w:i/>
              </w:rPr>
              <w:t>Cx. quinquefasciatus</w:t>
            </w:r>
          </w:p>
        </w:tc>
        <w:tc>
          <w:tcPr>
            <w:tcW w:w="661" w:type="dxa"/>
          </w:tcPr>
          <w:p w14:paraId="072B87FF" w14:textId="77777777" w:rsidR="00AE5FDA" w:rsidRPr="00AE5FDA" w:rsidRDefault="00AE5FDA" w:rsidP="00AE5FDA">
            <w:r w:rsidRPr="00AE5FDA">
              <w:t>B</w:t>
            </w:r>
          </w:p>
        </w:tc>
        <w:tc>
          <w:tcPr>
            <w:tcW w:w="2939" w:type="dxa"/>
            <w:vAlign w:val="bottom"/>
          </w:tcPr>
          <w:p w14:paraId="2C0D0752" w14:textId="77777777" w:rsidR="00AE5FDA" w:rsidRPr="00AE5FDA" w:rsidRDefault="00AE5FDA" w:rsidP="00AE5FDA">
            <w:r w:rsidRPr="00AE5FDA">
              <w:t>4.14·10</w:t>
            </w:r>
            <w:r w:rsidRPr="00AE5FDA">
              <w:rPr>
                <w:vertAlign w:val="superscript"/>
              </w:rPr>
              <w:t>-5</w:t>
            </w:r>
            <w:r w:rsidRPr="00AE5FDA">
              <w:t xml:space="preserve"> (3.46–5.26·10</w:t>
            </w:r>
            <w:r w:rsidRPr="00AE5FDA">
              <w:rPr>
                <w:vertAlign w:val="superscript"/>
              </w:rPr>
              <w:t>-5</w:t>
            </w:r>
            <w:r w:rsidRPr="00AE5FDA">
              <w:t>)</w:t>
            </w:r>
          </w:p>
        </w:tc>
        <w:tc>
          <w:tcPr>
            <w:tcW w:w="1980" w:type="dxa"/>
            <w:vAlign w:val="bottom"/>
          </w:tcPr>
          <w:p w14:paraId="0ADEABC9" w14:textId="77777777" w:rsidR="00AE5FDA" w:rsidRPr="00AE5FDA" w:rsidRDefault="00AE5FDA" w:rsidP="00AE5FDA">
            <w:r w:rsidRPr="00AE5FDA">
              <w:t>0.1 (0–5.5)</w:t>
            </w:r>
          </w:p>
        </w:tc>
        <w:tc>
          <w:tcPr>
            <w:tcW w:w="2070" w:type="dxa"/>
            <w:vAlign w:val="bottom"/>
          </w:tcPr>
          <w:p w14:paraId="1B70ED14" w14:textId="77777777" w:rsidR="00AE5FDA" w:rsidRPr="00AE5FDA" w:rsidRDefault="00AE5FDA" w:rsidP="00AE5FDA">
            <w:r w:rsidRPr="00AE5FDA">
              <w:t>38.6 (37.4–40.6)</w:t>
            </w:r>
          </w:p>
        </w:tc>
        <w:tc>
          <w:tcPr>
            <w:tcW w:w="1980" w:type="dxa"/>
            <w:tcBorders>
              <w:right w:val="single" w:sz="4" w:space="0" w:color="auto"/>
            </w:tcBorders>
            <w:vAlign w:val="bottom"/>
          </w:tcPr>
          <w:p w14:paraId="5643CE70" w14:textId="77777777" w:rsidR="00AE5FDA" w:rsidRPr="00AE5FDA" w:rsidRDefault="00AE5FDA" w:rsidP="00AE5FDA">
            <w:r w:rsidRPr="00AE5FDA">
              <w:t>31.0 (30.0–32.6)</w:t>
            </w:r>
          </w:p>
        </w:tc>
      </w:tr>
      <w:tr w:rsidR="00AE5FDA" w:rsidRPr="00AE5FDA" w14:paraId="1996CDFF" w14:textId="77777777" w:rsidTr="00A93316">
        <w:tc>
          <w:tcPr>
            <w:tcW w:w="3235" w:type="dxa"/>
            <w:tcBorders>
              <w:left w:val="single" w:sz="4" w:space="0" w:color="auto"/>
            </w:tcBorders>
          </w:tcPr>
          <w:p w14:paraId="5923AF1E" w14:textId="77777777" w:rsidR="00AE5FDA" w:rsidRPr="00AE5FDA" w:rsidRDefault="00AE5FDA" w:rsidP="00AE5FDA">
            <w:pPr>
              <w:rPr>
                <w:b/>
              </w:rPr>
            </w:pPr>
            <w:r w:rsidRPr="00AE5FDA">
              <w:rPr>
                <w:i/>
              </w:rPr>
              <w:t>Cx. tarsalis</w:t>
            </w:r>
          </w:p>
        </w:tc>
        <w:tc>
          <w:tcPr>
            <w:tcW w:w="661" w:type="dxa"/>
          </w:tcPr>
          <w:p w14:paraId="4901ED9D" w14:textId="77777777" w:rsidR="00AE5FDA" w:rsidRPr="00AE5FDA" w:rsidRDefault="00AE5FDA" w:rsidP="00AE5FDA">
            <w:r w:rsidRPr="00AE5FDA">
              <w:t>B</w:t>
            </w:r>
          </w:p>
        </w:tc>
        <w:tc>
          <w:tcPr>
            <w:tcW w:w="2939" w:type="dxa"/>
            <w:vAlign w:val="bottom"/>
          </w:tcPr>
          <w:p w14:paraId="6A057719" w14:textId="77777777" w:rsidR="00AE5FDA" w:rsidRPr="00AE5FDA" w:rsidRDefault="00AE5FDA" w:rsidP="00AE5FDA">
            <w:r w:rsidRPr="00AE5FDA">
              <w:t>4.12·10</w:t>
            </w:r>
            <w:r w:rsidRPr="00AE5FDA">
              <w:rPr>
                <w:vertAlign w:val="superscript"/>
              </w:rPr>
              <w:t>-5</w:t>
            </w:r>
            <w:r w:rsidRPr="00AE5FDA">
              <w:t xml:space="preserve"> (3.15–5.47·10</w:t>
            </w:r>
            <w:r w:rsidRPr="00AE5FDA">
              <w:rPr>
                <w:vertAlign w:val="superscript"/>
              </w:rPr>
              <w:t>-5</w:t>
            </w:r>
            <w:r w:rsidRPr="00AE5FDA">
              <w:t>)</w:t>
            </w:r>
          </w:p>
        </w:tc>
        <w:tc>
          <w:tcPr>
            <w:tcW w:w="1980" w:type="dxa"/>
            <w:vAlign w:val="bottom"/>
          </w:tcPr>
          <w:p w14:paraId="6EB6FCD4" w14:textId="77777777" w:rsidR="00AE5FDA" w:rsidRPr="00AE5FDA" w:rsidRDefault="00AE5FDA" w:rsidP="00AE5FDA">
            <w:r w:rsidRPr="00AE5FDA">
              <w:t>4.3 (0–8.4)</w:t>
            </w:r>
          </w:p>
        </w:tc>
        <w:tc>
          <w:tcPr>
            <w:tcW w:w="2070" w:type="dxa"/>
            <w:vAlign w:val="bottom"/>
          </w:tcPr>
          <w:p w14:paraId="7D0E4FCA" w14:textId="77777777" w:rsidR="00AE5FDA" w:rsidRPr="00AE5FDA" w:rsidRDefault="00AE5FDA" w:rsidP="00AE5FDA">
            <w:r w:rsidRPr="00AE5FDA">
              <w:t>39.9 (37.9–42.2)</w:t>
            </w:r>
          </w:p>
        </w:tc>
        <w:tc>
          <w:tcPr>
            <w:tcW w:w="1980" w:type="dxa"/>
            <w:tcBorders>
              <w:right w:val="single" w:sz="4" w:space="0" w:color="auto"/>
            </w:tcBorders>
            <w:vAlign w:val="bottom"/>
          </w:tcPr>
          <w:p w14:paraId="29180579" w14:textId="77777777" w:rsidR="00AE5FDA" w:rsidRPr="00AE5FDA" w:rsidRDefault="00AE5FDA" w:rsidP="00AE5FDA">
            <w:r w:rsidRPr="00AE5FDA">
              <w:t>32.3 (31.0–34.0)</w:t>
            </w:r>
          </w:p>
        </w:tc>
      </w:tr>
      <w:tr w:rsidR="00AE5FDA" w:rsidRPr="00AE5FDA" w14:paraId="3F7CBCE9" w14:textId="77777777" w:rsidTr="00A93316">
        <w:tc>
          <w:tcPr>
            <w:tcW w:w="3235" w:type="dxa"/>
            <w:tcBorders>
              <w:left w:val="single" w:sz="4" w:space="0" w:color="auto"/>
            </w:tcBorders>
          </w:tcPr>
          <w:p w14:paraId="49697DB6" w14:textId="77777777" w:rsidR="00AE5FDA" w:rsidRPr="00AE5FDA" w:rsidRDefault="00AE5FDA" w:rsidP="00AE5FDA">
            <w:pPr>
              <w:rPr>
                <w:i/>
              </w:rPr>
            </w:pPr>
            <w:r w:rsidRPr="00AE5FDA">
              <w:rPr>
                <w:i/>
              </w:rPr>
              <w:t>Cs. melanura</w:t>
            </w:r>
          </w:p>
        </w:tc>
        <w:tc>
          <w:tcPr>
            <w:tcW w:w="661" w:type="dxa"/>
          </w:tcPr>
          <w:p w14:paraId="6F08934B" w14:textId="77777777" w:rsidR="00AE5FDA" w:rsidRPr="00AE5FDA" w:rsidRDefault="00AE5FDA" w:rsidP="00AE5FDA">
            <w:r w:rsidRPr="00AE5FDA">
              <w:t>B</w:t>
            </w:r>
          </w:p>
        </w:tc>
        <w:tc>
          <w:tcPr>
            <w:tcW w:w="2939" w:type="dxa"/>
            <w:vAlign w:val="bottom"/>
          </w:tcPr>
          <w:p w14:paraId="37079ED4" w14:textId="77777777" w:rsidR="00AE5FDA" w:rsidRPr="00AE5FDA" w:rsidRDefault="00AE5FDA" w:rsidP="00AE5FDA">
            <w:r w:rsidRPr="00AE5FDA">
              <w:t>2.74·10</w:t>
            </w:r>
            <w:r w:rsidRPr="00AE5FDA">
              <w:rPr>
                <w:vertAlign w:val="superscript"/>
              </w:rPr>
              <w:t>-5</w:t>
            </w:r>
            <w:r w:rsidRPr="00AE5FDA">
              <w:t xml:space="preserve"> (1.64–4.72·10</w:t>
            </w:r>
            <w:r w:rsidRPr="00AE5FDA">
              <w:rPr>
                <w:vertAlign w:val="superscript"/>
              </w:rPr>
              <w:t>-5</w:t>
            </w:r>
            <w:r w:rsidRPr="00AE5FDA">
              <w:t>)</w:t>
            </w:r>
          </w:p>
        </w:tc>
        <w:tc>
          <w:tcPr>
            <w:tcW w:w="1980" w:type="dxa"/>
            <w:vAlign w:val="bottom"/>
          </w:tcPr>
          <w:p w14:paraId="3A650B26" w14:textId="77777777" w:rsidR="00AE5FDA" w:rsidRPr="00AE5FDA" w:rsidRDefault="00AE5FDA" w:rsidP="00AE5FDA">
            <w:r w:rsidRPr="00AE5FDA">
              <w:t>8.6 (0–16.8)</w:t>
            </w:r>
          </w:p>
        </w:tc>
        <w:tc>
          <w:tcPr>
            <w:tcW w:w="2070" w:type="dxa"/>
            <w:vAlign w:val="bottom"/>
          </w:tcPr>
          <w:p w14:paraId="51698C5E" w14:textId="77777777" w:rsidR="00AE5FDA" w:rsidRPr="00AE5FDA" w:rsidRDefault="00AE5FDA" w:rsidP="00AE5FDA">
            <w:r w:rsidRPr="00AE5FDA">
              <w:t>37.6 (35.1–40.4)</w:t>
            </w:r>
          </w:p>
        </w:tc>
        <w:tc>
          <w:tcPr>
            <w:tcW w:w="1980" w:type="dxa"/>
            <w:tcBorders>
              <w:right w:val="single" w:sz="4" w:space="0" w:color="auto"/>
            </w:tcBorders>
          </w:tcPr>
          <w:p w14:paraId="593ACAA3" w14:textId="77777777" w:rsidR="00AE5FDA" w:rsidRPr="00AE5FDA" w:rsidRDefault="00AE5FDA" w:rsidP="00AE5FDA">
            <w:r w:rsidRPr="00AE5FDA">
              <w:t>31.1 (28.7–33.7)</w:t>
            </w:r>
          </w:p>
        </w:tc>
      </w:tr>
      <w:tr w:rsidR="00AE5FDA" w:rsidRPr="00AE5FDA" w14:paraId="7F923E0B" w14:textId="77777777" w:rsidTr="00A93316">
        <w:tc>
          <w:tcPr>
            <w:tcW w:w="3235" w:type="dxa"/>
            <w:tcBorders>
              <w:left w:val="single" w:sz="4" w:space="0" w:color="auto"/>
            </w:tcBorders>
          </w:tcPr>
          <w:p w14:paraId="2F680D7D" w14:textId="77777777" w:rsidR="00AE5FDA" w:rsidRPr="00AE5FDA" w:rsidRDefault="00AE5FDA" w:rsidP="00AE5FDA">
            <w:pPr>
              <w:rPr>
                <w:i/>
              </w:rPr>
            </w:pPr>
            <w:r w:rsidRPr="00AE5FDA">
              <w:rPr>
                <w:b/>
              </w:rPr>
              <w:t>Immature survival</w:t>
            </w:r>
          </w:p>
        </w:tc>
        <w:tc>
          <w:tcPr>
            <w:tcW w:w="661" w:type="dxa"/>
          </w:tcPr>
          <w:p w14:paraId="45DA3BE4" w14:textId="77777777" w:rsidR="00AE5FDA" w:rsidRPr="00AE5FDA" w:rsidRDefault="00AE5FDA" w:rsidP="00AE5FDA"/>
        </w:tc>
        <w:tc>
          <w:tcPr>
            <w:tcW w:w="2939" w:type="dxa"/>
          </w:tcPr>
          <w:p w14:paraId="60387E9B" w14:textId="77777777" w:rsidR="00AE5FDA" w:rsidRPr="00AE5FDA" w:rsidRDefault="00AE5FDA" w:rsidP="00AE5FDA"/>
        </w:tc>
        <w:tc>
          <w:tcPr>
            <w:tcW w:w="1980" w:type="dxa"/>
          </w:tcPr>
          <w:p w14:paraId="725DE5E9" w14:textId="77777777" w:rsidR="00AE5FDA" w:rsidRPr="00AE5FDA" w:rsidRDefault="00AE5FDA" w:rsidP="00AE5FDA"/>
        </w:tc>
        <w:tc>
          <w:tcPr>
            <w:tcW w:w="2070" w:type="dxa"/>
          </w:tcPr>
          <w:p w14:paraId="174A012D" w14:textId="77777777" w:rsidR="00AE5FDA" w:rsidRPr="00AE5FDA" w:rsidRDefault="00AE5FDA" w:rsidP="00AE5FDA"/>
        </w:tc>
        <w:tc>
          <w:tcPr>
            <w:tcW w:w="1980" w:type="dxa"/>
            <w:tcBorders>
              <w:right w:val="single" w:sz="4" w:space="0" w:color="auto"/>
            </w:tcBorders>
          </w:tcPr>
          <w:p w14:paraId="0D1BD39F" w14:textId="77777777" w:rsidR="00AE5FDA" w:rsidRPr="00AE5FDA" w:rsidRDefault="00AE5FDA" w:rsidP="00AE5FDA"/>
        </w:tc>
      </w:tr>
      <w:tr w:rsidR="00AE5FDA" w:rsidRPr="00AE5FDA" w14:paraId="2BD4002D" w14:textId="77777777" w:rsidTr="00A93316">
        <w:tc>
          <w:tcPr>
            <w:tcW w:w="3235" w:type="dxa"/>
            <w:tcBorders>
              <w:left w:val="single" w:sz="4" w:space="0" w:color="auto"/>
            </w:tcBorders>
          </w:tcPr>
          <w:p w14:paraId="2863308C" w14:textId="77777777" w:rsidR="00AE5FDA" w:rsidRPr="00AE5FDA" w:rsidRDefault="00AE5FDA" w:rsidP="00AE5FDA">
            <w:pPr>
              <w:rPr>
                <w:b/>
              </w:rPr>
            </w:pPr>
            <w:r w:rsidRPr="00AE5FDA">
              <w:rPr>
                <w:i/>
              </w:rPr>
              <w:t xml:space="preserve">Ae. aegypti </w:t>
            </w:r>
            <w:r w:rsidRPr="00AE5FDA">
              <w:t>(</w:t>
            </w:r>
            <w:r w:rsidRPr="00AE5FDA">
              <w:rPr>
                <w:i/>
              </w:rPr>
              <w:t>p</w:t>
            </w:r>
            <w:r w:rsidRPr="00AE5FDA">
              <w:rPr>
                <w:i/>
                <w:vertAlign w:val="subscript"/>
              </w:rPr>
              <w:t>EA</w:t>
            </w:r>
            <w:r w:rsidRPr="00AE5FDA">
              <w:t>)</w:t>
            </w:r>
          </w:p>
        </w:tc>
        <w:tc>
          <w:tcPr>
            <w:tcW w:w="661" w:type="dxa"/>
          </w:tcPr>
          <w:p w14:paraId="004A2AC7" w14:textId="77777777" w:rsidR="00AE5FDA" w:rsidRPr="00AE5FDA" w:rsidRDefault="00AE5FDA" w:rsidP="00AE5FDA">
            <w:r w:rsidRPr="00AE5FDA">
              <w:t>Q</w:t>
            </w:r>
          </w:p>
        </w:tc>
        <w:tc>
          <w:tcPr>
            <w:tcW w:w="2939" w:type="dxa"/>
            <w:vAlign w:val="bottom"/>
          </w:tcPr>
          <w:p w14:paraId="3857C572" w14:textId="77777777" w:rsidR="00AE5FDA" w:rsidRPr="00AE5FDA" w:rsidRDefault="00AE5FDA" w:rsidP="00AE5FDA">
            <w:r w:rsidRPr="00AE5FDA">
              <w:t>5.99·10</w:t>
            </w:r>
            <w:r w:rsidRPr="00AE5FDA">
              <w:rPr>
                <w:vertAlign w:val="superscript"/>
              </w:rPr>
              <w:t>-3</w:t>
            </w:r>
            <w:r w:rsidRPr="00AE5FDA">
              <w:t xml:space="preserve"> (5.16–6.85·10</w:t>
            </w:r>
            <w:r w:rsidRPr="00AE5FDA">
              <w:rPr>
                <w:vertAlign w:val="superscript"/>
              </w:rPr>
              <w:t>-3</w:t>
            </w:r>
            <w:r w:rsidRPr="00AE5FDA">
              <w:t>)</w:t>
            </w:r>
          </w:p>
        </w:tc>
        <w:tc>
          <w:tcPr>
            <w:tcW w:w="1980" w:type="dxa"/>
            <w:vAlign w:val="bottom"/>
          </w:tcPr>
          <w:p w14:paraId="1A3E8640" w14:textId="77777777" w:rsidR="00AE5FDA" w:rsidRPr="00AE5FDA" w:rsidRDefault="00AE5FDA" w:rsidP="00AE5FDA">
            <w:r w:rsidRPr="00AE5FDA">
              <w:t>13.6 (12.5–14.5)</w:t>
            </w:r>
          </w:p>
        </w:tc>
        <w:tc>
          <w:tcPr>
            <w:tcW w:w="2070" w:type="dxa"/>
            <w:vAlign w:val="bottom"/>
          </w:tcPr>
          <w:p w14:paraId="6BB11353" w14:textId="77777777" w:rsidR="00AE5FDA" w:rsidRPr="00AE5FDA" w:rsidRDefault="00AE5FDA" w:rsidP="00AE5FDA">
            <w:r w:rsidRPr="00AE5FDA">
              <w:t>38.3 (37.6–39.0)</w:t>
            </w:r>
          </w:p>
        </w:tc>
        <w:tc>
          <w:tcPr>
            <w:tcW w:w="1980" w:type="dxa"/>
            <w:tcBorders>
              <w:right w:val="single" w:sz="4" w:space="0" w:color="auto"/>
            </w:tcBorders>
            <w:vAlign w:val="bottom"/>
          </w:tcPr>
          <w:p w14:paraId="033F3B56" w14:textId="77777777" w:rsidR="00AE5FDA" w:rsidRPr="00AE5FDA" w:rsidRDefault="00AE5FDA" w:rsidP="00AE5FDA">
            <w:r w:rsidRPr="00AE5FDA">
              <w:t>25.9 (25.4–26.4)</w:t>
            </w:r>
          </w:p>
        </w:tc>
      </w:tr>
      <w:tr w:rsidR="00AE5FDA" w:rsidRPr="00AE5FDA" w14:paraId="61745C34" w14:textId="77777777" w:rsidTr="00A93316">
        <w:tc>
          <w:tcPr>
            <w:tcW w:w="3235" w:type="dxa"/>
            <w:tcBorders>
              <w:left w:val="single" w:sz="4" w:space="0" w:color="auto"/>
            </w:tcBorders>
          </w:tcPr>
          <w:p w14:paraId="7F177F16" w14:textId="77777777" w:rsidR="00AE5FDA" w:rsidRPr="00AE5FDA" w:rsidRDefault="00AE5FDA" w:rsidP="00AE5FDA">
            <w:pPr>
              <w:rPr>
                <w:b/>
              </w:rPr>
            </w:pPr>
            <w:r w:rsidRPr="00AE5FDA">
              <w:rPr>
                <w:i/>
              </w:rPr>
              <w:t xml:space="preserve">Ae. albopictus </w:t>
            </w:r>
            <w:r w:rsidRPr="00AE5FDA">
              <w:t>(</w:t>
            </w:r>
            <w:r w:rsidRPr="00AE5FDA">
              <w:rPr>
                <w:i/>
              </w:rPr>
              <w:t>p</w:t>
            </w:r>
            <w:r w:rsidRPr="00AE5FDA">
              <w:rPr>
                <w:i/>
                <w:vertAlign w:val="subscript"/>
              </w:rPr>
              <w:t>EA</w:t>
            </w:r>
            <w:r w:rsidRPr="00AE5FDA">
              <w:t>)</w:t>
            </w:r>
          </w:p>
        </w:tc>
        <w:tc>
          <w:tcPr>
            <w:tcW w:w="661" w:type="dxa"/>
          </w:tcPr>
          <w:p w14:paraId="43735D70" w14:textId="77777777" w:rsidR="00AE5FDA" w:rsidRPr="00AE5FDA" w:rsidRDefault="00AE5FDA" w:rsidP="00AE5FDA">
            <w:r w:rsidRPr="00AE5FDA">
              <w:t>Q</w:t>
            </w:r>
          </w:p>
        </w:tc>
        <w:tc>
          <w:tcPr>
            <w:tcW w:w="2939" w:type="dxa"/>
            <w:vAlign w:val="bottom"/>
          </w:tcPr>
          <w:p w14:paraId="3BD461A3" w14:textId="77777777" w:rsidR="00AE5FDA" w:rsidRPr="00AE5FDA" w:rsidRDefault="00AE5FDA" w:rsidP="00AE5FDA">
            <w:r w:rsidRPr="00AE5FDA">
              <w:t>3.56·10</w:t>
            </w:r>
            <w:r w:rsidRPr="00AE5FDA">
              <w:rPr>
                <w:vertAlign w:val="superscript"/>
              </w:rPr>
              <w:t>-3</w:t>
            </w:r>
            <w:r w:rsidRPr="00AE5FDA">
              <w:t xml:space="preserve"> (2.65–4.84·10</w:t>
            </w:r>
            <w:r w:rsidRPr="00AE5FDA">
              <w:rPr>
                <w:vertAlign w:val="superscript"/>
              </w:rPr>
              <w:t>-3</w:t>
            </w:r>
            <w:r w:rsidRPr="00AE5FDA">
              <w:t>)</w:t>
            </w:r>
          </w:p>
        </w:tc>
        <w:tc>
          <w:tcPr>
            <w:tcW w:w="1980" w:type="dxa"/>
            <w:vAlign w:val="bottom"/>
          </w:tcPr>
          <w:p w14:paraId="5DB27CC9" w14:textId="77777777" w:rsidR="00AE5FDA" w:rsidRPr="00AE5FDA" w:rsidRDefault="00AE5FDA" w:rsidP="00AE5FDA">
            <w:r w:rsidRPr="00AE5FDA">
              <w:t>9.1 (6.3–11.6)</w:t>
            </w:r>
          </w:p>
        </w:tc>
        <w:tc>
          <w:tcPr>
            <w:tcW w:w="2070" w:type="dxa"/>
            <w:vAlign w:val="bottom"/>
          </w:tcPr>
          <w:p w14:paraId="236A0B4E" w14:textId="77777777" w:rsidR="00AE5FDA" w:rsidRPr="00AE5FDA" w:rsidRDefault="00AE5FDA" w:rsidP="00AE5FDA">
            <w:r w:rsidRPr="00AE5FDA">
              <w:t>39.3 (37.2–41.6)</w:t>
            </w:r>
          </w:p>
        </w:tc>
        <w:tc>
          <w:tcPr>
            <w:tcW w:w="1980" w:type="dxa"/>
            <w:tcBorders>
              <w:right w:val="single" w:sz="4" w:space="0" w:color="auto"/>
            </w:tcBorders>
            <w:vAlign w:val="bottom"/>
          </w:tcPr>
          <w:p w14:paraId="36407279" w14:textId="77777777" w:rsidR="00AE5FDA" w:rsidRPr="00AE5FDA" w:rsidRDefault="00AE5FDA" w:rsidP="00AE5FDA">
            <w:r w:rsidRPr="00AE5FDA">
              <w:t>24.2 (22.6–25.7)</w:t>
            </w:r>
          </w:p>
        </w:tc>
      </w:tr>
      <w:tr w:rsidR="00AE5FDA" w:rsidRPr="00AE5FDA" w14:paraId="3C594EBF" w14:textId="77777777" w:rsidTr="00A93316">
        <w:tc>
          <w:tcPr>
            <w:tcW w:w="3235" w:type="dxa"/>
            <w:tcBorders>
              <w:left w:val="single" w:sz="4" w:space="0" w:color="auto"/>
            </w:tcBorders>
          </w:tcPr>
          <w:p w14:paraId="48022556" w14:textId="77777777" w:rsidR="00AE5FDA" w:rsidRPr="00AE5FDA" w:rsidRDefault="00AE5FDA" w:rsidP="00AE5FDA">
            <w:pPr>
              <w:rPr>
                <w:i/>
              </w:rPr>
            </w:pPr>
            <w:r w:rsidRPr="00AE5FDA">
              <w:rPr>
                <w:i/>
              </w:rPr>
              <w:t xml:space="preserve">Ae. camptorhynchus </w:t>
            </w:r>
            <w:r w:rsidRPr="00AE5FDA">
              <w:t>(</w:t>
            </w:r>
            <w:r w:rsidRPr="00AE5FDA">
              <w:rPr>
                <w:i/>
              </w:rPr>
              <w:t>p</w:t>
            </w:r>
            <w:r w:rsidRPr="00AE5FDA">
              <w:rPr>
                <w:i/>
                <w:vertAlign w:val="subscript"/>
              </w:rPr>
              <w:t>LA</w:t>
            </w:r>
            <w:r w:rsidRPr="00AE5FDA">
              <w:t>)</w:t>
            </w:r>
          </w:p>
        </w:tc>
        <w:tc>
          <w:tcPr>
            <w:tcW w:w="661" w:type="dxa"/>
          </w:tcPr>
          <w:p w14:paraId="155F240B" w14:textId="77777777" w:rsidR="00AE5FDA" w:rsidRPr="00AE5FDA" w:rsidRDefault="00AE5FDA" w:rsidP="00AE5FDA">
            <w:r w:rsidRPr="00AE5FDA">
              <w:t>Q</w:t>
            </w:r>
          </w:p>
        </w:tc>
        <w:tc>
          <w:tcPr>
            <w:tcW w:w="2939" w:type="dxa"/>
            <w:vAlign w:val="bottom"/>
          </w:tcPr>
          <w:p w14:paraId="7DF67EA1" w14:textId="77777777" w:rsidR="00AE5FDA" w:rsidRPr="00AE5FDA" w:rsidRDefault="00AE5FDA" w:rsidP="00AE5FDA">
            <w:r w:rsidRPr="00AE5FDA">
              <w:t>2.88·10</w:t>
            </w:r>
            <w:r w:rsidRPr="00AE5FDA">
              <w:rPr>
                <w:vertAlign w:val="superscript"/>
              </w:rPr>
              <w:t>-3</w:t>
            </w:r>
            <w:r w:rsidRPr="00AE5FDA">
              <w:t xml:space="preserve"> (1.99–4.83·10</w:t>
            </w:r>
            <w:r w:rsidRPr="00AE5FDA">
              <w:rPr>
                <w:vertAlign w:val="superscript"/>
              </w:rPr>
              <w:t>-3</w:t>
            </w:r>
            <w:r w:rsidRPr="00AE5FDA">
              <w:t>)</w:t>
            </w:r>
          </w:p>
        </w:tc>
        <w:tc>
          <w:tcPr>
            <w:tcW w:w="1980" w:type="dxa"/>
            <w:vAlign w:val="bottom"/>
          </w:tcPr>
          <w:p w14:paraId="7464CF03" w14:textId="77777777" w:rsidR="00AE5FDA" w:rsidRPr="00AE5FDA" w:rsidRDefault="00AE5FDA" w:rsidP="00AE5FDA">
            <w:r w:rsidRPr="00AE5FDA">
              <w:t>5.3 (1.9–10.1)</w:t>
            </w:r>
          </w:p>
        </w:tc>
        <w:tc>
          <w:tcPr>
            <w:tcW w:w="2070" w:type="dxa"/>
            <w:vAlign w:val="bottom"/>
          </w:tcPr>
          <w:p w14:paraId="5A668EEA" w14:textId="77777777" w:rsidR="00AE5FDA" w:rsidRPr="00AE5FDA" w:rsidRDefault="00AE5FDA" w:rsidP="00AE5FDA">
            <w:r w:rsidRPr="00AE5FDA">
              <w:t>38.6 (35.7–42.3)</w:t>
            </w:r>
          </w:p>
        </w:tc>
        <w:tc>
          <w:tcPr>
            <w:tcW w:w="1980" w:type="dxa"/>
            <w:tcBorders>
              <w:right w:val="single" w:sz="4" w:space="0" w:color="auto"/>
            </w:tcBorders>
            <w:vAlign w:val="bottom"/>
          </w:tcPr>
          <w:p w14:paraId="2B858558" w14:textId="77777777" w:rsidR="00AE5FDA" w:rsidRPr="00AE5FDA" w:rsidRDefault="00AE5FDA" w:rsidP="00AE5FDA">
            <w:r w:rsidRPr="00AE5FDA">
              <w:t>22.0 (20.2–24.6)</w:t>
            </w:r>
          </w:p>
        </w:tc>
      </w:tr>
      <w:tr w:rsidR="00AE5FDA" w:rsidRPr="00AE5FDA" w14:paraId="39EEC0C4" w14:textId="77777777" w:rsidTr="00A93316">
        <w:tc>
          <w:tcPr>
            <w:tcW w:w="3235" w:type="dxa"/>
            <w:tcBorders>
              <w:left w:val="single" w:sz="4" w:space="0" w:color="auto"/>
            </w:tcBorders>
          </w:tcPr>
          <w:p w14:paraId="492EBDB1" w14:textId="77777777" w:rsidR="00AE5FDA" w:rsidRPr="00AE5FDA" w:rsidRDefault="00AE5FDA" w:rsidP="00AE5FDA">
            <w:pPr>
              <w:rPr>
                <w:i/>
              </w:rPr>
            </w:pPr>
            <w:r w:rsidRPr="00AE5FDA">
              <w:rPr>
                <w:i/>
              </w:rPr>
              <w:t xml:space="preserve">Ae. notoscriptus </w:t>
            </w:r>
            <w:r w:rsidRPr="00AE5FDA">
              <w:t>(</w:t>
            </w:r>
            <w:r w:rsidRPr="00AE5FDA">
              <w:rPr>
                <w:i/>
              </w:rPr>
              <w:t>p</w:t>
            </w:r>
            <w:r w:rsidRPr="00AE5FDA">
              <w:rPr>
                <w:i/>
                <w:vertAlign w:val="subscript"/>
              </w:rPr>
              <w:t>LA</w:t>
            </w:r>
            <w:r w:rsidRPr="00AE5FDA">
              <w:t>)</w:t>
            </w:r>
          </w:p>
        </w:tc>
        <w:tc>
          <w:tcPr>
            <w:tcW w:w="661" w:type="dxa"/>
          </w:tcPr>
          <w:p w14:paraId="21301402" w14:textId="77777777" w:rsidR="00AE5FDA" w:rsidRPr="00AE5FDA" w:rsidRDefault="00AE5FDA" w:rsidP="00AE5FDA">
            <w:r w:rsidRPr="00AE5FDA">
              <w:t>Q</w:t>
            </w:r>
          </w:p>
        </w:tc>
        <w:tc>
          <w:tcPr>
            <w:tcW w:w="2939" w:type="dxa"/>
            <w:vAlign w:val="bottom"/>
          </w:tcPr>
          <w:p w14:paraId="4C7C48FF" w14:textId="77777777" w:rsidR="00AE5FDA" w:rsidRPr="00AE5FDA" w:rsidRDefault="00AE5FDA" w:rsidP="00AE5FDA">
            <w:r w:rsidRPr="00AE5FDA">
              <w:t>5.68·10</w:t>
            </w:r>
            <w:r w:rsidRPr="00AE5FDA">
              <w:rPr>
                <w:vertAlign w:val="superscript"/>
              </w:rPr>
              <w:t>-3</w:t>
            </w:r>
            <w:r w:rsidRPr="00AE5FDA">
              <w:t xml:space="preserve"> (4.37–7.32·10</w:t>
            </w:r>
            <w:r w:rsidRPr="00AE5FDA">
              <w:rPr>
                <w:vertAlign w:val="superscript"/>
              </w:rPr>
              <w:t>-3</w:t>
            </w:r>
            <w:r w:rsidRPr="00AE5FDA">
              <w:t>)</w:t>
            </w:r>
          </w:p>
        </w:tc>
        <w:tc>
          <w:tcPr>
            <w:tcW w:w="1980" w:type="dxa"/>
            <w:vAlign w:val="bottom"/>
          </w:tcPr>
          <w:p w14:paraId="57094849" w14:textId="77777777" w:rsidR="00AE5FDA" w:rsidRPr="00AE5FDA" w:rsidRDefault="00AE5FDA" w:rsidP="00AE5FDA">
            <w:r w:rsidRPr="00AE5FDA">
              <w:t>9.1 (7.1–11.0)</w:t>
            </w:r>
          </w:p>
        </w:tc>
        <w:tc>
          <w:tcPr>
            <w:tcW w:w="2070" w:type="dxa"/>
            <w:vAlign w:val="bottom"/>
          </w:tcPr>
          <w:p w14:paraId="1A26F6B5" w14:textId="77777777" w:rsidR="00AE5FDA" w:rsidRPr="00AE5FDA" w:rsidRDefault="00AE5FDA" w:rsidP="00AE5FDA">
            <w:r w:rsidRPr="00AE5FDA">
              <w:t>36.2 (34.7–37.9)</w:t>
            </w:r>
          </w:p>
        </w:tc>
        <w:tc>
          <w:tcPr>
            <w:tcW w:w="1980" w:type="dxa"/>
            <w:tcBorders>
              <w:right w:val="single" w:sz="4" w:space="0" w:color="auto"/>
            </w:tcBorders>
            <w:vAlign w:val="bottom"/>
          </w:tcPr>
          <w:p w14:paraId="63D33D97" w14:textId="77777777" w:rsidR="00AE5FDA" w:rsidRPr="00AE5FDA" w:rsidRDefault="00AE5FDA" w:rsidP="00AE5FDA">
            <w:r w:rsidRPr="00AE5FDA">
              <w:t>20.0 (17.0–23.6)</w:t>
            </w:r>
          </w:p>
        </w:tc>
      </w:tr>
      <w:tr w:rsidR="00AE5FDA" w:rsidRPr="00AE5FDA" w14:paraId="5DCF5EFC" w14:textId="77777777" w:rsidTr="00A93316">
        <w:tc>
          <w:tcPr>
            <w:tcW w:w="3235" w:type="dxa"/>
            <w:tcBorders>
              <w:left w:val="single" w:sz="4" w:space="0" w:color="auto"/>
            </w:tcBorders>
          </w:tcPr>
          <w:p w14:paraId="17660329" w14:textId="77777777" w:rsidR="00AE5FDA" w:rsidRPr="00AE5FDA" w:rsidRDefault="00AE5FDA" w:rsidP="00AE5FDA">
            <w:pPr>
              <w:rPr>
                <w:i/>
              </w:rPr>
            </w:pPr>
            <w:r w:rsidRPr="00AE5FDA">
              <w:rPr>
                <w:i/>
              </w:rPr>
              <w:t xml:space="preserve">Ae. triseriatus </w:t>
            </w:r>
            <w:r w:rsidRPr="00AE5FDA">
              <w:t>(</w:t>
            </w:r>
            <w:r w:rsidRPr="00AE5FDA">
              <w:rPr>
                <w:i/>
              </w:rPr>
              <w:t>p</w:t>
            </w:r>
            <w:r w:rsidRPr="00AE5FDA">
              <w:rPr>
                <w:i/>
                <w:vertAlign w:val="subscript"/>
              </w:rPr>
              <w:t>LA</w:t>
            </w:r>
            <w:r w:rsidRPr="00AE5FDA">
              <w:t>)</w:t>
            </w:r>
          </w:p>
        </w:tc>
        <w:tc>
          <w:tcPr>
            <w:tcW w:w="661" w:type="dxa"/>
          </w:tcPr>
          <w:p w14:paraId="3F93FB36" w14:textId="77777777" w:rsidR="00AE5FDA" w:rsidRPr="00AE5FDA" w:rsidRDefault="00AE5FDA" w:rsidP="00AE5FDA">
            <w:r w:rsidRPr="00AE5FDA">
              <w:t>Q</w:t>
            </w:r>
          </w:p>
        </w:tc>
        <w:tc>
          <w:tcPr>
            <w:tcW w:w="2939" w:type="dxa"/>
            <w:vAlign w:val="bottom"/>
          </w:tcPr>
          <w:p w14:paraId="2B190CC0" w14:textId="77777777" w:rsidR="00AE5FDA" w:rsidRPr="00AE5FDA" w:rsidRDefault="00AE5FDA" w:rsidP="00AE5FDA">
            <w:r w:rsidRPr="00AE5FDA">
              <w:t>3.26·10</w:t>
            </w:r>
            <w:r w:rsidRPr="00AE5FDA">
              <w:rPr>
                <w:vertAlign w:val="superscript"/>
              </w:rPr>
              <w:t>-3</w:t>
            </w:r>
            <w:r w:rsidRPr="00AE5FDA">
              <w:t xml:space="preserve"> (1.95–5.18·10</w:t>
            </w:r>
            <w:r w:rsidRPr="00AE5FDA">
              <w:rPr>
                <w:vertAlign w:val="superscript"/>
              </w:rPr>
              <w:t>-3</w:t>
            </w:r>
            <w:r w:rsidRPr="00AE5FDA">
              <w:t>)</w:t>
            </w:r>
          </w:p>
        </w:tc>
        <w:tc>
          <w:tcPr>
            <w:tcW w:w="1980" w:type="dxa"/>
            <w:vAlign w:val="bottom"/>
          </w:tcPr>
          <w:p w14:paraId="7B0AFC2F" w14:textId="77777777" w:rsidR="00AE5FDA" w:rsidRPr="00AE5FDA" w:rsidRDefault="00AE5FDA" w:rsidP="00AE5FDA">
            <w:r w:rsidRPr="00AE5FDA">
              <w:t>8.3 (4.9–11.4)</w:t>
            </w:r>
          </w:p>
        </w:tc>
        <w:tc>
          <w:tcPr>
            <w:tcW w:w="2070" w:type="dxa"/>
            <w:vAlign w:val="bottom"/>
          </w:tcPr>
          <w:p w14:paraId="6F79A07D" w14:textId="77777777" w:rsidR="00AE5FDA" w:rsidRPr="00AE5FDA" w:rsidRDefault="00AE5FDA" w:rsidP="00AE5FDA">
            <w:r w:rsidRPr="00AE5FDA">
              <w:t>35.7 (32.9–39.7)</w:t>
            </w:r>
          </w:p>
        </w:tc>
        <w:tc>
          <w:tcPr>
            <w:tcW w:w="1980" w:type="dxa"/>
            <w:tcBorders>
              <w:right w:val="single" w:sz="4" w:space="0" w:color="auto"/>
            </w:tcBorders>
            <w:vAlign w:val="bottom"/>
          </w:tcPr>
          <w:p w14:paraId="280EE0B6" w14:textId="77777777" w:rsidR="00AE5FDA" w:rsidRPr="00AE5FDA" w:rsidRDefault="00AE5FDA" w:rsidP="00AE5FDA">
            <w:r w:rsidRPr="00AE5FDA">
              <w:t>22.0 (19.9–24.6)</w:t>
            </w:r>
          </w:p>
        </w:tc>
      </w:tr>
      <w:tr w:rsidR="00AE5FDA" w:rsidRPr="00AE5FDA" w14:paraId="4FA1E8B5" w14:textId="77777777" w:rsidTr="00A93316">
        <w:tc>
          <w:tcPr>
            <w:tcW w:w="3235" w:type="dxa"/>
            <w:tcBorders>
              <w:left w:val="single" w:sz="4" w:space="0" w:color="auto"/>
            </w:tcBorders>
          </w:tcPr>
          <w:p w14:paraId="777BE493" w14:textId="77777777" w:rsidR="00AE5FDA" w:rsidRPr="00AE5FDA" w:rsidRDefault="00AE5FDA" w:rsidP="00AE5FDA">
            <w:pPr>
              <w:rPr>
                <w:i/>
              </w:rPr>
            </w:pPr>
            <w:r w:rsidRPr="00AE5FDA">
              <w:rPr>
                <w:i/>
              </w:rPr>
              <w:t xml:space="preserve">Ae. vexans </w:t>
            </w:r>
            <w:r w:rsidRPr="00AE5FDA">
              <w:t>(</w:t>
            </w:r>
            <w:r w:rsidRPr="00AE5FDA">
              <w:rPr>
                <w:i/>
              </w:rPr>
              <w:t>p</w:t>
            </w:r>
            <w:r w:rsidRPr="00AE5FDA">
              <w:rPr>
                <w:i/>
                <w:vertAlign w:val="subscript"/>
              </w:rPr>
              <w:t>LA</w:t>
            </w:r>
            <w:r w:rsidRPr="00AE5FDA">
              <w:t>)</w:t>
            </w:r>
          </w:p>
        </w:tc>
        <w:tc>
          <w:tcPr>
            <w:tcW w:w="661" w:type="dxa"/>
          </w:tcPr>
          <w:p w14:paraId="66FCE558" w14:textId="77777777" w:rsidR="00AE5FDA" w:rsidRPr="00AE5FDA" w:rsidRDefault="00AE5FDA" w:rsidP="00AE5FDA">
            <w:r w:rsidRPr="00AE5FDA">
              <w:t>Q</w:t>
            </w:r>
          </w:p>
        </w:tc>
        <w:tc>
          <w:tcPr>
            <w:tcW w:w="2939" w:type="dxa"/>
            <w:vAlign w:val="bottom"/>
          </w:tcPr>
          <w:p w14:paraId="0EF74A3F" w14:textId="77777777" w:rsidR="00AE5FDA" w:rsidRPr="00AE5FDA" w:rsidRDefault="00AE5FDA" w:rsidP="00AE5FDA">
            <w:r w:rsidRPr="00AE5FDA">
              <w:t>3.29·10</w:t>
            </w:r>
            <w:r w:rsidRPr="00AE5FDA">
              <w:rPr>
                <w:vertAlign w:val="superscript"/>
              </w:rPr>
              <w:t>-3</w:t>
            </w:r>
            <w:r w:rsidRPr="00AE5FDA">
              <w:t xml:space="preserve"> (2.65–4.24·10</w:t>
            </w:r>
            <w:r w:rsidRPr="00AE5FDA">
              <w:rPr>
                <w:vertAlign w:val="superscript"/>
              </w:rPr>
              <w:t>-3</w:t>
            </w:r>
            <w:r w:rsidRPr="00AE5FDA">
              <w:t>)</w:t>
            </w:r>
          </w:p>
        </w:tc>
        <w:tc>
          <w:tcPr>
            <w:tcW w:w="1980" w:type="dxa"/>
            <w:vAlign w:val="bottom"/>
          </w:tcPr>
          <w:p w14:paraId="3FE80E3B" w14:textId="77777777" w:rsidR="00AE5FDA" w:rsidRPr="00AE5FDA" w:rsidRDefault="00AE5FDA" w:rsidP="00AE5FDA">
            <w:r w:rsidRPr="00AE5FDA">
              <w:t>9.1 (8.1–10.6)</w:t>
            </w:r>
          </w:p>
        </w:tc>
        <w:tc>
          <w:tcPr>
            <w:tcW w:w="2070" w:type="dxa"/>
            <w:vAlign w:val="bottom"/>
          </w:tcPr>
          <w:p w14:paraId="4476C1E1" w14:textId="77777777" w:rsidR="00AE5FDA" w:rsidRPr="00AE5FDA" w:rsidRDefault="00AE5FDA" w:rsidP="00AE5FDA">
            <w:r w:rsidRPr="00AE5FDA">
              <w:t>40.8 (38.4–43.6)</w:t>
            </w:r>
          </w:p>
        </w:tc>
        <w:tc>
          <w:tcPr>
            <w:tcW w:w="1980" w:type="dxa"/>
            <w:tcBorders>
              <w:right w:val="single" w:sz="4" w:space="0" w:color="auto"/>
            </w:tcBorders>
            <w:vAlign w:val="bottom"/>
          </w:tcPr>
          <w:p w14:paraId="1AF8A36A" w14:textId="77777777" w:rsidR="00AE5FDA" w:rsidRPr="00AE5FDA" w:rsidRDefault="00AE5FDA" w:rsidP="00AE5FDA">
            <w:r w:rsidRPr="00AE5FDA">
              <w:t>25.0 (23.9–26.2)</w:t>
            </w:r>
          </w:p>
        </w:tc>
      </w:tr>
      <w:tr w:rsidR="00AE5FDA" w:rsidRPr="00AE5FDA" w14:paraId="271FAFA1" w14:textId="77777777" w:rsidTr="00A93316">
        <w:tc>
          <w:tcPr>
            <w:tcW w:w="3235" w:type="dxa"/>
            <w:tcBorders>
              <w:left w:val="single" w:sz="4" w:space="0" w:color="auto"/>
            </w:tcBorders>
          </w:tcPr>
          <w:p w14:paraId="1169415F" w14:textId="13F0E5A0" w:rsidR="00AE5FDA" w:rsidRPr="00AE5FDA" w:rsidRDefault="00AE5FDA" w:rsidP="00AE5FDA">
            <w:pPr>
              <w:rPr>
                <w:b/>
              </w:rPr>
            </w:pPr>
            <w:r w:rsidRPr="00AE5FDA">
              <w:rPr>
                <w:i/>
              </w:rPr>
              <w:t>An</w:t>
            </w:r>
            <w:r w:rsidR="00E812A2">
              <w:rPr>
                <w:i/>
              </w:rPr>
              <w:t xml:space="preserve">. </w:t>
            </w:r>
            <w:r w:rsidR="00B314F8">
              <w:rPr>
                <w:i/>
              </w:rPr>
              <w:t xml:space="preserve">gambiae </w:t>
            </w:r>
            <w:r w:rsidRPr="00AE5FDA">
              <w:t>(</w:t>
            </w:r>
            <w:r w:rsidRPr="00AE5FDA">
              <w:rPr>
                <w:i/>
              </w:rPr>
              <w:t>p</w:t>
            </w:r>
            <w:r w:rsidRPr="00AE5FDA">
              <w:rPr>
                <w:i/>
                <w:vertAlign w:val="subscript"/>
              </w:rPr>
              <w:t>EA</w:t>
            </w:r>
            <w:r w:rsidRPr="00AE5FDA">
              <w:t>)</w:t>
            </w:r>
          </w:p>
        </w:tc>
        <w:tc>
          <w:tcPr>
            <w:tcW w:w="661" w:type="dxa"/>
          </w:tcPr>
          <w:p w14:paraId="0DFD9648" w14:textId="77777777" w:rsidR="00AE5FDA" w:rsidRPr="00AE5FDA" w:rsidRDefault="00AE5FDA" w:rsidP="00AE5FDA">
            <w:r w:rsidRPr="00AE5FDA">
              <w:t>Q</w:t>
            </w:r>
          </w:p>
        </w:tc>
        <w:tc>
          <w:tcPr>
            <w:tcW w:w="2939" w:type="dxa"/>
            <w:vAlign w:val="bottom"/>
          </w:tcPr>
          <w:p w14:paraId="547B078B" w14:textId="77777777" w:rsidR="00AE5FDA" w:rsidRPr="00AE5FDA" w:rsidRDefault="00AE5FDA" w:rsidP="00AE5FDA">
            <w:r w:rsidRPr="00AE5FDA">
              <w:t>7.65·10</w:t>
            </w:r>
            <w:r w:rsidRPr="00AE5FDA">
              <w:rPr>
                <w:vertAlign w:val="superscript"/>
              </w:rPr>
              <w:t>-3</w:t>
            </w:r>
            <w:r w:rsidRPr="00AE5FDA">
              <w:t xml:space="preserve"> (4.20–12.5·10</w:t>
            </w:r>
            <w:r w:rsidRPr="00AE5FDA">
              <w:rPr>
                <w:vertAlign w:val="superscript"/>
              </w:rPr>
              <w:t>-3</w:t>
            </w:r>
            <w:r w:rsidRPr="00AE5FDA">
              <w:t>)</w:t>
            </w:r>
          </w:p>
        </w:tc>
        <w:tc>
          <w:tcPr>
            <w:tcW w:w="1980" w:type="dxa"/>
            <w:vAlign w:val="bottom"/>
          </w:tcPr>
          <w:p w14:paraId="0EDD52F7" w14:textId="77777777" w:rsidR="00AE5FDA" w:rsidRPr="00AE5FDA" w:rsidRDefault="00AE5FDA" w:rsidP="00AE5FDA">
            <w:r w:rsidRPr="00AE5FDA">
              <w:t>14.5 (11.4–16.4)</w:t>
            </w:r>
          </w:p>
        </w:tc>
        <w:tc>
          <w:tcPr>
            <w:tcW w:w="2070" w:type="dxa"/>
            <w:vAlign w:val="bottom"/>
          </w:tcPr>
          <w:p w14:paraId="5BC47DAF" w14:textId="77777777" w:rsidR="00AE5FDA" w:rsidRPr="00AE5FDA" w:rsidRDefault="00AE5FDA" w:rsidP="00AE5FDA">
            <w:r w:rsidRPr="00AE5FDA">
              <w:t>34.1 (32.1–36.6)</w:t>
            </w:r>
          </w:p>
        </w:tc>
        <w:tc>
          <w:tcPr>
            <w:tcW w:w="1980" w:type="dxa"/>
            <w:tcBorders>
              <w:right w:val="single" w:sz="4" w:space="0" w:color="auto"/>
            </w:tcBorders>
          </w:tcPr>
          <w:p w14:paraId="1C168602" w14:textId="77777777" w:rsidR="00AE5FDA" w:rsidRPr="00AE5FDA" w:rsidRDefault="00AE5FDA" w:rsidP="00AE5FDA">
            <w:r w:rsidRPr="00AE5FDA">
              <w:t>24.3 (22.9–25.5)</w:t>
            </w:r>
          </w:p>
        </w:tc>
      </w:tr>
      <w:tr w:rsidR="00AE5FDA" w:rsidRPr="00AE5FDA" w14:paraId="56755936" w14:textId="77777777" w:rsidTr="00A93316">
        <w:tc>
          <w:tcPr>
            <w:tcW w:w="3235" w:type="dxa"/>
            <w:tcBorders>
              <w:left w:val="single" w:sz="4" w:space="0" w:color="auto"/>
            </w:tcBorders>
          </w:tcPr>
          <w:p w14:paraId="05A1701C" w14:textId="77777777" w:rsidR="00AE5FDA" w:rsidRPr="00AE5FDA" w:rsidRDefault="00AE5FDA" w:rsidP="00AE5FDA">
            <w:pPr>
              <w:rPr>
                <w:b/>
              </w:rPr>
            </w:pPr>
            <w:r w:rsidRPr="00AE5FDA">
              <w:rPr>
                <w:i/>
              </w:rPr>
              <w:t xml:space="preserve">Cx. annulirostris </w:t>
            </w:r>
            <w:r w:rsidRPr="00AE5FDA">
              <w:t>(</w:t>
            </w:r>
            <w:r w:rsidRPr="00AE5FDA">
              <w:rPr>
                <w:i/>
              </w:rPr>
              <w:t>p</w:t>
            </w:r>
            <w:r w:rsidRPr="00AE5FDA">
              <w:rPr>
                <w:i/>
                <w:vertAlign w:val="subscript"/>
              </w:rPr>
              <w:t>LA</w:t>
            </w:r>
            <w:r w:rsidRPr="00AE5FDA">
              <w:t>)</w:t>
            </w:r>
          </w:p>
        </w:tc>
        <w:tc>
          <w:tcPr>
            <w:tcW w:w="661" w:type="dxa"/>
          </w:tcPr>
          <w:p w14:paraId="1D5693A1" w14:textId="77777777" w:rsidR="00AE5FDA" w:rsidRPr="00AE5FDA" w:rsidRDefault="00AE5FDA" w:rsidP="00AE5FDA">
            <w:r w:rsidRPr="00AE5FDA">
              <w:t>Q</w:t>
            </w:r>
          </w:p>
        </w:tc>
        <w:tc>
          <w:tcPr>
            <w:tcW w:w="2939" w:type="dxa"/>
            <w:vAlign w:val="bottom"/>
          </w:tcPr>
          <w:p w14:paraId="1D6A3679" w14:textId="77777777" w:rsidR="00AE5FDA" w:rsidRPr="00AE5FDA" w:rsidRDefault="00AE5FDA" w:rsidP="00AE5FDA">
            <w:r w:rsidRPr="00AE5FDA">
              <w:t>5.35·10</w:t>
            </w:r>
            <w:r w:rsidRPr="00AE5FDA">
              <w:rPr>
                <w:vertAlign w:val="superscript"/>
              </w:rPr>
              <w:t>-3</w:t>
            </w:r>
            <w:r w:rsidRPr="00AE5FDA">
              <w:t xml:space="preserve"> (4.31–6.65·10</w:t>
            </w:r>
            <w:r w:rsidRPr="00AE5FDA">
              <w:rPr>
                <w:vertAlign w:val="superscript"/>
              </w:rPr>
              <w:t>-3</w:t>
            </w:r>
            <w:r w:rsidRPr="00AE5FDA">
              <w:t>)</w:t>
            </w:r>
          </w:p>
        </w:tc>
        <w:tc>
          <w:tcPr>
            <w:tcW w:w="1980" w:type="dxa"/>
            <w:vAlign w:val="bottom"/>
          </w:tcPr>
          <w:p w14:paraId="0EB86F2A" w14:textId="77777777" w:rsidR="00AE5FDA" w:rsidRPr="00AE5FDA" w:rsidRDefault="00AE5FDA" w:rsidP="00AE5FDA">
            <w:r w:rsidRPr="00AE5FDA">
              <w:t>14.9 (13.3–16.5)</w:t>
            </w:r>
          </w:p>
        </w:tc>
        <w:tc>
          <w:tcPr>
            <w:tcW w:w="2070" w:type="dxa"/>
            <w:vAlign w:val="bottom"/>
          </w:tcPr>
          <w:p w14:paraId="548D625E" w14:textId="77777777" w:rsidR="00AE5FDA" w:rsidRPr="00AE5FDA" w:rsidRDefault="00AE5FDA" w:rsidP="00AE5FDA">
            <w:r w:rsidRPr="00AE5FDA">
              <w:t>39.1 (37.9–40.4)</w:t>
            </w:r>
          </w:p>
        </w:tc>
        <w:tc>
          <w:tcPr>
            <w:tcW w:w="1980" w:type="dxa"/>
            <w:tcBorders>
              <w:right w:val="single" w:sz="4" w:space="0" w:color="auto"/>
            </w:tcBorders>
            <w:vAlign w:val="bottom"/>
          </w:tcPr>
          <w:p w14:paraId="4F038E42" w14:textId="77777777" w:rsidR="00AE5FDA" w:rsidRPr="00AE5FDA" w:rsidRDefault="00AE5FDA" w:rsidP="00AE5FDA">
            <w:r w:rsidRPr="00AE5FDA">
              <w:t>27.0 (26.0–28.0)</w:t>
            </w:r>
          </w:p>
        </w:tc>
      </w:tr>
      <w:tr w:rsidR="00AE5FDA" w:rsidRPr="00AE5FDA" w14:paraId="1C89C07B" w14:textId="77777777" w:rsidTr="00A93316">
        <w:tc>
          <w:tcPr>
            <w:tcW w:w="3235" w:type="dxa"/>
            <w:tcBorders>
              <w:left w:val="single" w:sz="4" w:space="0" w:color="auto"/>
            </w:tcBorders>
          </w:tcPr>
          <w:p w14:paraId="6EEC4149" w14:textId="77777777" w:rsidR="00AE5FDA" w:rsidRPr="00AE5FDA" w:rsidRDefault="00AE5FDA" w:rsidP="00AE5FDA">
            <w:pPr>
              <w:rPr>
                <w:b/>
              </w:rPr>
            </w:pPr>
            <w:r w:rsidRPr="00AE5FDA">
              <w:rPr>
                <w:i/>
              </w:rPr>
              <w:t xml:space="preserve">Cx. pipiens </w:t>
            </w:r>
            <w:r w:rsidRPr="00AE5FDA">
              <w:t>(</w:t>
            </w:r>
            <w:r w:rsidRPr="00AE5FDA">
              <w:rPr>
                <w:i/>
              </w:rPr>
              <w:t>p</w:t>
            </w:r>
            <w:r w:rsidRPr="00AE5FDA">
              <w:rPr>
                <w:i/>
                <w:vertAlign w:val="subscript"/>
              </w:rPr>
              <w:t>LA</w:t>
            </w:r>
            <w:r w:rsidRPr="00AE5FDA">
              <w:t>)</w:t>
            </w:r>
          </w:p>
        </w:tc>
        <w:tc>
          <w:tcPr>
            <w:tcW w:w="661" w:type="dxa"/>
          </w:tcPr>
          <w:p w14:paraId="78917119" w14:textId="77777777" w:rsidR="00AE5FDA" w:rsidRPr="00AE5FDA" w:rsidRDefault="00AE5FDA" w:rsidP="00AE5FDA">
            <w:r w:rsidRPr="00AE5FDA">
              <w:t>Q</w:t>
            </w:r>
          </w:p>
        </w:tc>
        <w:tc>
          <w:tcPr>
            <w:tcW w:w="2939" w:type="dxa"/>
            <w:vAlign w:val="bottom"/>
          </w:tcPr>
          <w:p w14:paraId="7EACB55A" w14:textId="77777777" w:rsidR="00AE5FDA" w:rsidRPr="00AE5FDA" w:rsidRDefault="00AE5FDA" w:rsidP="00AE5FDA">
            <w:r w:rsidRPr="00AE5FDA">
              <w:t>3.60·10</w:t>
            </w:r>
            <w:r w:rsidRPr="00AE5FDA">
              <w:rPr>
                <w:vertAlign w:val="superscript"/>
              </w:rPr>
              <w:t>-3</w:t>
            </w:r>
            <w:r w:rsidRPr="00AE5FDA">
              <w:t xml:space="preserve"> (2.96–4.42·10</w:t>
            </w:r>
            <w:r w:rsidRPr="00AE5FDA">
              <w:rPr>
                <w:vertAlign w:val="superscript"/>
              </w:rPr>
              <w:t>-3</w:t>
            </w:r>
            <w:r w:rsidRPr="00AE5FDA">
              <w:t>)</w:t>
            </w:r>
          </w:p>
        </w:tc>
        <w:tc>
          <w:tcPr>
            <w:tcW w:w="1980" w:type="dxa"/>
            <w:vAlign w:val="bottom"/>
          </w:tcPr>
          <w:p w14:paraId="42B645D7" w14:textId="77777777" w:rsidR="00AE5FDA" w:rsidRPr="00AE5FDA" w:rsidRDefault="00AE5FDA" w:rsidP="00AE5FDA">
            <w:r w:rsidRPr="00AE5FDA">
              <w:t>7.8 (6.1–9.3)</w:t>
            </w:r>
          </w:p>
        </w:tc>
        <w:tc>
          <w:tcPr>
            <w:tcW w:w="2070" w:type="dxa"/>
            <w:vAlign w:val="bottom"/>
          </w:tcPr>
          <w:p w14:paraId="65A22497" w14:textId="77777777" w:rsidR="00AE5FDA" w:rsidRPr="00AE5FDA" w:rsidRDefault="00AE5FDA" w:rsidP="00AE5FDA">
            <w:r w:rsidRPr="00AE5FDA">
              <w:t>38.4 (37.1–39.9)</w:t>
            </w:r>
          </w:p>
        </w:tc>
        <w:tc>
          <w:tcPr>
            <w:tcW w:w="1980" w:type="dxa"/>
            <w:tcBorders>
              <w:right w:val="single" w:sz="4" w:space="0" w:color="auto"/>
            </w:tcBorders>
            <w:vAlign w:val="bottom"/>
          </w:tcPr>
          <w:p w14:paraId="1862ACBE" w14:textId="77777777" w:rsidR="00AE5FDA" w:rsidRPr="00AE5FDA" w:rsidRDefault="00AE5FDA" w:rsidP="00AE5FDA">
            <w:r w:rsidRPr="00AE5FDA">
              <w:t>23.1 (22.2–24.0)</w:t>
            </w:r>
          </w:p>
        </w:tc>
      </w:tr>
      <w:tr w:rsidR="00AE5FDA" w:rsidRPr="00AE5FDA" w14:paraId="380638C3" w14:textId="77777777" w:rsidTr="00A93316">
        <w:tc>
          <w:tcPr>
            <w:tcW w:w="3235" w:type="dxa"/>
            <w:tcBorders>
              <w:left w:val="single" w:sz="4" w:space="0" w:color="auto"/>
            </w:tcBorders>
          </w:tcPr>
          <w:p w14:paraId="6BA9DEC9" w14:textId="77777777" w:rsidR="00AE5FDA" w:rsidRPr="00AE5FDA" w:rsidRDefault="00AE5FDA" w:rsidP="00AE5FDA">
            <w:pPr>
              <w:rPr>
                <w:b/>
              </w:rPr>
            </w:pPr>
            <w:r w:rsidRPr="00AE5FDA">
              <w:rPr>
                <w:i/>
              </w:rPr>
              <w:t xml:space="preserve">Cx. quinquefasciatus </w:t>
            </w:r>
            <w:r w:rsidRPr="00AE5FDA">
              <w:t>(</w:t>
            </w:r>
            <w:r w:rsidRPr="00AE5FDA">
              <w:rPr>
                <w:i/>
              </w:rPr>
              <w:t>p</w:t>
            </w:r>
            <w:r w:rsidRPr="00AE5FDA">
              <w:rPr>
                <w:i/>
                <w:vertAlign w:val="subscript"/>
              </w:rPr>
              <w:t>LA</w:t>
            </w:r>
            <w:r w:rsidRPr="00AE5FDA">
              <w:t>)</w:t>
            </w:r>
          </w:p>
        </w:tc>
        <w:tc>
          <w:tcPr>
            <w:tcW w:w="661" w:type="dxa"/>
          </w:tcPr>
          <w:p w14:paraId="6ED4B662" w14:textId="77777777" w:rsidR="00AE5FDA" w:rsidRPr="00AE5FDA" w:rsidRDefault="00AE5FDA" w:rsidP="00AE5FDA">
            <w:r w:rsidRPr="00AE5FDA">
              <w:t>Q</w:t>
            </w:r>
          </w:p>
        </w:tc>
        <w:tc>
          <w:tcPr>
            <w:tcW w:w="2939" w:type="dxa"/>
            <w:vAlign w:val="bottom"/>
          </w:tcPr>
          <w:p w14:paraId="7165C70F" w14:textId="77777777" w:rsidR="00AE5FDA" w:rsidRPr="00AE5FDA" w:rsidRDefault="00AE5FDA" w:rsidP="00AE5FDA">
            <w:r w:rsidRPr="00AE5FDA">
              <w:t>4.26·10</w:t>
            </w:r>
            <w:r w:rsidRPr="00AE5FDA">
              <w:rPr>
                <w:vertAlign w:val="superscript"/>
              </w:rPr>
              <w:t>-3</w:t>
            </w:r>
            <w:r w:rsidRPr="00AE5FDA">
              <w:t xml:space="preserve"> (3.51–5.17·10</w:t>
            </w:r>
            <w:r w:rsidRPr="00AE5FDA">
              <w:rPr>
                <w:vertAlign w:val="superscript"/>
              </w:rPr>
              <w:t>-3</w:t>
            </w:r>
            <w:r w:rsidRPr="00AE5FDA">
              <w:t>)</w:t>
            </w:r>
          </w:p>
        </w:tc>
        <w:tc>
          <w:tcPr>
            <w:tcW w:w="1980" w:type="dxa"/>
            <w:vAlign w:val="bottom"/>
          </w:tcPr>
          <w:p w14:paraId="68927538" w14:textId="77777777" w:rsidR="00AE5FDA" w:rsidRPr="00AE5FDA" w:rsidRDefault="00AE5FDA" w:rsidP="00AE5FDA">
            <w:r w:rsidRPr="00AE5FDA">
              <w:t>8.9 (7.6–9.9)</w:t>
            </w:r>
          </w:p>
        </w:tc>
        <w:tc>
          <w:tcPr>
            <w:tcW w:w="2070" w:type="dxa"/>
            <w:vAlign w:val="bottom"/>
          </w:tcPr>
          <w:p w14:paraId="55A7DF67" w14:textId="77777777" w:rsidR="00AE5FDA" w:rsidRPr="00AE5FDA" w:rsidRDefault="00AE5FDA" w:rsidP="00AE5FDA">
            <w:r w:rsidRPr="00AE5FDA">
              <w:t>37.7 (36.2–39.2)</w:t>
            </w:r>
          </w:p>
        </w:tc>
        <w:tc>
          <w:tcPr>
            <w:tcW w:w="1980" w:type="dxa"/>
            <w:tcBorders>
              <w:right w:val="single" w:sz="4" w:space="0" w:color="auto"/>
            </w:tcBorders>
            <w:vAlign w:val="bottom"/>
          </w:tcPr>
          <w:p w14:paraId="24324823" w14:textId="77777777" w:rsidR="00AE5FDA" w:rsidRPr="00AE5FDA" w:rsidRDefault="00AE5FDA" w:rsidP="00AE5FDA">
            <w:r w:rsidRPr="00AE5FDA">
              <w:t>23.3 (22.5–24.0)</w:t>
            </w:r>
          </w:p>
        </w:tc>
      </w:tr>
      <w:tr w:rsidR="00AE5FDA" w:rsidRPr="00AE5FDA" w14:paraId="67010B0D" w14:textId="77777777" w:rsidTr="00A93316">
        <w:tc>
          <w:tcPr>
            <w:tcW w:w="3235" w:type="dxa"/>
            <w:tcBorders>
              <w:left w:val="single" w:sz="4" w:space="0" w:color="auto"/>
            </w:tcBorders>
          </w:tcPr>
          <w:p w14:paraId="61BC66B5" w14:textId="77777777" w:rsidR="00AE5FDA" w:rsidRPr="00AE5FDA" w:rsidRDefault="00AE5FDA" w:rsidP="00AE5FDA">
            <w:pPr>
              <w:rPr>
                <w:b/>
              </w:rPr>
            </w:pPr>
            <w:r w:rsidRPr="00AE5FDA">
              <w:rPr>
                <w:i/>
              </w:rPr>
              <w:t xml:space="preserve">Cx. tarsalis </w:t>
            </w:r>
            <w:r w:rsidRPr="00AE5FDA">
              <w:t>(</w:t>
            </w:r>
            <w:r w:rsidRPr="00AE5FDA">
              <w:rPr>
                <w:i/>
              </w:rPr>
              <w:t>p</w:t>
            </w:r>
            <w:r w:rsidRPr="00AE5FDA">
              <w:rPr>
                <w:i/>
                <w:vertAlign w:val="subscript"/>
              </w:rPr>
              <w:t>LA</w:t>
            </w:r>
            <w:r w:rsidRPr="00AE5FDA">
              <w:t>)</w:t>
            </w:r>
          </w:p>
        </w:tc>
        <w:tc>
          <w:tcPr>
            <w:tcW w:w="661" w:type="dxa"/>
          </w:tcPr>
          <w:p w14:paraId="13BD0DBD" w14:textId="77777777" w:rsidR="00AE5FDA" w:rsidRPr="00AE5FDA" w:rsidRDefault="00AE5FDA" w:rsidP="00AE5FDA">
            <w:r w:rsidRPr="00AE5FDA">
              <w:t>Q</w:t>
            </w:r>
          </w:p>
        </w:tc>
        <w:tc>
          <w:tcPr>
            <w:tcW w:w="2939" w:type="dxa"/>
            <w:vAlign w:val="bottom"/>
          </w:tcPr>
          <w:p w14:paraId="56C4D949" w14:textId="77777777" w:rsidR="00AE5FDA" w:rsidRPr="00AE5FDA" w:rsidRDefault="00AE5FDA" w:rsidP="00AE5FDA">
            <w:r w:rsidRPr="00AE5FDA">
              <w:t>2.12·10</w:t>
            </w:r>
            <w:r w:rsidRPr="00AE5FDA">
              <w:rPr>
                <w:vertAlign w:val="superscript"/>
              </w:rPr>
              <w:t>-3</w:t>
            </w:r>
            <w:r w:rsidRPr="00AE5FDA">
              <w:t xml:space="preserve"> (1.52–3.08·10</w:t>
            </w:r>
            <w:r w:rsidRPr="00AE5FDA">
              <w:rPr>
                <w:vertAlign w:val="superscript"/>
              </w:rPr>
              <w:t>-3</w:t>
            </w:r>
            <w:r w:rsidRPr="00AE5FDA">
              <w:t>)</w:t>
            </w:r>
          </w:p>
        </w:tc>
        <w:tc>
          <w:tcPr>
            <w:tcW w:w="1980" w:type="dxa"/>
            <w:vAlign w:val="bottom"/>
          </w:tcPr>
          <w:p w14:paraId="58D0A640" w14:textId="77777777" w:rsidR="00AE5FDA" w:rsidRPr="00AE5FDA" w:rsidRDefault="00AE5FDA" w:rsidP="00AE5FDA">
            <w:r w:rsidRPr="00AE5FDA">
              <w:t>5.9 (3.0–8.8)</w:t>
            </w:r>
          </w:p>
        </w:tc>
        <w:tc>
          <w:tcPr>
            <w:tcW w:w="2070" w:type="dxa"/>
            <w:vAlign w:val="bottom"/>
          </w:tcPr>
          <w:p w14:paraId="5786D232" w14:textId="77777777" w:rsidR="00AE5FDA" w:rsidRPr="00AE5FDA" w:rsidRDefault="00AE5FDA" w:rsidP="00AE5FDA">
            <w:r w:rsidRPr="00AE5FDA">
              <w:t>43.1 (39.8–47.5)</w:t>
            </w:r>
          </w:p>
        </w:tc>
        <w:tc>
          <w:tcPr>
            <w:tcW w:w="1980" w:type="dxa"/>
            <w:tcBorders>
              <w:right w:val="single" w:sz="4" w:space="0" w:color="auto"/>
            </w:tcBorders>
            <w:vAlign w:val="bottom"/>
          </w:tcPr>
          <w:p w14:paraId="6A3AA60C" w14:textId="77777777" w:rsidR="00AE5FDA" w:rsidRPr="00AE5FDA" w:rsidRDefault="00AE5FDA" w:rsidP="00AE5FDA">
            <w:r w:rsidRPr="00AE5FDA">
              <w:t>24.6 (22.9–26.4)</w:t>
            </w:r>
          </w:p>
        </w:tc>
      </w:tr>
      <w:tr w:rsidR="00AE5FDA" w:rsidRPr="00AE5FDA" w14:paraId="4DD94857" w14:textId="77777777" w:rsidTr="00A93316">
        <w:tc>
          <w:tcPr>
            <w:tcW w:w="3235" w:type="dxa"/>
            <w:tcBorders>
              <w:left w:val="single" w:sz="4" w:space="0" w:color="auto"/>
            </w:tcBorders>
          </w:tcPr>
          <w:p w14:paraId="2E11D2C2" w14:textId="77777777" w:rsidR="00AE5FDA" w:rsidRPr="00AE5FDA" w:rsidRDefault="00AE5FDA" w:rsidP="00AE5FDA">
            <w:pPr>
              <w:rPr>
                <w:i/>
              </w:rPr>
            </w:pPr>
            <w:r w:rsidRPr="00AE5FDA">
              <w:rPr>
                <w:i/>
              </w:rPr>
              <w:t xml:space="preserve">Cs. melanura </w:t>
            </w:r>
            <w:r w:rsidRPr="00AE5FDA">
              <w:t>(</w:t>
            </w:r>
            <w:r w:rsidRPr="00AE5FDA">
              <w:rPr>
                <w:i/>
              </w:rPr>
              <w:t>p</w:t>
            </w:r>
            <w:r w:rsidRPr="00AE5FDA">
              <w:rPr>
                <w:i/>
                <w:vertAlign w:val="subscript"/>
              </w:rPr>
              <w:t>LA</w:t>
            </w:r>
            <w:r w:rsidRPr="00AE5FDA">
              <w:t>)</w:t>
            </w:r>
          </w:p>
        </w:tc>
        <w:tc>
          <w:tcPr>
            <w:tcW w:w="661" w:type="dxa"/>
          </w:tcPr>
          <w:p w14:paraId="7CCF1891" w14:textId="77777777" w:rsidR="00AE5FDA" w:rsidRPr="00AE5FDA" w:rsidRDefault="00AE5FDA" w:rsidP="00AE5FDA">
            <w:r w:rsidRPr="00AE5FDA">
              <w:t>Q</w:t>
            </w:r>
          </w:p>
        </w:tc>
        <w:tc>
          <w:tcPr>
            <w:tcW w:w="2939" w:type="dxa"/>
            <w:vAlign w:val="bottom"/>
          </w:tcPr>
          <w:p w14:paraId="2FEE6671" w14:textId="77777777" w:rsidR="00AE5FDA" w:rsidRPr="00AE5FDA" w:rsidRDefault="00AE5FDA" w:rsidP="00AE5FDA">
            <w:r w:rsidRPr="00AE5FDA">
              <w:t>3.03·10</w:t>
            </w:r>
            <w:r w:rsidRPr="00AE5FDA">
              <w:rPr>
                <w:vertAlign w:val="superscript"/>
              </w:rPr>
              <w:t>-3</w:t>
            </w:r>
            <w:r w:rsidRPr="00AE5FDA">
              <w:t xml:space="preserve"> (1.55–5.68·10</w:t>
            </w:r>
            <w:r w:rsidRPr="00AE5FDA">
              <w:rPr>
                <w:vertAlign w:val="superscript"/>
              </w:rPr>
              <w:t>-3</w:t>
            </w:r>
            <w:r w:rsidRPr="00AE5FDA">
              <w:t>)</w:t>
            </w:r>
          </w:p>
        </w:tc>
        <w:tc>
          <w:tcPr>
            <w:tcW w:w="1980" w:type="dxa"/>
            <w:vAlign w:val="bottom"/>
          </w:tcPr>
          <w:p w14:paraId="67DCC8F3" w14:textId="77777777" w:rsidR="00AE5FDA" w:rsidRPr="00AE5FDA" w:rsidRDefault="00AE5FDA" w:rsidP="00AE5FDA">
            <w:r w:rsidRPr="00AE5FDA">
              <w:t>10.1 (5.7–15.1)</w:t>
            </w:r>
          </w:p>
        </w:tc>
        <w:tc>
          <w:tcPr>
            <w:tcW w:w="2070" w:type="dxa"/>
            <w:vAlign w:val="bottom"/>
          </w:tcPr>
          <w:p w14:paraId="1C16128F" w14:textId="77777777" w:rsidR="00AE5FDA" w:rsidRPr="00AE5FDA" w:rsidRDefault="00AE5FDA" w:rsidP="00AE5FDA">
            <w:r w:rsidRPr="00AE5FDA">
              <w:t>36.2 (32.8–40.7)</w:t>
            </w:r>
          </w:p>
        </w:tc>
        <w:tc>
          <w:tcPr>
            <w:tcW w:w="1980" w:type="dxa"/>
            <w:tcBorders>
              <w:right w:val="single" w:sz="4" w:space="0" w:color="auto"/>
            </w:tcBorders>
          </w:tcPr>
          <w:p w14:paraId="15D2AA3B" w14:textId="77777777" w:rsidR="00AE5FDA" w:rsidRPr="00AE5FDA" w:rsidRDefault="00AE5FDA" w:rsidP="00AE5FDA">
            <w:r w:rsidRPr="00AE5FDA">
              <w:t>23.2 (20.4–26.5)</w:t>
            </w:r>
          </w:p>
        </w:tc>
      </w:tr>
      <w:tr w:rsidR="00AE5FDA" w:rsidRPr="00AE5FDA" w14:paraId="2E460F15" w14:textId="77777777" w:rsidTr="00A93316">
        <w:tc>
          <w:tcPr>
            <w:tcW w:w="3235" w:type="dxa"/>
            <w:tcBorders>
              <w:left w:val="single" w:sz="4" w:space="0" w:color="auto"/>
            </w:tcBorders>
          </w:tcPr>
          <w:p w14:paraId="23B90035" w14:textId="77777777" w:rsidR="00AE5FDA" w:rsidRPr="00AE5FDA" w:rsidRDefault="00AE5FDA" w:rsidP="00AE5FDA">
            <w:pPr>
              <w:rPr>
                <w:i/>
              </w:rPr>
            </w:pPr>
            <w:r w:rsidRPr="00AE5FDA">
              <w:rPr>
                <w:b/>
              </w:rPr>
              <w:t>Egg viability (</w:t>
            </w:r>
            <w:r w:rsidRPr="00AE5FDA">
              <w:rPr>
                <w:b/>
                <w:i/>
              </w:rPr>
              <w:t>EV</w:t>
            </w:r>
            <w:r w:rsidRPr="00AE5FDA">
              <w:rPr>
                <w:b/>
              </w:rPr>
              <w:t>)</w:t>
            </w:r>
          </w:p>
        </w:tc>
        <w:tc>
          <w:tcPr>
            <w:tcW w:w="661" w:type="dxa"/>
          </w:tcPr>
          <w:p w14:paraId="0B49B97D" w14:textId="77777777" w:rsidR="00AE5FDA" w:rsidRPr="00AE5FDA" w:rsidRDefault="00AE5FDA" w:rsidP="00AE5FDA"/>
        </w:tc>
        <w:tc>
          <w:tcPr>
            <w:tcW w:w="2939" w:type="dxa"/>
          </w:tcPr>
          <w:p w14:paraId="265DA7C9" w14:textId="77777777" w:rsidR="00AE5FDA" w:rsidRPr="00AE5FDA" w:rsidRDefault="00AE5FDA" w:rsidP="00AE5FDA"/>
        </w:tc>
        <w:tc>
          <w:tcPr>
            <w:tcW w:w="1980" w:type="dxa"/>
          </w:tcPr>
          <w:p w14:paraId="71FA8669" w14:textId="77777777" w:rsidR="00AE5FDA" w:rsidRPr="00AE5FDA" w:rsidRDefault="00AE5FDA" w:rsidP="00AE5FDA"/>
        </w:tc>
        <w:tc>
          <w:tcPr>
            <w:tcW w:w="2070" w:type="dxa"/>
          </w:tcPr>
          <w:p w14:paraId="3303536B" w14:textId="77777777" w:rsidR="00AE5FDA" w:rsidRPr="00AE5FDA" w:rsidRDefault="00AE5FDA" w:rsidP="00AE5FDA"/>
        </w:tc>
        <w:tc>
          <w:tcPr>
            <w:tcW w:w="1980" w:type="dxa"/>
            <w:tcBorders>
              <w:right w:val="single" w:sz="4" w:space="0" w:color="auto"/>
            </w:tcBorders>
          </w:tcPr>
          <w:p w14:paraId="21A411A8" w14:textId="77777777" w:rsidR="00AE5FDA" w:rsidRPr="00AE5FDA" w:rsidRDefault="00AE5FDA" w:rsidP="00AE5FDA"/>
        </w:tc>
      </w:tr>
      <w:tr w:rsidR="00AE5FDA" w:rsidRPr="00AE5FDA" w14:paraId="7F239674" w14:textId="77777777" w:rsidTr="00A93316">
        <w:tc>
          <w:tcPr>
            <w:tcW w:w="3235" w:type="dxa"/>
            <w:tcBorders>
              <w:left w:val="single" w:sz="4" w:space="0" w:color="auto"/>
            </w:tcBorders>
          </w:tcPr>
          <w:p w14:paraId="50BD632F" w14:textId="77777777" w:rsidR="00AE5FDA" w:rsidRPr="00AE5FDA" w:rsidRDefault="00AE5FDA" w:rsidP="00AE5FDA">
            <w:pPr>
              <w:rPr>
                <w:i/>
              </w:rPr>
            </w:pPr>
            <w:r w:rsidRPr="00AE5FDA">
              <w:rPr>
                <w:i/>
              </w:rPr>
              <w:t>Cx. annulirostris</w:t>
            </w:r>
          </w:p>
        </w:tc>
        <w:tc>
          <w:tcPr>
            <w:tcW w:w="661" w:type="dxa"/>
          </w:tcPr>
          <w:p w14:paraId="0C92D1A7" w14:textId="77777777" w:rsidR="00AE5FDA" w:rsidRPr="00AE5FDA" w:rsidRDefault="00AE5FDA" w:rsidP="00AE5FDA">
            <w:r w:rsidRPr="00AE5FDA">
              <w:t>Q</w:t>
            </w:r>
          </w:p>
        </w:tc>
        <w:tc>
          <w:tcPr>
            <w:tcW w:w="2939" w:type="dxa"/>
            <w:vAlign w:val="bottom"/>
          </w:tcPr>
          <w:p w14:paraId="7781A365" w14:textId="77777777" w:rsidR="00AE5FDA" w:rsidRPr="00AE5FDA" w:rsidRDefault="00AE5FDA" w:rsidP="00AE5FDA">
            <w:r w:rsidRPr="00AE5FDA">
              <w:t>6.44·10</w:t>
            </w:r>
            <w:r w:rsidRPr="00AE5FDA">
              <w:rPr>
                <w:vertAlign w:val="superscript"/>
              </w:rPr>
              <w:t>-3</w:t>
            </w:r>
            <w:r w:rsidRPr="00AE5FDA">
              <w:t xml:space="preserve"> (3.37–12.7·10</w:t>
            </w:r>
            <w:r w:rsidRPr="00AE5FDA">
              <w:rPr>
                <w:vertAlign w:val="superscript"/>
              </w:rPr>
              <w:t>-3</w:t>
            </w:r>
            <w:r w:rsidRPr="00AE5FDA">
              <w:t>)</w:t>
            </w:r>
          </w:p>
        </w:tc>
        <w:tc>
          <w:tcPr>
            <w:tcW w:w="1980" w:type="dxa"/>
            <w:vAlign w:val="bottom"/>
          </w:tcPr>
          <w:p w14:paraId="43664E94" w14:textId="77777777" w:rsidR="00AE5FDA" w:rsidRPr="00AE5FDA" w:rsidRDefault="00AE5FDA" w:rsidP="00AE5FDA">
            <w:r w:rsidRPr="00AE5FDA">
              <w:t>14.5 (10.6–17.2)</w:t>
            </w:r>
          </w:p>
        </w:tc>
        <w:tc>
          <w:tcPr>
            <w:tcW w:w="2070" w:type="dxa"/>
            <w:vAlign w:val="bottom"/>
          </w:tcPr>
          <w:p w14:paraId="46E16B64" w14:textId="77777777" w:rsidR="00AE5FDA" w:rsidRPr="00AE5FDA" w:rsidRDefault="00AE5FDA" w:rsidP="00AE5FDA">
            <w:r w:rsidRPr="00AE5FDA">
              <w:t>38.0 (33.7–42.0)</w:t>
            </w:r>
          </w:p>
        </w:tc>
        <w:tc>
          <w:tcPr>
            <w:tcW w:w="1980" w:type="dxa"/>
            <w:tcBorders>
              <w:right w:val="single" w:sz="4" w:space="0" w:color="auto"/>
            </w:tcBorders>
            <w:vAlign w:val="bottom"/>
          </w:tcPr>
          <w:p w14:paraId="50E1BD2F" w14:textId="77777777" w:rsidR="00AE5FDA" w:rsidRPr="00AE5FDA" w:rsidRDefault="00AE5FDA" w:rsidP="00AE5FDA">
            <w:r w:rsidRPr="00AE5FDA">
              <w:t>26.2 (22.6–27.8)</w:t>
            </w:r>
          </w:p>
        </w:tc>
      </w:tr>
      <w:tr w:rsidR="00AE5FDA" w:rsidRPr="00AE5FDA" w14:paraId="24F17575" w14:textId="77777777" w:rsidTr="00A93316">
        <w:tc>
          <w:tcPr>
            <w:tcW w:w="3235" w:type="dxa"/>
            <w:tcBorders>
              <w:left w:val="single" w:sz="4" w:space="0" w:color="auto"/>
            </w:tcBorders>
          </w:tcPr>
          <w:p w14:paraId="134FCCF1" w14:textId="77777777" w:rsidR="00AE5FDA" w:rsidRPr="00AE5FDA" w:rsidRDefault="00AE5FDA" w:rsidP="00AE5FDA">
            <w:pPr>
              <w:rPr>
                <w:b/>
              </w:rPr>
            </w:pPr>
            <w:r w:rsidRPr="00AE5FDA">
              <w:rPr>
                <w:i/>
              </w:rPr>
              <w:t>Cx. pipiens</w:t>
            </w:r>
          </w:p>
        </w:tc>
        <w:tc>
          <w:tcPr>
            <w:tcW w:w="661" w:type="dxa"/>
          </w:tcPr>
          <w:p w14:paraId="7775E322" w14:textId="77777777" w:rsidR="00AE5FDA" w:rsidRPr="00AE5FDA" w:rsidRDefault="00AE5FDA" w:rsidP="00AE5FDA">
            <w:r w:rsidRPr="00AE5FDA">
              <w:t>Q</w:t>
            </w:r>
          </w:p>
        </w:tc>
        <w:tc>
          <w:tcPr>
            <w:tcW w:w="2939" w:type="dxa"/>
            <w:vAlign w:val="bottom"/>
          </w:tcPr>
          <w:p w14:paraId="0097884A" w14:textId="77777777" w:rsidR="00AE5FDA" w:rsidRPr="00AE5FDA" w:rsidRDefault="00AE5FDA" w:rsidP="00AE5FDA">
            <w:r w:rsidRPr="00AE5FDA">
              <w:t>2.11·10</w:t>
            </w:r>
            <w:r w:rsidRPr="00AE5FDA">
              <w:rPr>
                <w:vertAlign w:val="superscript"/>
              </w:rPr>
              <w:t>-3</w:t>
            </w:r>
            <w:r w:rsidRPr="00AE5FDA">
              <w:t xml:space="preserve"> (1.36–3.05·10</w:t>
            </w:r>
            <w:r w:rsidRPr="00AE5FDA">
              <w:rPr>
                <w:vertAlign w:val="superscript"/>
              </w:rPr>
              <w:t>-3</w:t>
            </w:r>
            <w:r w:rsidRPr="00AE5FDA">
              <w:t>)</w:t>
            </w:r>
          </w:p>
        </w:tc>
        <w:tc>
          <w:tcPr>
            <w:tcW w:w="1980" w:type="dxa"/>
            <w:vAlign w:val="bottom"/>
          </w:tcPr>
          <w:p w14:paraId="505438F4" w14:textId="77777777" w:rsidR="00AE5FDA" w:rsidRPr="00AE5FDA" w:rsidRDefault="00AE5FDA" w:rsidP="00AE5FDA">
            <w:r w:rsidRPr="00AE5FDA">
              <w:t>3.2 (0.5–7.1)</w:t>
            </w:r>
          </w:p>
        </w:tc>
        <w:tc>
          <w:tcPr>
            <w:tcW w:w="2070" w:type="dxa"/>
            <w:vAlign w:val="bottom"/>
          </w:tcPr>
          <w:p w14:paraId="4A19B9B7" w14:textId="77777777" w:rsidR="00AE5FDA" w:rsidRPr="00AE5FDA" w:rsidRDefault="00AE5FDA" w:rsidP="00AE5FDA">
            <w:r w:rsidRPr="00AE5FDA">
              <w:t>42.6 (39.7–48.3)</w:t>
            </w:r>
          </w:p>
        </w:tc>
        <w:tc>
          <w:tcPr>
            <w:tcW w:w="1980" w:type="dxa"/>
            <w:tcBorders>
              <w:right w:val="single" w:sz="4" w:space="0" w:color="auto"/>
            </w:tcBorders>
            <w:vAlign w:val="bottom"/>
          </w:tcPr>
          <w:p w14:paraId="57F674F3" w14:textId="77777777" w:rsidR="00AE5FDA" w:rsidRPr="00AE5FDA" w:rsidRDefault="00AE5FDA" w:rsidP="00AE5FDA">
            <w:r w:rsidRPr="00AE5FDA">
              <w:t>23.0 (20.7–26.3)</w:t>
            </w:r>
          </w:p>
        </w:tc>
      </w:tr>
      <w:tr w:rsidR="00AE5FDA" w:rsidRPr="00AE5FDA" w14:paraId="2D36329D" w14:textId="77777777" w:rsidTr="00A93316">
        <w:tc>
          <w:tcPr>
            <w:tcW w:w="3235" w:type="dxa"/>
            <w:tcBorders>
              <w:left w:val="single" w:sz="4" w:space="0" w:color="auto"/>
            </w:tcBorders>
          </w:tcPr>
          <w:p w14:paraId="5E33C18C" w14:textId="77777777" w:rsidR="00AE5FDA" w:rsidRPr="00AE5FDA" w:rsidRDefault="00AE5FDA" w:rsidP="00AE5FDA">
            <w:pPr>
              <w:rPr>
                <w:b/>
              </w:rPr>
            </w:pPr>
            <w:r w:rsidRPr="00AE5FDA">
              <w:rPr>
                <w:i/>
              </w:rPr>
              <w:t>Cx. quinquefasciatus</w:t>
            </w:r>
          </w:p>
        </w:tc>
        <w:tc>
          <w:tcPr>
            <w:tcW w:w="661" w:type="dxa"/>
          </w:tcPr>
          <w:p w14:paraId="029512F8" w14:textId="77777777" w:rsidR="00AE5FDA" w:rsidRPr="00AE5FDA" w:rsidRDefault="00AE5FDA" w:rsidP="00AE5FDA">
            <w:r w:rsidRPr="00AE5FDA">
              <w:t>B</w:t>
            </w:r>
          </w:p>
        </w:tc>
        <w:tc>
          <w:tcPr>
            <w:tcW w:w="2939" w:type="dxa"/>
            <w:vAlign w:val="bottom"/>
          </w:tcPr>
          <w:p w14:paraId="2C057848" w14:textId="77777777" w:rsidR="00AE5FDA" w:rsidRPr="00AE5FDA" w:rsidRDefault="00AE5FDA" w:rsidP="00AE5FDA">
            <w:r w:rsidRPr="00AE5FDA">
              <w:t>0.47·10</w:t>
            </w:r>
            <w:r w:rsidRPr="00AE5FDA">
              <w:rPr>
                <w:vertAlign w:val="superscript"/>
              </w:rPr>
              <w:t>-3</w:t>
            </w:r>
            <w:r w:rsidRPr="00AE5FDA">
              <w:t xml:space="preserve"> (0.34–0.62·10</w:t>
            </w:r>
            <w:r w:rsidRPr="00AE5FDA">
              <w:rPr>
                <w:vertAlign w:val="superscript"/>
              </w:rPr>
              <w:t>-3</w:t>
            </w:r>
            <w:r w:rsidRPr="00AE5FDA">
              <w:t>)</w:t>
            </w:r>
          </w:p>
        </w:tc>
        <w:tc>
          <w:tcPr>
            <w:tcW w:w="1980" w:type="dxa"/>
            <w:vAlign w:val="bottom"/>
          </w:tcPr>
          <w:p w14:paraId="68E420DF" w14:textId="77777777" w:rsidR="00AE5FDA" w:rsidRPr="00AE5FDA" w:rsidRDefault="00AE5FDA" w:rsidP="00AE5FDA">
            <w:r w:rsidRPr="00AE5FDA">
              <w:t>13.6 (9.3–16.8)</w:t>
            </w:r>
          </w:p>
        </w:tc>
        <w:tc>
          <w:tcPr>
            <w:tcW w:w="2070" w:type="dxa"/>
            <w:vAlign w:val="bottom"/>
          </w:tcPr>
          <w:p w14:paraId="12CDFD21" w14:textId="77777777" w:rsidR="00AE5FDA" w:rsidRPr="00AE5FDA" w:rsidRDefault="00AE5FDA" w:rsidP="00AE5FDA">
            <w:r w:rsidRPr="00AE5FDA">
              <w:t>38.0 (37.2–38.7)</w:t>
            </w:r>
          </w:p>
        </w:tc>
        <w:tc>
          <w:tcPr>
            <w:tcW w:w="1980" w:type="dxa"/>
            <w:tcBorders>
              <w:right w:val="single" w:sz="4" w:space="0" w:color="auto"/>
            </w:tcBorders>
            <w:vAlign w:val="bottom"/>
          </w:tcPr>
          <w:p w14:paraId="0374A6F8" w14:textId="77777777" w:rsidR="00AE5FDA" w:rsidRPr="00AE5FDA" w:rsidRDefault="00AE5FDA" w:rsidP="00AE5FDA">
            <w:r w:rsidRPr="00AE5FDA">
              <w:t>32.1 (31.3–32.7)</w:t>
            </w:r>
          </w:p>
        </w:tc>
      </w:tr>
      <w:tr w:rsidR="00AE5FDA" w:rsidRPr="00AE5FDA" w14:paraId="034E8958" w14:textId="77777777" w:rsidTr="00A93316">
        <w:tc>
          <w:tcPr>
            <w:tcW w:w="3235" w:type="dxa"/>
            <w:tcBorders>
              <w:left w:val="single" w:sz="4" w:space="0" w:color="auto"/>
            </w:tcBorders>
          </w:tcPr>
          <w:p w14:paraId="1340858F" w14:textId="77777777" w:rsidR="00AE5FDA" w:rsidRPr="00AE5FDA" w:rsidRDefault="00AE5FDA" w:rsidP="00AE5FDA">
            <w:pPr>
              <w:rPr>
                <w:i/>
              </w:rPr>
            </w:pPr>
            <w:r w:rsidRPr="00AE5FDA">
              <w:rPr>
                <w:i/>
              </w:rPr>
              <w:t>Cx. theileri</w:t>
            </w:r>
          </w:p>
        </w:tc>
        <w:tc>
          <w:tcPr>
            <w:tcW w:w="661" w:type="dxa"/>
          </w:tcPr>
          <w:p w14:paraId="2D506E3B" w14:textId="77777777" w:rsidR="00AE5FDA" w:rsidRPr="00AE5FDA" w:rsidRDefault="00AE5FDA" w:rsidP="00AE5FDA">
            <w:r w:rsidRPr="00AE5FDA">
              <w:t>Q</w:t>
            </w:r>
          </w:p>
        </w:tc>
        <w:tc>
          <w:tcPr>
            <w:tcW w:w="2939" w:type="dxa"/>
            <w:vAlign w:val="bottom"/>
          </w:tcPr>
          <w:p w14:paraId="01A19884" w14:textId="77777777" w:rsidR="00AE5FDA" w:rsidRPr="00AE5FDA" w:rsidRDefault="00AE5FDA" w:rsidP="00AE5FDA">
            <w:r w:rsidRPr="00AE5FDA">
              <w:t>2.54·10</w:t>
            </w:r>
            <w:r w:rsidRPr="00AE5FDA">
              <w:rPr>
                <w:vertAlign w:val="superscript"/>
              </w:rPr>
              <w:t>-3</w:t>
            </w:r>
            <w:r w:rsidRPr="00AE5FDA">
              <w:t xml:space="preserve"> (1.86–3.41·10</w:t>
            </w:r>
            <w:r w:rsidRPr="00AE5FDA">
              <w:rPr>
                <w:vertAlign w:val="superscript"/>
              </w:rPr>
              <w:t>-3</w:t>
            </w:r>
            <w:r w:rsidRPr="00AE5FDA">
              <w:t>)</w:t>
            </w:r>
          </w:p>
        </w:tc>
        <w:tc>
          <w:tcPr>
            <w:tcW w:w="1980" w:type="dxa"/>
            <w:vAlign w:val="bottom"/>
          </w:tcPr>
          <w:p w14:paraId="2F64B394" w14:textId="77777777" w:rsidR="00AE5FDA" w:rsidRPr="00AE5FDA" w:rsidRDefault="00AE5FDA" w:rsidP="00AE5FDA">
            <w:r w:rsidRPr="00AE5FDA">
              <w:t>5.5 (2.6–8)</w:t>
            </w:r>
          </w:p>
        </w:tc>
        <w:tc>
          <w:tcPr>
            <w:tcW w:w="2070" w:type="dxa"/>
            <w:vAlign w:val="bottom"/>
          </w:tcPr>
          <w:p w14:paraId="454A1460" w14:textId="77777777" w:rsidR="00AE5FDA" w:rsidRPr="00AE5FDA" w:rsidRDefault="00AE5FDA" w:rsidP="00AE5FDA">
            <w:r w:rsidRPr="00AE5FDA">
              <w:t>45.4 (42.4–49.0)</w:t>
            </w:r>
          </w:p>
        </w:tc>
        <w:tc>
          <w:tcPr>
            <w:tcW w:w="1980" w:type="dxa"/>
            <w:tcBorders>
              <w:right w:val="single" w:sz="4" w:space="0" w:color="auto"/>
            </w:tcBorders>
            <w:vAlign w:val="bottom"/>
          </w:tcPr>
          <w:p w14:paraId="45FC8386" w14:textId="77777777" w:rsidR="00AE5FDA" w:rsidRPr="00AE5FDA" w:rsidRDefault="00AE5FDA" w:rsidP="00AE5FDA">
            <w:r w:rsidRPr="00AE5FDA">
              <w:t>23.6 (18.2–27.0)</w:t>
            </w:r>
          </w:p>
        </w:tc>
      </w:tr>
      <w:tr w:rsidR="00AE5FDA" w:rsidRPr="00AE5FDA" w14:paraId="57B7BD0B" w14:textId="77777777" w:rsidTr="00A93316">
        <w:tc>
          <w:tcPr>
            <w:tcW w:w="3235" w:type="dxa"/>
            <w:tcBorders>
              <w:left w:val="single" w:sz="4" w:space="0" w:color="auto"/>
            </w:tcBorders>
          </w:tcPr>
          <w:p w14:paraId="76F7AA64" w14:textId="77777777" w:rsidR="00AE5FDA" w:rsidRPr="00AE5FDA" w:rsidRDefault="00AE5FDA" w:rsidP="00AE5FDA">
            <w:pPr>
              <w:rPr>
                <w:b/>
              </w:rPr>
            </w:pPr>
            <w:r w:rsidRPr="00AE5FDA">
              <w:rPr>
                <w:b/>
              </w:rPr>
              <w:t>Lifespan (</w:t>
            </w:r>
            <w:r w:rsidRPr="00AE5FDA">
              <w:rPr>
                <w:b/>
                <w:i/>
              </w:rPr>
              <w:t>lf</w:t>
            </w:r>
            <w:r w:rsidRPr="00AE5FDA">
              <w:rPr>
                <w:b/>
              </w:rPr>
              <w:t>)</w:t>
            </w:r>
          </w:p>
        </w:tc>
        <w:tc>
          <w:tcPr>
            <w:tcW w:w="661" w:type="dxa"/>
          </w:tcPr>
          <w:p w14:paraId="1650ABBB" w14:textId="77777777" w:rsidR="00AE5FDA" w:rsidRPr="00AE5FDA" w:rsidRDefault="00AE5FDA" w:rsidP="00AE5FDA"/>
        </w:tc>
        <w:tc>
          <w:tcPr>
            <w:tcW w:w="2939" w:type="dxa"/>
          </w:tcPr>
          <w:p w14:paraId="2FD8D09E" w14:textId="77777777" w:rsidR="00AE5FDA" w:rsidRPr="00AE5FDA" w:rsidRDefault="00AE5FDA" w:rsidP="00AE5FDA"/>
        </w:tc>
        <w:tc>
          <w:tcPr>
            <w:tcW w:w="1980" w:type="dxa"/>
          </w:tcPr>
          <w:p w14:paraId="2BC81345" w14:textId="77777777" w:rsidR="00AE5FDA" w:rsidRPr="00AE5FDA" w:rsidRDefault="00AE5FDA" w:rsidP="00AE5FDA"/>
        </w:tc>
        <w:tc>
          <w:tcPr>
            <w:tcW w:w="2070" w:type="dxa"/>
          </w:tcPr>
          <w:p w14:paraId="3597F7B0" w14:textId="77777777" w:rsidR="00AE5FDA" w:rsidRPr="00AE5FDA" w:rsidRDefault="00AE5FDA" w:rsidP="00AE5FDA"/>
        </w:tc>
        <w:tc>
          <w:tcPr>
            <w:tcW w:w="1980" w:type="dxa"/>
            <w:tcBorders>
              <w:right w:val="single" w:sz="4" w:space="0" w:color="auto"/>
            </w:tcBorders>
          </w:tcPr>
          <w:p w14:paraId="2205E891" w14:textId="77777777" w:rsidR="00AE5FDA" w:rsidRPr="00AE5FDA" w:rsidRDefault="00AE5FDA" w:rsidP="00AE5FDA"/>
        </w:tc>
      </w:tr>
      <w:tr w:rsidR="00AE5FDA" w:rsidRPr="00AE5FDA" w14:paraId="095A4C89" w14:textId="77777777" w:rsidTr="00A93316">
        <w:tc>
          <w:tcPr>
            <w:tcW w:w="3235" w:type="dxa"/>
            <w:tcBorders>
              <w:left w:val="single" w:sz="4" w:space="0" w:color="auto"/>
            </w:tcBorders>
          </w:tcPr>
          <w:p w14:paraId="3EDC3BF1" w14:textId="77777777" w:rsidR="00AE5FDA" w:rsidRPr="00AE5FDA" w:rsidRDefault="00AE5FDA" w:rsidP="00AE5FDA">
            <w:pPr>
              <w:rPr>
                <w:b/>
              </w:rPr>
            </w:pPr>
            <w:r w:rsidRPr="00AE5FDA">
              <w:rPr>
                <w:i/>
              </w:rPr>
              <w:t>Ae. aegypti–DENV</w:t>
            </w:r>
          </w:p>
        </w:tc>
        <w:tc>
          <w:tcPr>
            <w:tcW w:w="661" w:type="dxa"/>
          </w:tcPr>
          <w:p w14:paraId="21F46A70" w14:textId="77777777" w:rsidR="00AE5FDA" w:rsidRPr="00AE5FDA" w:rsidRDefault="00AE5FDA" w:rsidP="00AE5FDA">
            <w:r w:rsidRPr="00AE5FDA">
              <w:t>Q</w:t>
            </w:r>
          </w:p>
        </w:tc>
        <w:tc>
          <w:tcPr>
            <w:tcW w:w="2939" w:type="dxa"/>
            <w:vAlign w:val="bottom"/>
          </w:tcPr>
          <w:p w14:paraId="38A41504" w14:textId="77777777" w:rsidR="00AE5FDA" w:rsidRPr="00AE5FDA" w:rsidRDefault="00AE5FDA" w:rsidP="00AE5FDA">
            <w:r w:rsidRPr="00AE5FDA">
              <w:t>1.44·10</w:t>
            </w:r>
            <w:r w:rsidRPr="00AE5FDA">
              <w:rPr>
                <w:vertAlign w:val="superscript"/>
              </w:rPr>
              <w:t>-1</w:t>
            </w:r>
            <w:r w:rsidRPr="00AE5FDA">
              <w:t xml:space="preserve"> (1.05–2.21·10</w:t>
            </w:r>
            <w:r w:rsidRPr="00AE5FDA">
              <w:rPr>
                <w:vertAlign w:val="superscript"/>
              </w:rPr>
              <w:t>-1</w:t>
            </w:r>
            <w:r w:rsidRPr="00AE5FDA">
              <w:t>)</w:t>
            </w:r>
          </w:p>
        </w:tc>
        <w:tc>
          <w:tcPr>
            <w:tcW w:w="1980" w:type="dxa"/>
            <w:vAlign w:val="bottom"/>
          </w:tcPr>
          <w:p w14:paraId="09C71B7D" w14:textId="77777777" w:rsidR="00AE5FDA" w:rsidRPr="00AE5FDA" w:rsidRDefault="00AE5FDA" w:rsidP="00AE5FDA">
            <w:r w:rsidRPr="00AE5FDA">
              <w:t>9.0 (6.7–12.5)</w:t>
            </w:r>
          </w:p>
        </w:tc>
        <w:tc>
          <w:tcPr>
            <w:tcW w:w="2070" w:type="dxa"/>
            <w:vAlign w:val="bottom"/>
          </w:tcPr>
          <w:p w14:paraId="36764681" w14:textId="77777777" w:rsidR="00AE5FDA" w:rsidRPr="00AE5FDA" w:rsidRDefault="00AE5FDA" w:rsidP="00AE5FDA">
            <w:r w:rsidRPr="00AE5FDA">
              <w:t>37.7 (35.8–40.0)</w:t>
            </w:r>
          </w:p>
        </w:tc>
        <w:tc>
          <w:tcPr>
            <w:tcW w:w="1980" w:type="dxa"/>
            <w:tcBorders>
              <w:right w:val="single" w:sz="4" w:space="0" w:color="auto"/>
            </w:tcBorders>
            <w:vAlign w:val="bottom"/>
          </w:tcPr>
          <w:p w14:paraId="727B9043" w14:textId="77777777" w:rsidR="00AE5FDA" w:rsidRPr="00AE5FDA" w:rsidRDefault="00AE5FDA" w:rsidP="00AE5FDA">
            <w:r w:rsidRPr="00AE5FDA">
              <w:t>23.4 (22.2–24.8)</w:t>
            </w:r>
          </w:p>
        </w:tc>
      </w:tr>
      <w:tr w:rsidR="00AE5FDA" w:rsidRPr="00AE5FDA" w14:paraId="34572F30" w14:textId="77777777" w:rsidTr="00A93316">
        <w:tc>
          <w:tcPr>
            <w:tcW w:w="3235" w:type="dxa"/>
            <w:tcBorders>
              <w:left w:val="single" w:sz="4" w:space="0" w:color="auto"/>
            </w:tcBorders>
          </w:tcPr>
          <w:p w14:paraId="6836D05A" w14:textId="77777777" w:rsidR="00AE5FDA" w:rsidRPr="00AE5FDA" w:rsidRDefault="00AE5FDA" w:rsidP="00AE5FDA">
            <w:pPr>
              <w:rPr>
                <w:b/>
              </w:rPr>
            </w:pPr>
            <w:r w:rsidRPr="00AE5FDA">
              <w:rPr>
                <w:i/>
              </w:rPr>
              <w:t>Ae. aegypti–ZIKV</w:t>
            </w:r>
          </w:p>
        </w:tc>
        <w:tc>
          <w:tcPr>
            <w:tcW w:w="661" w:type="dxa"/>
          </w:tcPr>
          <w:p w14:paraId="19E3E976" w14:textId="77777777" w:rsidR="00AE5FDA" w:rsidRPr="00AE5FDA" w:rsidRDefault="00AE5FDA" w:rsidP="00AE5FDA">
            <w:r w:rsidRPr="00AE5FDA">
              <w:t>Q</w:t>
            </w:r>
          </w:p>
        </w:tc>
        <w:tc>
          <w:tcPr>
            <w:tcW w:w="2939" w:type="dxa"/>
            <w:vAlign w:val="bottom"/>
          </w:tcPr>
          <w:p w14:paraId="57800266" w14:textId="77777777" w:rsidR="00AE5FDA" w:rsidRPr="00AE5FDA" w:rsidRDefault="00AE5FDA" w:rsidP="00AE5FDA">
            <w:r w:rsidRPr="00AE5FDA">
              <w:t>2.96·10</w:t>
            </w:r>
            <w:r w:rsidRPr="00AE5FDA">
              <w:rPr>
                <w:vertAlign w:val="superscript"/>
              </w:rPr>
              <w:t>-1</w:t>
            </w:r>
            <w:r w:rsidRPr="00AE5FDA">
              <w:t xml:space="preserve"> (1.48–4.89·10</w:t>
            </w:r>
            <w:r w:rsidRPr="00AE5FDA">
              <w:rPr>
                <w:vertAlign w:val="superscript"/>
              </w:rPr>
              <w:t>-1</w:t>
            </w:r>
            <w:r w:rsidRPr="00AE5FDA">
              <w:t>)</w:t>
            </w:r>
          </w:p>
        </w:tc>
        <w:tc>
          <w:tcPr>
            <w:tcW w:w="1980" w:type="dxa"/>
            <w:vAlign w:val="bottom"/>
          </w:tcPr>
          <w:p w14:paraId="64E8D52D" w14:textId="77777777" w:rsidR="00AE5FDA" w:rsidRPr="00AE5FDA" w:rsidRDefault="00AE5FDA" w:rsidP="00AE5FDA">
            <w:r w:rsidRPr="00AE5FDA">
              <w:t>11.7 (5.1–14.5)</w:t>
            </w:r>
          </w:p>
        </w:tc>
        <w:tc>
          <w:tcPr>
            <w:tcW w:w="2070" w:type="dxa"/>
            <w:vAlign w:val="bottom"/>
          </w:tcPr>
          <w:p w14:paraId="5346FC2F" w14:textId="77777777" w:rsidR="00AE5FDA" w:rsidRPr="00AE5FDA" w:rsidRDefault="00AE5FDA" w:rsidP="00AE5FDA">
            <w:r w:rsidRPr="00AE5FDA">
              <w:t>37.2 (34.9–39.7)</w:t>
            </w:r>
          </w:p>
        </w:tc>
        <w:tc>
          <w:tcPr>
            <w:tcW w:w="1980" w:type="dxa"/>
            <w:tcBorders>
              <w:right w:val="single" w:sz="4" w:space="0" w:color="auto"/>
            </w:tcBorders>
            <w:vAlign w:val="bottom"/>
          </w:tcPr>
          <w:p w14:paraId="654572EF" w14:textId="77777777" w:rsidR="00AE5FDA" w:rsidRPr="00AE5FDA" w:rsidRDefault="00AE5FDA" w:rsidP="00AE5FDA">
            <w:r w:rsidRPr="00AE5FDA">
              <w:t>24.4 (21.7–25.8)</w:t>
            </w:r>
          </w:p>
        </w:tc>
      </w:tr>
      <w:tr w:rsidR="00AE5FDA" w:rsidRPr="00AE5FDA" w14:paraId="54017E6D" w14:textId="77777777" w:rsidTr="00A93316">
        <w:tc>
          <w:tcPr>
            <w:tcW w:w="3235" w:type="dxa"/>
            <w:tcBorders>
              <w:left w:val="single" w:sz="4" w:space="0" w:color="auto"/>
            </w:tcBorders>
          </w:tcPr>
          <w:p w14:paraId="0FBA21A7" w14:textId="77777777" w:rsidR="00AE5FDA" w:rsidRPr="00AE5FDA" w:rsidRDefault="00AE5FDA" w:rsidP="00AE5FDA">
            <w:pPr>
              <w:rPr>
                <w:b/>
              </w:rPr>
            </w:pPr>
            <w:r w:rsidRPr="00AE5FDA">
              <w:rPr>
                <w:i/>
              </w:rPr>
              <w:t>Ae. albopictus</w:t>
            </w:r>
          </w:p>
        </w:tc>
        <w:tc>
          <w:tcPr>
            <w:tcW w:w="661" w:type="dxa"/>
          </w:tcPr>
          <w:p w14:paraId="72A9B5A4" w14:textId="77777777" w:rsidR="00AE5FDA" w:rsidRPr="00AE5FDA" w:rsidRDefault="00AE5FDA" w:rsidP="00AE5FDA">
            <w:r w:rsidRPr="00AE5FDA">
              <w:t>Q</w:t>
            </w:r>
          </w:p>
        </w:tc>
        <w:tc>
          <w:tcPr>
            <w:tcW w:w="2939" w:type="dxa"/>
            <w:vAlign w:val="bottom"/>
          </w:tcPr>
          <w:p w14:paraId="73AA5AB2" w14:textId="77777777" w:rsidR="00AE5FDA" w:rsidRPr="00AE5FDA" w:rsidRDefault="00AE5FDA" w:rsidP="00AE5FDA">
            <w:r w:rsidRPr="00AE5FDA">
              <w:t>13.9·10</w:t>
            </w:r>
            <w:r w:rsidRPr="00AE5FDA">
              <w:rPr>
                <w:vertAlign w:val="superscript"/>
              </w:rPr>
              <w:t>-1</w:t>
            </w:r>
            <w:r w:rsidRPr="00AE5FDA">
              <w:t xml:space="preserve"> (7.73–23.1·10</w:t>
            </w:r>
            <w:r w:rsidRPr="00AE5FDA">
              <w:rPr>
                <w:vertAlign w:val="superscript"/>
              </w:rPr>
              <w:t>-1</w:t>
            </w:r>
            <w:r w:rsidRPr="00AE5FDA">
              <w:t>)</w:t>
            </w:r>
          </w:p>
        </w:tc>
        <w:tc>
          <w:tcPr>
            <w:tcW w:w="1980" w:type="dxa"/>
            <w:vAlign w:val="bottom"/>
          </w:tcPr>
          <w:p w14:paraId="69666442" w14:textId="77777777" w:rsidR="00AE5FDA" w:rsidRPr="00AE5FDA" w:rsidRDefault="00AE5FDA" w:rsidP="00AE5FDA">
            <w:r w:rsidRPr="00AE5FDA">
              <w:t>13.5 (10.4–16)</w:t>
            </w:r>
          </w:p>
        </w:tc>
        <w:tc>
          <w:tcPr>
            <w:tcW w:w="2070" w:type="dxa"/>
            <w:vAlign w:val="bottom"/>
          </w:tcPr>
          <w:p w14:paraId="18213316" w14:textId="77777777" w:rsidR="00AE5FDA" w:rsidRPr="00AE5FDA" w:rsidRDefault="00AE5FDA" w:rsidP="00AE5FDA">
            <w:r w:rsidRPr="00AE5FDA">
              <w:t>31.4 (29.5–34.0)</w:t>
            </w:r>
          </w:p>
        </w:tc>
        <w:tc>
          <w:tcPr>
            <w:tcW w:w="1980" w:type="dxa"/>
            <w:tcBorders>
              <w:right w:val="single" w:sz="4" w:space="0" w:color="auto"/>
            </w:tcBorders>
            <w:vAlign w:val="bottom"/>
          </w:tcPr>
          <w:p w14:paraId="4CB1972D" w14:textId="77777777" w:rsidR="00AE5FDA" w:rsidRPr="00AE5FDA" w:rsidRDefault="00AE5FDA" w:rsidP="00AE5FDA">
            <w:r w:rsidRPr="00AE5FDA">
              <w:t>22.5 (21.1–23.7)</w:t>
            </w:r>
          </w:p>
        </w:tc>
      </w:tr>
      <w:tr w:rsidR="00AE5FDA" w:rsidRPr="00AE5FDA" w14:paraId="47C5A1C3" w14:textId="77777777" w:rsidTr="00A93316">
        <w:tc>
          <w:tcPr>
            <w:tcW w:w="3235" w:type="dxa"/>
            <w:tcBorders>
              <w:left w:val="single" w:sz="4" w:space="0" w:color="auto"/>
            </w:tcBorders>
          </w:tcPr>
          <w:p w14:paraId="1E435B4A" w14:textId="77777777" w:rsidR="00AE5FDA" w:rsidRPr="00AE5FDA" w:rsidRDefault="00AE5FDA" w:rsidP="00AE5FDA">
            <w:pPr>
              <w:rPr>
                <w:b/>
              </w:rPr>
            </w:pPr>
            <w:r w:rsidRPr="00AE5FDA">
              <w:rPr>
                <w:i/>
              </w:rPr>
              <w:t>Cx. annulirostris</w:t>
            </w:r>
          </w:p>
        </w:tc>
        <w:tc>
          <w:tcPr>
            <w:tcW w:w="661" w:type="dxa"/>
          </w:tcPr>
          <w:p w14:paraId="1911E281" w14:textId="77777777" w:rsidR="00AE5FDA" w:rsidRPr="00AE5FDA" w:rsidRDefault="00AE5FDA" w:rsidP="00AE5FDA">
            <w:r w:rsidRPr="00AE5FDA">
              <w:t>Q</w:t>
            </w:r>
          </w:p>
        </w:tc>
        <w:tc>
          <w:tcPr>
            <w:tcW w:w="2939" w:type="dxa"/>
            <w:vAlign w:val="bottom"/>
          </w:tcPr>
          <w:p w14:paraId="5E2B2050" w14:textId="77777777" w:rsidR="00AE5FDA" w:rsidRPr="00AE5FDA" w:rsidRDefault="00AE5FDA" w:rsidP="00AE5FDA">
            <w:r w:rsidRPr="00AE5FDA">
              <w:t>2.42·10</w:t>
            </w:r>
            <w:r w:rsidRPr="00AE5FDA">
              <w:rPr>
                <w:vertAlign w:val="superscript"/>
              </w:rPr>
              <w:t>-1</w:t>
            </w:r>
            <w:r w:rsidRPr="00AE5FDA">
              <w:t xml:space="preserve"> (1.77–3.04·10</w:t>
            </w:r>
            <w:r w:rsidRPr="00AE5FDA">
              <w:rPr>
                <w:vertAlign w:val="superscript"/>
              </w:rPr>
              <w:t>-1</w:t>
            </w:r>
            <w:r w:rsidRPr="00AE5FDA">
              <w:t>)</w:t>
            </w:r>
          </w:p>
        </w:tc>
        <w:tc>
          <w:tcPr>
            <w:tcW w:w="1980" w:type="dxa"/>
            <w:vAlign w:val="bottom"/>
          </w:tcPr>
          <w:p w14:paraId="378398C5" w14:textId="77777777" w:rsidR="00AE5FDA" w:rsidRPr="00AE5FDA" w:rsidRDefault="00AE5FDA" w:rsidP="00AE5FDA">
            <w:r w:rsidRPr="00AE5FDA">
              <w:t>13.1 (10.6–14.6)</w:t>
            </w:r>
          </w:p>
        </w:tc>
        <w:tc>
          <w:tcPr>
            <w:tcW w:w="2070" w:type="dxa"/>
            <w:vAlign w:val="bottom"/>
          </w:tcPr>
          <w:p w14:paraId="4E889322" w14:textId="77777777" w:rsidR="00AE5FDA" w:rsidRPr="00AE5FDA" w:rsidRDefault="00AE5FDA" w:rsidP="00AE5FDA">
            <w:r w:rsidRPr="00AE5FDA">
              <w:t>33.6 (33.0–34.5)</w:t>
            </w:r>
          </w:p>
        </w:tc>
        <w:tc>
          <w:tcPr>
            <w:tcW w:w="1980" w:type="dxa"/>
            <w:tcBorders>
              <w:right w:val="single" w:sz="4" w:space="0" w:color="auto"/>
            </w:tcBorders>
          </w:tcPr>
          <w:p w14:paraId="688169D3" w14:textId="77777777" w:rsidR="00AE5FDA" w:rsidRPr="00AE5FDA" w:rsidRDefault="00AE5FDA" w:rsidP="00AE5FDA">
            <w:r w:rsidRPr="00AE5FDA">
              <w:t>23.4 (22.4–24.0)</w:t>
            </w:r>
          </w:p>
        </w:tc>
      </w:tr>
      <w:tr w:rsidR="00AE5FDA" w:rsidRPr="00AE5FDA" w14:paraId="7C9080AC" w14:textId="77777777" w:rsidTr="00A93316">
        <w:tc>
          <w:tcPr>
            <w:tcW w:w="3235" w:type="dxa"/>
            <w:tcBorders>
              <w:left w:val="single" w:sz="4" w:space="0" w:color="auto"/>
            </w:tcBorders>
          </w:tcPr>
          <w:p w14:paraId="00BB3978" w14:textId="77777777" w:rsidR="00AE5FDA" w:rsidRPr="00AE5FDA" w:rsidRDefault="00AE5FDA" w:rsidP="00AE5FDA">
            <w:pPr>
              <w:rPr>
                <w:b/>
              </w:rPr>
            </w:pPr>
            <w:r w:rsidRPr="00AE5FDA">
              <w:rPr>
                <w:b/>
              </w:rPr>
              <w:t>Transmission probability (</w:t>
            </w:r>
            <w:r w:rsidRPr="00AE5FDA">
              <w:rPr>
                <w:b/>
                <w:i/>
              </w:rPr>
              <w:t>b</w:t>
            </w:r>
            <w:r w:rsidRPr="00AE5FDA">
              <w:rPr>
                <w:b/>
              </w:rPr>
              <w:t>)</w:t>
            </w:r>
          </w:p>
        </w:tc>
        <w:tc>
          <w:tcPr>
            <w:tcW w:w="661" w:type="dxa"/>
          </w:tcPr>
          <w:p w14:paraId="29986352" w14:textId="77777777" w:rsidR="00AE5FDA" w:rsidRPr="00AE5FDA" w:rsidRDefault="00AE5FDA" w:rsidP="00AE5FDA"/>
        </w:tc>
        <w:tc>
          <w:tcPr>
            <w:tcW w:w="2939" w:type="dxa"/>
          </w:tcPr>
          <w:p w14:paraId="56271981" w14:textId="77777777" w:rsidR="00AE5FDA" w:rsidRPr="00AE5FDA" w:rsidRDefault="00AE5FDA" w:rsidP="00AE5FDA"/>
        </w:tc>
        <w:tc>
          <w:tcPr>
            <w:tcW w:w="1980" w:type="dxa"/>
          </w:tcPr>
          <w:p w14:paraId="350A519A" w14:textId="77777777" w:rsidR="00AE5FDA" w:rsidRPr="00AE5FDA" w:rsidRDefault="00AE5FDA" w:rsidP="00AE5FDA"/>
        </w:tc>
        <w:tc>
          <w:tcPr>
            <w:tcW w:w="2070" w:type="dxa"/>
          </w:tcPr>
          <w:p w14:paraId="67E95A1C" w14:textId="77777777" w:rsidR="00AE5FDA" w:rsidRPr="00AE5FDA" w:rsidRDefault="00AE5FDA" w:rsidP="00AE5FDA"/>
        </w:tc>
        <w:tc>
          <w:tcPr>
            <w:tcW w:w="1980" w:type="dxa"/>
            <w:tcBorders>
              <w:right w:val="single" w:sz="4" w:space="0" w:color="auto"/>
            </w:tcBorders>
          </w:tcPr>
          <w:p w14:paraId="7E32C3DA" w14:textId="77777777" w:rsidR="00AE5FDA" w:rsidRPr="00AE5FDA" w:rsidRDefault="00AE5FDA" w:rsidP="00AE5FDA"/>
        </w:tc>
      </w:tr>
      <w:tr w:rsidR="00AE5FDA" w:rsidRPr="00AE5FDA" w14:paraId="3D061373" w14:textId="77777777" w:rsidTr="00A93316">
        <w:tc>
          <w:tcPr>
            <w:tcW w:w="3235" w:type="dxa"/>
            <w:tcBorders>
              <w:left w:val="single" w:sz="4" w:space="0" w:color="auto"/>
            </w:tcBorders>
          </w:tcPr>
          <w:p w14:paraId="4EA537B3" w14:textId="77777777" w:rsidR="00AE5FDA" w:rsidRPr="00AE5FDA" w:rsidRDefault="00AE5FDA" w:rsidP="00AE5FDA">
            <w:pPr>
              <w:rPr>
                <w:i/>
              </w:rPr>
            </w:pPr>
            <w:r w:rsidRPr="00AE5FDA">
              <w:t xml:space="preserve">DENV | </w:t>
            </w:r>
            <w:r w:rsidRPr="00AE5FDA">
              <w:rPr>
                <w:i/>
              </w:rPr>
              <w:t>Ae. aegypti</w:t>
            </w:r>
          </w:p>
        </w:tc>
        <w:tc>
          <w:tcPr>
            <w:tcW w:w="661" w:type="dxa"/>
          </w:tcPr>
          <w:p w14:paraId="3356B98D" w14:textId="77777777" w:rsidR="00AE5FDA" w:rsidRPr="00AE5FDA" w:rsidRDefault="00AE5FDA" w:rsidP="00AE5FDA">
            <w:r w:rsidRPr="00AE5FDA">
              <w:t>B</w:t>
            </w:r>
          </w:p>
        </w:tc>
        <w:tc>
          <w:tcPr>
            <w:tcW w:w="2939" w:type="dxa"/>
            <w:vAlign w:val="bottom"/>
          </w:tcPr>
          <w:p w14:paraId="211922CD" w14:textId="77777777" w:rsidR="00AE5FDA" w:rsidRPr="00AE5FDA" w:rsidRDefault="00AE5FDA" w:rsidP="00AE5FDA">
            <w:r w:rsidRPr="00AE5FDA">
              <w:t>8.33·10</w:t>
            </w:r>
            <w:r w:rsidRPr="00AE5FDA">
              <w:rPr>
                <w:vertAlign w:val="superscript"/>
              </w:rPr>
              <w:t>-4</w:t>
            </w:r>
            <w:r w:rsidRPr="00AE5FDA">
              <w:t xml:space="preserve"> (5.42–12.4·10</w:t>
            </w:r>
            <w:r w:rsidRPr="00AE5FDA">
              <w:rPr>
                <w:vertAlign w:val="superscript"/>
              </w:rPr>
              <w:t>-4</w:t>
            </w:r>
            <w:r w:rsidRPr="00AE5FDA">
              <w:t>)</w:t>
            </w:r>
          </w:p>
        </w:tc>
        <w:tc>
          <w:tcPr>
            <w:tcW w:w="1980" w:type="dxa"/>
            <w:vAlign w:val="bottom"/>
          </w:tcPr>
          <w:p w14:paraId="5C58DE60" w14:textId="77777777" w:rsidR="00AE5FDA" w:rsidRPr="00AE5FDA" w:rsidRDefault="00AE5FDA" w:rsidP="00AE5FDA">
            <w:r w:rsidRPr="00AE5FDA">
              <w:t>17.2 (12.1–20.9)</w:t>
            </w:r>
          </w:p>
        </w:tc>
        <w:tc>
          <w:tcPr>
            <w:tcW w:w="2070" w:type="dxa"/>
            <w:vAlign w:val="bottom"/>
          </w:tcPr>
          <w:p w14:paraId="5857E2CA" w14:textId="77777777" w:rsidR="00AE5FDA" w:rsidRPr="00AE5FDA" w:rsidRDefault="00AE5FDA" w:rsidP="00AE5FDA">
            <w:r w:rsidRPr="00AE5FDA">
              <w:t>35.8 (35.1–36.8)</w:t>
            </w:r>
          </w:p>
        </w:tc>
        <w:tc>
          <w:tcPr>
            <w:tcW w:w="1980" w:type="dxa"/>
            <w:tcBorders>
              <w:right w:val="single" w:sz="4" w:space="0" w:color="auto"/>
            </w:tcBorders>
          </w:tcPr>
          <w:p w14:paraId="3EA43806" w14:textId="77777777" w:rsidR="00AE5FDA" w:rsidRPr="00AE5FDA" w:rsidRDefault="00AE5FDA" w:rsidP="00AE5FDA">
            <w:r w:rsidRPr="00AE5FDA">
              <w:t>31.0 (29.9–32.1)</w:t>
            </w:r>
          </w:p>
        </w:tc>
      </w:tr>
      <w:tr w:rsidR="00AE5FDA" w:rsidRPr="00AE5FDA" w14:paraId="2CE9CCB6" w14:textId="77777777" w:rsidTr="00A93316">
        <w:tc>
          <w:tcPr>
            <w:tcW w:w="3235" w:type="dxa"/>
            <w:tcBorders>
              <w:left w:val="single" w:sz="4" w:space="0" w:color="auto"/>
            </w:tcBorders>
          </w:tcPr>
          <w:p w14:paraId="2D24F161" w14:textId="77777777" w:rsidR="00AE5FDA" w:rsidRPr="00AE5FDA" w:rsidRDefault="00AE5FDA" w:rsidP="00AE5FDA">
            <w:pPr>
              <w:rPr>
                <w:i/>
              </w:rPr>
            </w:pPr>
            <w:r w:rsidRPr="00AE5FDA">
              <w:t xml:space="preserve">DENV | </w:t>
            </w:r>
            <w:r w:rsidRPr="00AE5FDA">
              <w:rPr>
                <w:i/>
              </w:rPr>
              <w:t>Ae. albopictus</w:t>
            </w:r>
          </w:p>
        </w:tc>
        <w:tc>
          <w:tcPr>
            <w:tcW w:w="661" w:type="dxa"/>
          </w:tcPr>
          <w:p w14:paraId="7D4CDE77" w14:textId="77777777" w:rsidR="00AE5FDA" w:rsidRPr="00AE5FDA" w:rsidRDefault="00AE5FDA" w:rsidP="00AE5FDA">
            <w:r w:rsidRPr="00AE5FDA">
              <w:t>B</w:t>
            </w:r>
          </w:p>
        </w:tc>
        <w:tc>
          <w:tcPr>
            <w:tcW w:w="2939" w:type="dxa"/>
            <w:vAlign w:val="bottom"/>
          </w:tcPr>
          <w:p w14:paraId="08FF7F55" w14:textId="77777777" w:rsidR="00AE5FDA" w:rsidRPr="00AE5FDA" w:rsidRDefault="00AE5FDA" w:rsidP="00AE5FDA">
            <w:r w:rsidRPr="00AE5FDA">
              <w:t>7.23·10</w:t>
            </w:r>
            <w:r w:rsidRPr="00AE5FDA">
              <w:rPr>
                <w:vertAlign w:val="superscript"/>
              </w:rPr>
              <w:t>-4</w:t>
            </w:r>
            <w:r w:rsidRPr="00AE5FDA">
              <w:t xml:space="preserve"> (4.62–10.7·10</w:t>
            </w:r>
            <w:r w:rsidRPr="00AE5FDA">
              <w:rPr>
                <w:vertAlign w:val="superscript"/>
              </w:rPr>
              <w:t>-4</w:t>
            </w:r>
            <w:r w:rsidRPr="00AE5FDA">
              <w:t>)</w:t>
            </w:r>
          </w:p>
        </w:tc>
        <w:tc>
          <w:tcPr>
            <w:tcW w:w="1980" w:type="dxa"/>
            <w:vAlign w:val="bottom"/>
          </w:tcPr>
          <w:p w14:paraId="4CC49C58" w14:textId="77777777" w:rsidR="00AE5FDA" w:rsidRPr="00AE5FDA" w:rsidRDefault="00AE5FDA" w:rsidP="00AE5FDA">
            <w:r w:rsidRPr="00AE5FDA">
              <w:t>16.0 (11.3–19.8)</w:t>
            </w:r>
          </w:p>
        </w:tc>
        <w:tc>
          <w:tcPr>
            <w:tcW w:w="2070" w:type="dxa"/>
            <w:vAlign w:val="bottom"/>
          </w:tcPr>
          <w:p w14:paraId="2DAECC36" w14:textId="77777777" w:rsidR="00AE5FDA" w:rsidRPr="00AE5FDA" w:rsidRDefault="00AE5FDA" w:rsidP="00AE5FDA">
            <w:r w:rsidRPr="00AE5FDA">
              <w:t>36.3 (36.0–37.1)</w:t>
            </w:r>
          </w:p>
        </w:tc>
        <w:tc>
          <w:tcPr>
            <w:tcW w:w="1980" w:type="dxa"/>
            <w:tcBorders>
              <w:right w:val="single" w:sz="4" w:space="0" w:color="auto"/>
            </w:tcBorders>
          </w:tcPr>
          <w:p w14:paraId="25DD1134" w14:textId="77777777" w:rsidR="00AE5FDA" w:rsidRPr="00AE5FDA" w:rsidRDefault="00AE5FDA" w:rsidP="00AE5FDA">
            <w:r w:rsidRPr="00AE5FDA">
              <w:t>31.2 (29.9–32.1)</w:t>
            </w:r>
          </w:p>
        </w:tc>
      </w:tr>
      <w:tr w:rsidR="00AE5FDA" w:rsidRPr="00AE5FDA" w14:paraId="5F892519" w14:textId="77777777" w:rsidTr="00A93316">
        <w:tc>
          <w:tcPr>
            <w:tcW w:w="3235" w:type="dxa"/>
            <w:tcBorders>
              <w:left w:val="single" w:sz="4" w:space="0" w:color="auto"/>
            </w:tcBorders>
          </w:tcPr>
          <w:p w14:paraId="205F2D46" w14:textId="77777777" w:rsidR="00AE5FDA" w:rsidRPr="00AE5FDA" w:rsidRDefault="00AE5FDA" w:rsidP="00AE5FDA">
            <w:pPr>
              <w:rPr>
                <w:i/>
              </w:rPr>
            </w:pPr>
            <w:r w:rsidRPr="00AE5FDA">
              <w:t xml:space="preserve">ZIKV | </w:t>
            </w:r>
            <w:r w:rsidRPr="00AE5FDA">
              <w:rPr>
                <w:i/>
              </w:rPr>
              <w:t>Ae. aegypti</w:t>
            </w:r>
          </w:p>
        </w:tc>
        <w:tc>
          <w:tcPr>
            <w:tcW w:w="661" w:type="dxa"/>
          </w:tcPr>
          <w:p w14:paraId="7E589105" w14:textId="77777777" w:rsidR="00AE5FDA" w:rsidRPr="00AE5FDA" w:rsidRDefault="00AE5FDA" w:rsidP="00AE5FDA">
            <w:r w:rsidRPr="00AE5FDA">
              <w:t>B</w:t>
            </w:r>
          </w:p>
        </w:tc>
        <w:tc>
          <w:tcPr>
            <w:tcW w:w="2939" w:type="dxa"/>
            <w:vAlign w:val="bottom"/>
          </w:tcPr>
          <w:p w14:paraId="26C06EAB" w14:textId="77777777" w:rsidR="00AE5FDA" w:rsidRPr="00AE5FDA" w:rsidRDefault="00AE5FDA" w:rsidP="00AE5FDA">
            <w:r w:rsidRPr="00AE5FDA">
              <w:t>3.44·10</w:t>
            </w:r>
            <w:r w:rsidRPr="00AE5FDA">
              <w:rPr>
                <w:vertAlign w:val="superscript"/>
              </w:rPr>
              <w:t>-3</w:t>
            </w:r>
            <w:r w:rsidRPr="00AE5FDA">
              <w:t xml:space="preserve"> (1.83–5.65·10</w:t>
            </w:r>
            <w:r w:rsidRPr="00AE5FDA">
              <w:rPr>
                <w:vertAlign w:val="superscript"/>
              </w:rPr>
              <w:t>-3</w:t>
            </w:r>
            <w:r w:rsidRPr="00AE5FDA">
              <w:t>)</w:t>
            </w:r>
          </w:p>
        </w:tc>
        <w:tc>
          <w:tcPr>
            <w:tcW w:w="1980" w:type="dxa"/>
            <w:vAlign w:val="bottom"/>
          </w:tcPr>
          <w:p w14:paraId="3F6267B8" w14:textId="77777777" w:rsidR="00AE5FDA" w:rsidRPr="00AE5FDA" w:rsidRDefault="00AE5FDA" w:rsidP="00AE5FDA">
            <w:r w:rsidRPr="00AE5FDA">
              <w:t>22.9 (20.5–23.9)</w:t>
            </w:r>
          </w:p>
        </w:tc>
        <w:tc>
          <w:tcPr>
            <w:tcW w:w="2070" w:type="dxa"/>
            <w:vAlign w:val="bottom"/>
          </w:tcPr>
          <w:p w14:paraId="3D31D044" w14:textId="77777777" w:rsidR="00AE5FDA" w:rsidRPr="00AE5FDA" w:rsidRDefault="00AE5FDA" w:rsidP="00AE5FDA">
            <w:r w:rsidRPr="00AE5FDA">
              <w:t>38.4 (36.6–40.5)</w:t>
            </w:r>
          </w:p>
        </w:tc>
        <w:tc>
          <w:tcPr>
            <w:tcW w:w="1980" w:type="dxa"/>
            <w:tcBorders>
              <w:right w:val="single" w:sz="4" w:space="0" w:color="auto"/>
            </w:tcBorders>
          </w:tcPr>
          <w:p w14:paraId="3B0F930D" w14:textId="77777777" w:rsidR="00AE5FDA" w:rsidRPr="00AE5FDA" w:rsidRDefault="00AE5FDA" w:rsidP="00AE5FDA">
            <w:r w:rsidRPr="00AE5FDA">
              <w:t>30.6 (29.6–31.5)</w:t>
            </w:r>
          </w:p>
        </w:tc>
      </w:tr>
      <w:tr w:rsidR="00AE5FDA" w:rsidRPr="00AE5FDA" w14:paraId="48497A0F" w14:textId="77777777" w:rsidTr="00A93316">
        <w:tc>
          <w:tcPr>
            <w:tcW w:w="3235" w:type="dxa"/>
            <w:tcBorders>
              <w:left w:val="single" w:sz="4" w:space="0" w:color="auto"/>
            </w:tcBorders>
          </w:tcPr>
          <w:p w14:paraId="2B6125F2" w14:textId="77777777" w:rsidR="00AE5FDA" w:rsidRPr="00AE5FDA" w:rsidRDefault="00AE5FDA" w:rsidP="00AE5FDA">
            <w:r w:rsidRPr="00AE5FDA">
              <w:lastRenderedPageBreak/>
              <w:t xml:space="preserve">SLEV | </w:t>
            </w:r>
            <w:r w:rsidRPr="00AE5FDA">
              <w:rPr>
                <w:i/>
              </w:rPr>
              <w:t>Cx. tarsalis</w:t>
            </w:r>
          </w:p>
        </w:tc>
        <w:tc>
          <w:tcPr>
            <w:tcW w:w="661" w:type="dxa"/>
          </w:tcPr>
          <w:p w14:paraId="48F9840A" w14:textId="77777777" w:rsidR="00AE5FDA" w:rsidRPr="00AE5FDA" w:rsidRDefault="00AE5FDA" w:rsidP="00AE5FDA">
            <w:r w:rsidRPr="00AE5FDA">
              <w:t>Q</w:t>
            </w:r>
          </w:p>
        </w:tc>
        <w:tc>
          <w:tcPr>
            <w:tcW w:w="2939" w:type="dxa"/>
            <w:vAlign w:val="bottom"/>
          </w:tcPr>
          <w:p w14:paraId="274B4648" w14:textId="77777777" w:rsidR="00AE5FDA" w:rsidRPr="00AE5FDA" w:rsidRDefault="00AE5FDA" w:rsidP="00AE5FDA">
            <w:r w:rsidRPr="00AE5FDA">
              <w:t>2.98·10</w:t>
            </w:r>
            <w:r w:rsidRPr="00AE5FDA">
              <w:rPr>
                <w:vertAlign w:val="superscript"/>
              </w:rPr>
              <w:t>-3</w:t>
            </w:r>
            <w:r w:rsidRPr="00AE5FDA">
              <w:t xml:space="preserve"> (1.63–5.31·10</w:t>
            </w:r>
            <w:r w:rsidRPr="00AE5FDA">
              <w:rPr>
                <w:vertAlign w:val="superscript"/>
              </w:rPr>
              <w:t>-3</w:t>
            </w:r>
            <w:r w:rsidRPr="00AE5FDA">
              <w:t>)</w:t>
            </w:r>
          </w:p>
        </w:tc>
        <w:tc>
          <w:tcPr>
            <w:tcW w:w="1980" w:type="dxa"/>
            <w:vAlign w:val="bottom"/>
          </w:tcPr>
          <w:p w14:paraId="0DD3F90C" w14:textId="77777777" w:rsidR="00AE5FDA" w:rsidRPr="00AE5FDA" w:rsidRDefault="00AE5FDA" w:rsidP="00AE5FDA">
            <w:r w:rsidRPr="00AE5FDA">
              <w:t>10.8 (6.2–14.2)</w:t>
            </w:r>
          </w:p>
        </w:tc>
        <w:tc>
          <w:tcPr>
            <w:tcW w:w="2070" w:type="dxa"/>
            <w:vAlign w:val="bottom"/>
          </w:tcPr>
          <w:p w14:paraId="18060060" w14:textId="77777777" w:rsidR="00AE5FDA" w:rsidRPr="00AE5FDA" w:rsidRDefault="00AE5FDA" w:rsidP="00AE5FDA">
            <w:r w:rsidRPr="00AE5FDA">
              <w:t>41.6 (36.8–49.1)</w:t>
            </w:r>
          </w:p>
        </w:tc>
        <w:tc>
          <w:tcPr>
            <w:tcW w:w="1980" w:type="dxa"/>
            <w:tcBorders>
              <w:right w:val="single" w:sz="4" w:space="0" w:color="auto"/>
            </w:tcBorders>
            <w:vAlign w:val="bottom"/>
          </w:tcPr>
          <w:p w14:paraId="39493380" w14:textId="77777777" w:rsidR="00AE5FDA" w:rsidRPr="00AE5FDA" w:rsidRDefault="00AE5FDA" w:rsidP="00AE5FDA">
            <w:r w:rsidRPr="00AE5FDA">
              <w:t>26.2 (23.5–29.7)</w:t>
            </w:r>
          </w:p>
        </w:tc>
      </w:tr>
      <w:tr w:rsidR="00AE5FDA" w:rsidRPr="00AE5FDA" w14:paraId="5050F262" w14:textId="77777777" w:rsidTr="00A93316">
        <w:tc>
          <w:tcPr>
            <w:tcW w:w="3235" w:type="dxa"/>
            <w:tcBorders>
              <w:left w:val="single" w:sz="4" w:space="0" w:color="auto"/>
            </w:tcBorders>
          </w:tcPr>
          <w:p w14:paraId="45DC7301" w14:textId="77777777" w:rsidR="00AE5FDA" w:rsidRPr="00AE5FDA" w:rsidRDefault="00AE5FDA" w:rsidP="00AE5FDA">
            <w:r w:rsidRPr="00AE5FDA">
              <w:t xml:space="preserve">WEEV | </w:t>
            </w:r>
            <w:r w:rsidRPr="00AE5FDA">
              <w:rPr>
                <w:i/>
              </w:rPr>
              <w:t>Cx. tarsalis</w:t>
            </w:r>
          </w:p>
        </w:tc>
        <w:tc>
          <w:tcPr>
            <w:tcW w:w="661" w:type="dxa"/>
          </w:tcPr>
          <w:p w14:paraId="3534DA3C" w14:textId="77777777" w:rsidR="00AE5FDA" w:rsidRPr="00AE5FDA" w:rsidRDefault="00AE5FDA" w:rsidP="00AE5FDA">
            <w:r w:rsidRPr="00AE5FDA">
              <w:t>Q</w:t>
            </w:r>
          </w:p>
        </w:tc>
        <w:tc>
          <w:tcPr>
            <w:tcW w:w="2939" w:type="dxa"/>
            <w:vAlign w:val="bottom"/>
          </w:tcPr>
          <w:p w14:paraId="47A506B7" w14:textId="77777777" w:rsidR="00AE5FDA" w:rsidRPr="00AE5FDA" w:rsidRDefault="00AE5FDA" w:rsidP="00AE5FDA">
            <w:r w:rsidRPr="00AE5FDA">
              <w:t>3.17·10</w:t>
            </w:r>
            <w:r w:rsidRPr="00AE5FDA">
              <w:rPr>
                <w:vertAlign w:val="superscript"/>
              </w:rPr>
              <w:t>-3</w:t>
            </w:r>
            <w:r w:rsidRPr="00AE5FDA">
              <w:t xml:space="preserve"> (1.65–5.06·10</w:t>
            </w:r>
            <w:r w:rsidRPr="00AE5FDA">
              <w:rPr>
                <w:vertAlign w:val="superscript"/>
              </w:rPr>
              <w:t>-3</w:t>
            </w:r>
            <w:r w:rsidRPr="00AE5FDA">
              <w:t>)</w:t>
            </w:r>
          </w:p>
        </w:tc>
        <w:tc>
          <w:tcPr>
            <w:tcW w:w="1980" w:type="dxa"/>
            <w:vAlign w:val="bottom"/>
          </w:tcPr>
          <w:p w14:paraId="20FF68EF" w14:textId="77777777" w:rsidR="00AE5FDA" w:rsidRPr="00AE5FDA" w:rsidRDefault="00AE5FDA" w:rsidP="00AE5FDA">
            <w:r w:rsidRPr="00AE5FDA">
              <w:t>8.2 (5.1–10.7)</w:t>
            </w:r>
          </w:p>
        </w:tc>
        <w:tc>
          <w:tcPr>
            <w:tcW w:w="2070" w:type="dxa"/>
            <w:vAlign w:val="bottom"/>
          </w:tcPr>
          <w:p w14:paraId="0169531F" w14:textId="77777777" w:rsidR="00AE5FDA" w:rsidRPr="00AE5FDA" w:rsidRDefault="00AE5FDA" w:rsidP="00AE5FDA">
            <w:r w:rsidRPr="00AE5FDA">
              <w:t>33.5 (31.0–38.9)</w:t>
            </w:r>
          </w:p>
        </w:tc>
        <w:tc>
          <w:tcPr>
            <w:tcW w:w="1980" w:type="dxa"/>
            <w:tcBorders>
              <w:right w:val="single" w:sz="4" w:space="0" w:color="auto"/>
            </w:tcBorders>
            <w:vAlign w:val="bottom"/>
          </w:tcPr>
          <w:p w14:paraId="40A68BE0" w14:textId="77777777" w:rsidR="00AE5FDA" w:rsidRPr="00AE5FDA" w:rsidRDefault="00AE5FDA" w:rsidP="00AE5FDA">
            <w:r w:rsidRPr="00AE5FDA">
              <w:t>20.9 (19.2–23.2)</w:t>
            </w:r>
          </w:p>
        </w:tc>
      </w:tr>
      <w:tr w:rsidR="00AE5FDA" w:rsidRPr="00AE5FDA" w14:paraId="586DD52B" w14:textId="77777777" w:rsidTr="00A93316">
        <w:tc>
          <w:tcPr>
            <w:tcW w:w="3235" w:type="dxa"/>
            <w:tcBorders>
              <w:left w:val="single" w:sz="4" w:space="0" w:color="auto"/>
            </w:tcBorders>
          </w:tcPr>
          <w:p w14:paraId="4C6F6F05" w14:textId="77777777" w:rsidR="00AE5FDA" w:rsidRPr="00AE5FDA" w:rsidRDefault="00AE5FDA" w:rsidP="00AE5FDA">
            <w:pPr>
              <w:rPr>
                <w:i/>
              </w:rPr>
            </w:pPr>
            <w:r w:rsidRPr="00AE5FDA">
              <w:t xml:space="preserve">WNV | </w:t>
            </w:r>
            <w:r w:rsidRPr="00AE5FDA">
              <w:rPr>
                <w:i/>
              </w:rPr>
              <w:t>Cx. tarsalis</w:t>
            </w:r>
          </w:p>
        </w:tc>
        <w:tc>
          <w:tcPr>
            <w:tcW w:w="661" w:type="dxa"/>
          </w:tcPr>
          <w:p w14:paraId="6A02EF5A" w14:textId="77777777" w:rsidR="00AE5FDA" w:rsidRPr="00AE5FDA" w:rsidRDefault="00AE5FDA" w:rsidP="00AE5FDA">
            <w:r w:rsidRPr="00AE5FDA">
              <w:t>Q</w:t>
            </w:r>
          </w:p>
        </w:tc>
        <w:tc>
          <w:tcPr>
            <w:tcW w:w="2939" w:type="dxa"/>
            <w:vAlign w:val="bottom"/>
          </w:tcPr>
          <w:p w14:paraId="0DA5360D" w14:textId="77777777" w:rsidR="00AE5FDA" w:rsidRPr="00AE5FDA" w:rsidRDefault="00AE5FDA" w:rsidP="00AE5FDA">
            <w:r w:rsidRPr="00AE5FDA">
              <w:t>2.94·10</w:t>
            </w:r>
            <w:r w:rsidRPr="00AE5FDA">
              <w:rPr>
                <w:vertAlign w:val="superscript"/>
              </w:rPr>
              <w:t>-3</w:t>
            </w:r>
            <w:r w:rsidRPr="00AE5FDA">
              <w:t xml:space="preserve"> (1.91–4.48·10</w:t>
            </w:r>
            <w:r w:rsidRPr="00AE5FDA">
              <w:rPr>
                <w:vertAlign w:val="superscript"/>
              </w:rPr>
              <w:t>-3</w:t>
            </w:r>
            <w:r w:rsidRPr="00AE5FDA">
              <w:t>)</w:t>
            </w:r>
          </w:p>
        </w:tc>
        <w:tc>
          <w:tcPr>
            <w:tcW w:w="1980" w:type="dxa"/>
            <w:vAlign w:val="bottom"/>
          </w:tcPr>
          <w:p w14:paraId="161748D9" w14:textId="77777777" w:rsidR="00AE5FDA" w:rsidRPr="00AE5FDA" w:rsidRDefault="00AE5FDA" w:rsidP="00AE5FDA">
            <w:r w:rsidRPr="00AE5FDA">
              <w:t>11.3 (7.6–14.0)</w:t>
            </w:r>
          </w:p>
        </w:tc>
        <w:tc>
          <w:tcPr>
            <w:tcW w:w="2070" w:type="dxa"/>
            <w:vAlign w:val="bottom"/>
          </w:tcPr>
          <w:p w14:paraId="1652622F" w14:textId="77777777" w:rsidR="00AE5FDA" w:rsidRPr="00AE5FDA" w:rsidRDefault="00AE5FDA" w:rsidP="00AE5FDA">
            <w:r w:rsidRPr="00AE5FDA">
              <w:t>41.9 (37.7–47.0)</w:t>
            </w:r>
          </w:p>
        </w:tc>
        <w:tc>
          <w:tcPr>
            <w:tcW w:w="1980" w:type="dxa"/>
            <w:tcBorders>
              <w:right w:val="single" w:sz="4" w:space="0" w:color="auto"/>
            </w:tcBorders>
            <w:vAlign w:val="bottom"/>
          </w:tcPr>
          <w:p w14:paraId="718D6523" w14:textId="77777777" w:rsidR="00AE5FDA" w:rsidRPr="00AE5FDA" w:rsidRDefault="00AE5FDA" w:rsidP="00AE5FDA">
            <w:r w:rsidRPr="00AE5FDA">
              <w:t>26.6 (23.9–29.3)</w:t>
            </w:r>
          </w:p>
        </w:tc>
      </w:tr>
      <w:tr w:rsidR="00AE5FDA" w:rsidRPr="00AE5FDA" w14:paraId="69CBBB71" w14:textId="77777777" w:rsidTr="00A93316">
        <w:tc>
          <w:tcPr>
            <w:tcW w:w="3235" w:type="dxa"/>
            <w:tcBorders>
              <w:left w:val="single" w:sz="4" w:space="0" w:color="auto"/>
            </w:tcBorders>
          </w:tcPr>
          <w:p w14:paraId="0897AA5E" w14:textId="77777777" w:rsidR="00AE5FDA" w:rsidRPr="00AE5FDA" w:rsidRDefault="00AE5FDA" w:rsidP="00AE5FDA">
            <w:pPr>
              <w:rPr>
                <w:b/>
              </w:rPr>
            </w:pPr>
            <w:r w:rsidRPr="00AE5FDA">
              <w:rPr>
                <w:b/>
              </w:rPr>
              <w:t>Infection probability (</w:t>
            </w:r>
            <w:r w:rsidRPr="00AE5FDA">
              <w:rPr>
                <w:b/>
                <w:i/>
              </w:rPr>
              <w:t>c</w:t>
            </w:r>
            <w:r w:rsidRPr="00AE5FDA">
              <w:rPr>
                <w:b/>
              </w:rPr>
              <w:t>)</w:t>
            </w:r>
          </w:p>
        </w:tc>
        <w:tc>
          <w:tcPr>
            <w:tcW w:w="661" w:type="dxa"/>
          </w:tcPr>
          <w:p w14:paraId="3D6F8029" w14:textId="77777777" w:rsidR="00AE5FDA" w:rsidRPr="00AE5FDA" w:rsidRDefault="00AE5FDA" w:rsidP="00AE5FDA"/>
        </w:tc>
        <w:tc>
          <w:tcPr>
            <w:tcW w:w="2939" w:type="dxa"/>
          </w:tcPr>
          <w:p w14:paraId="79947E95" w14:textId="77777777" w:rsidR="00AE5FDA" w:rsidRPr="00AE5FDA" w:rsidRDefault="00AE5FDA" w:rsidP="00AE5FDA"/>
        </w:tc>
        <w:tc>
          <w:tcPr>
            <w:tcW w:w="1980" w:type="dxa"/>
          </w:tcPr>
          <w:p w14:paraId="50C9043A" w14:textId="77777777" w:rsidR="00AE5FDA" w:rsidRPr="00AE5FDA" w:rsidRDefault="00AE5FDA" w:rsidP="00AE5FDA"/>
        </w:tc>
        <w:tc>
          <w:tcPr>
            <w:tcW w:w="2070" w:type="dxa"/>
          </w:tcPr>
          <w:p w14:paraId="4AB406B4" w14:textId="77777777" w:rsidR="00AE5FDA" w:rsidRPr="00AE5FDA" w:rsidRDefault="00AE5FDA" w:rsidP="00AE5FDA"/>
        </w:tc>
        <w:tc>
          <w:tcPr>
            <w:tcW w:w="1980" w:type="dxa"/>
            <w:tcBorders>
              <w:right w:val="single" w:sz="4" w:space="0" w:color="auto"/>
            </w:tcBorders>
          </w:tcPr>
          <w:p w14:paraId="7771F4DD" w14:textId="77777777" w:rsidR="00AE5FDA" w:rsidRPr="00AE5FDA" w:rsidRDefault="00AE5FDA" w:rsidP="00AE5FDA"/>
        </w:tc>
      </w:tr>
      <w:tr w:rsidR="00AE5FDA" w:rsidRPr="00AE5FDA" w14:paraId="740BC9D2" w14:textId="77777777" w:rsidTr="00A93316">
        <w:tc>
          <w:tcPr>
            <w:tcW w:w="3235" w:type="dxa"/>
            <w:tcBorders>
              <w:left w:val="single" w:sz="4" w:space="0" w:color="auto"/>
            </w:tcBorders>
          </w:tcPr>
          <w:p w14:paraId="47E2D350" w14:textId="77777777" w:rsidR="00AE5FDA" w:rsidRPr="00AE5FDA" w:rsidRDefault="00AE5FDA" w:rsidP="00AE5FDA">
            <w:pPr>
              <w:rPr>
                <w:i/>
              </w:rPr>
            </w:pPr>
            <w:r w:rsidRPr="00AE5FDA">
              <w:t xml:space="preserve">DENV | </w:t>
            </w:r>
            <w:r w:rsidRPr="00AE5FDA">
              <w:rPr>
                <w:i/>
              </w:rPr>
              <w:t>Ae. aegypti</w:t>
            </w:r>
          </w:p>
        </w:tc>
        <w:tc>
          <w:tcPr>
            <w:tcW w:w="661" w:type="dxa"/>
          </w:tcPr>
          <w:p w14:paraId="63D1882A" w14:textId="77777777" w:rsidR="00AE5FDA" w:rsidRPr="00AE5FDA" w:rsidRDefault="00AE5FDA" w:rsidP="00AE5FDA">
            <w:r w:rsidRPr="00AE5FDA">
              <w:t>B</w:t>
            </w:r>
          </w:p>
        </w:tc>
        <w:tc>
          <w:tcPr>
            <w:tcW w:w="2939" w:type="dxa"/>
            <w:vAlign w:val="bottom"/>
          </w:tcPr>
          <w:p w14:paraId="7861A6DE" w14:textId="77777777" w:rsidR="00AE5FDA" w:rsidRPr="00AE5FDA" w:rsidRDefault="00AE5FDA" w:rsidP="00AE5FDA">
            <w:r w:rsidRPr="00AE5FDA">
              <w:t>4.88·10</w:t>
            </w:r>
            <w:r w:rsidRPr="00AE5FDA">
              <w:rPr>
                <w:vertAlign w:val="superscript"/>
              </w:rPr>
              <w:t>-4</w:t>
            </w:r>
            <w:r w:rsidRPr="00AE5FDA">
              <w:t xml:space="preserve"> (3.43–6.53·10</w:t>
            </w:r>
            <w:r w:rsidRPr="00AE5FDA">
              <w:rPr>
                <w:vertAlign w:val="superscript"/>
              </w:rPr>
              <w:t>-4</w:t>
            </w:r>
            <w:r w:rsidRPr="00AE5FDA">
              <w:t>)</w:t>
            </w:r>
          </w:p>
        </w:tc>
        <w:tc>
          <w:tcPr>
            <w:tcW w:w="1980" w:type="dxa"/>
            <w:vAlign w:val="bottom"/>
          </w:tcPr>
          <w:p w14:paraId="554B9D44" w14:textId="77777777" w:rsidR="00AE5FDA" w:rsidRPr="00AE5FDA" w:rsidRDefault="00AE5FDA" w:rsidP="00AE5FDA">
            <w:r w:rsidRPr="00AE5FDA">
              <w:t>12.7 (4.3–17.1)</w:t>
            </w:r>
          </w:p>
        </w:tc>
        <w:tc>
          <w:tcPr>
            <w:tcW w:w="2070" w:type="dxa"/>
            <w:vAlign w:val="bottom"/>
          </w:tcPr>
          <w:p w14:paraId="50DD150A" w14:textId="77777777" w:rsidR="00AE5FDA" w:rsidRPr="00AE5FDA" w:rsidRDefault="00AE5FDA" w:rsidP="00AE5FDA">
            <w:r w:rsidRPr="00AE5FDA">
              <w:t>37.4 (35.8–39.5)</w:t>
            </w:r>
          </w:p>
        </w:tc>
        <w:tc>
          <w:tcPr>
            <w:tcW w:w="1980" w:type="dxa"/>
            <w:tcBorders>
              <w:right w:val="single" w:sz="4" w:space="0" w:color="auto"/>
            </w:tcBorders>
            <w:vAlign w:val="bottom"/>
          </w:tcPr>
          <w:p w14:paraId="4C7D0A95" w14:textId="77777777" w:rsidR="00AE5FDA" w:rsidRPr="00AE5FDA" w:rsidRDefault="00AE5FDA" w:rsidP="00AE5FDA">
            <w:r w:rsidRPr="00AE5FDA">
              <w:t>31.5 (29.6–33.5)</w:t>
            </w:r>
          </w:p>
        </w:tc>
      </w:tr>
      <w:tr w:rsidR="00AE5FDA" w:rsidRPr="00AE5FDA" w14:paraId="21948F4E" w14:textId="77777777" w:rsidTr="00A93316">
        <w:tc>
          <w:tcPr>
            <w:tcW w:w="3235" w:type="dxa"/>
            <w:tcBorders>
              <w:left w:val="single" w:sz="4" w:space="0" w:color="auto"/>
            </w:tcBorders>
          </w:tcPr>
          <w:p w14:paraId="034A7960" w14:textId="77777777" w:rsidR="00AE5FDA" w:rsidRPr="00AE5FDA" w:rsidRDefault="00AE5FDA" w:rsidP="00AE5FDA">
            <w:pPr>
              <w:rPr>
                <w:i/>
              </w:rPr>
            </w:pPr>
            <w:r w:rsidRPr="00AE5FDA">
              <w:t xml:space="preserve">DENV | </w:t>
            </w:r>
            <w:r w:rsidRPr="00AE5FDA">
              <w:rPr>
                <w:i/>
              </w:rPr>
              <w:t>Ae. albopictus</w:t>
            </w:r>
          </w:p>
        </w:tc>
        <w:tc>
          <w:tcPr>
            <w:tcW w:w="661" w:type="dxa"/>
          </w:tcPr>
          <w:p w14:paraId="5B1F038F" w14:textId="77777777" w:rsidR="00AE5FDA" w:rsidRPr="00AE5FDA" w:rsidRDefault="00AE5FDA" w:rsidP="00AE5FDA">
            <w:r w:rsidRPr="00AE5FDA">
              <w:t>B</w:t>
            </w:r>
          </w:p>
        </w:tc>
        <w:tc>
          <w:tcPr>
            <w:tcW w:w="2939" w:type="dxa"/>
            <w:vAlign w:val="bottom"/>
          </w:tcPr>
          <w:p w14:paraId="4FD85AD2" w14:textId="77777777" w:rsidR="00AE5FDA" w:rsidRPr="00AE5FDA" w:rsidRDefault="00AE5FDA" w:rsidP="00AE5FDA">
            <w:r w:rsidRPr="00AE5FDA">
              <w:t>4.33·10</w:t>
            </w:r>
            <w:r w:rsidRPr="00AE5FDA">
              <w:rPr>
                <w:vertAlign w:val="superscript"/>
              </w:rPr>
              <w:t>-4</w:t>
            </w:r>
            <w:r w:rsidRPr="00AE5FDA">
              <w:t xml:space="preserve"> (3.37–5.78·10</w:t>
            </w:r>
            <w:r w:rsidRPr="00AE5FDA">
              <w:rPr>
                <w:vertAlign w:val="superscript"/>
              </w:rPr>
              <w:t>-4</w:t>
            </w:r>
            <w:r w:rsidRPr="00AE5FDA">
              <w:t>)</w:t>
            </w:r>
          </w:p>
        </w:tc>
        <w:tc>
          <w:tcPr>
            <w:tcW w:w="1980" w:type="dxa"/>
            <w:vAlign w:val="bottom"/>
          </w:tcPr>
          <w:p w14:paraId="3A20FAEA" w14:textId="77777777" w:rsidR="00AE5FDA" w:rsidRPr="00AE5FDA" w:rsidRDefault="00AE5FDA" w:rsidP="00AE5FDA">
            <w:r w:rsidRPr="00AE5FDA">
              <w:t>2.8 (0–11.2)</w:t>
            </w:r>
          </w:p>
        </w:tc>
        <w:tc>
          <w:tcPr>
            <w:tcW w:w="2070" w:type="dxa"/>
            <w:vAlign w:val="bottom"/>
          </w:tcPr>
          <w:p w14:paraId="1E46A792" w14:textId="77777777" w:rsidR="00AE5FDA" w:rsidRPr="00AE5FDA" w:rsidRDefault="00AE5FDA" w:rsidP="00AE5FDA">
            <w:r w:rsidRPr="00AE5FDA">
              <w:t>36.7 (36.1–38.2)</w:t>
            </w:r>
          </w:p>
        </w:tc>
        <w:tc>
          <w:tcPr>
            <w:tcW w:w="1980" w:type="dxa"/>
            <w:tcBorders>
              <w:right w:val="single" w:sz="4" w:space="0" w:color="auto"/>
            </w:tcBorders>
            <w:vAlign w:val="bottom"/>
          </w:tcPr>
          <w:p w14:paraId="1797473C" w14:textId="77777777" w:rsidR="00AE5FDA" w:rsidRPr="00AE5FDA" w:rsidRDefault="00AE5FDA" w:rsidP="00AE5FDA">
            <w:r w:rsidRPr="00AE5FDA">
              <w:t>29.6 (24.7–31.3)</w:t>
            </w:r>
          </w:p>
        </w:tc>
      </w:tr>
      <w:tr w:rsidR="00AE5FDA" w:rsidRPr="00AE5FDA" w14:paraId="2E4BF582" w14:textId="77777777" w:rsidTr="00A93316">
        <w:tc>
          <w:tcPr>
            <w:tcW w:w="3235" w:type="dxa"/>
            <w:tcBorders>
              <w:left w:val="single" w:sz="4" w:space="0" w:color="auto"/>
            </w:tcBorders>
          </w:tcPr>
          <w:p w14:paraId="5B4A7A40" w14:textId="77777777" w:rsidR="00AE5FDA" w:rsidRPr="00AE5FDA" w:rsidRDefault="00AE5FDA" w:rsidP="00AE5FDA">
            <w:pPr>
              <w:rPr>
                <w:i/>
              </w:rPr>
            </w:pPr>
            <w:r w:rsidRPr="00AE5FDA">
              <w:t xml:space="preserve">SINV | </w:t>
            </w:r>
            <w:r w:rsidRPr="00AE5FDA">
              <w:rPr>
                <w:i/>
              </w:rPr>
              <w:t>Ae. taeniorhynchus</w:t>
            </w:r>
          </w:p>
        </w:tc>
        <w:tc>
          <w:tcPr>
            <w:tcW w:w="661" w:type="dxa"/>
          </w:tcPr>
          <w:p w14:paraId="5340DE10" w14:textId="77777777" w:rsidR="00AE5FDA" w:rsidRPr="00AE5FDA" w:rsidRDefault="00AE5FDA" w:rsidP="00AE5FDA">
            <w:r w:rsidRPr="00AE5FDA">
              <w:t>Q</w:t>
            </w:r>
          </w:p>
        </w:tc>
        <w:tc>
          <w:tcPr>
            <w:tcW w:w="2939" w:type="dxa"/>
            <w:vAlign w:val="bottom"/>
          </w:tcPr>
          <w:p w14:paraId="7A93EC77" w14:textId="77777777" w:rsidR="00AE5FDA" w:rsidRPr="00AE5FDA" w:rsidRDefault="00AE5FDA" w:rsidP="00AE5FDA">
            <w:r w:rsidRPr="00AE5FDA">
              <w:t>1.24·10</w:t>
            </w:r>
            <w:r w:rsidRPr="00AE5FDA">
              <w:rPr>
                <w:vertAlign w:val="superscript"/>
              </w:rPr>
              <w:t>-3</w:t>
            </w:r>
            <w:r w:rsidRPr="00AE5FDA">
              <w:t xml:space="preserve"> (0.75–2.17·10</w:t>
            </w:r>
            <w:r w:rsidRPr="00AE5FDA">
              <w:rPr>
                <w:vertAlign w:val="superscript"/>
              </w:rPr>
              <w:t>-3</w:t>
            </w:r>
            <w:r w:rsidRPr="00AE5FDA">
              <w:t>)</w:t>
            </w:r>
          </w:p>
        </w:tc>
        <w:tc>
          <w:tcPr>
            <w:tcW w:w="1980" w:type="dxa"/>
            <w:vAlign w:val="bottom"/>
          </w:tcPr>
          <w:p w14:paraId="17E39D93" w14:textId="77777777" w:rsidR="00AE5FDA" w:rsidRPr="00AE5FDA" w:rsidRDefault="00AE5FDA" w:rsidP="00AE5FDA">
            <w:r w:rsidRPr="00AE5FDA">
              <w:t>1.4 (0–9.1)</w:t>
            </w:r>
          </w:p>
        </w:tc>
        <w:tc>
          <w:tcPr>
            <w:tcW w:w="2070" w:type="dxa"/>
            <w:vAlign w:val="bottom"/>
          </w:tcPr>
          <w:p w14:paraId="1220CC20" w14:textId="77777777" w:rsidR="00AE5FDA" w:rsidRPr="00AE5FDA" w:rsidRDefault="00AE5FDA" w:rsidP="00AE5FDA">
            <w:r w:rsidRPr="00AE5FDA">
              <w:t>48.4 (40.8–57.1)</w:t>
            </w:r>
          </w:p>
        </w:tc>
        <w:tc>
          <w:tcPr>
            <w:tcW w:w="1980" w:type="dxa"/>
            <w:tcBorders>
              <w:right w:val="single" w:sz="4" w:space="0" w:color="auto"/>
            </w:tcBorders>
            <w:vAlign w:val="bottom"/>
          </w:tcPr>
          <w:p w14:paraId="0F439230" w14:textId="77777777" w:rsidR="00AE5FDA" w:rsidRPr="00AE5FDA" w:rsidRDefault="00AE5FDA" w:rsidP="00AE5FDA">
            <w:r w:rsidRPr="00AE5FDA">
              <w:t>25.4 (21.0–31.1)</w:t>
            </w:r>
          </w:p>
        </w:tc>
      </w:tr>
      <w:tr w:rsidR="00AE5FDA" w:rsidRPr="00AE5FDA" w14:paraId="514884D6" w14:textId="77777777" w:rsidTr="00A93316">
        <w:tc>
          <w:tcPr>
            <w:tcW w:w="3235" w:type="dxa"/>
            <w:tcBorders>
              <w:left w:val="single" w:sz="4" w:space="0" w:color="auto"/>
            </w:tcBorders>
          </w:tcPr>
          <w:p w14:paraId="33164D4D" w14:textId="77777777" w:rsidR="00AE5FDA" w:rsidRPr="00AE5FDA" w:rsidRDefault="00AE5FDA" w:rsidP="00AE5FDA">
            <w:pPr>
              <w:rPr>
                <w:i/>
              </w:rPr>
            </w:pPr>
            <w:r w:rsidRPr="00AE5FDA">
              <w:t xml:space="preserve">SINV | </w:t>
            </w:r>
            <w:r w:rsidRPr="00AE5FDA">
              <w:rPr>
                <w:i/>
              </w:rPr>
              <w:t>Cx. pipiens</w:t>
            </w:r>
          </w:p>
        </w:tc>
        <w:tc>
          <w:tcPr>
            <w:tcW w:w="661" w:type="dxa"/>
          </w:tcPr>
          <w:p w14:paraId="79A04AFA" w14:textId="77777777" w:rsidR="00AE5FDA" w:rsidRPr="00AE5FDA" w:rsidRDefault="00AE5FDA" w:rsidP="00AE5FDA">
            <w:r w:rsidRPr="00AE5FDA">
              <w:t>Q</w:t>
            </w:r>
          </w:p>
        </w:tc>
        <w:tc>
          <w:tcPr>
            <w:tcW w:w="2939" w:type="dxa"/>
            <w:vAlign w:val="bottom"/>
          </w:tcPr>
          <w:p w14:paraId="15694804" w14:textId="77777777" w:rsidR="00AE5FDA" w:rsidRPr="00AE5FDA" w:rsidRDefault="00AE5FDA" w:rsidP="00AE5FDA">
            <w:r w:rsidRPr="00AE5FDA">
              <w:t>1.33·10</w:t>
            </w:r>
            <w:r w:rsidRPr="00AE5FDA">
              <w:rPr>
                <w:vertAlign w:val="superscript"/>
              </w:rPr>
              <w:t>-3</w:t>
            </w:r>
            <w:r w:rsidRPr="00AE5FDA">
              <w:t xml:space="preserve"> (0.47–2.30·10</w:t>
            </w:r>
            <w:r w:rsidRPr="00AE5FDA">
              <w:rPr>
                <w:vertAlign w:val="superscript"/>
              </w:rPr>
              <w:t>-3</w:t>
            </w:r>
            <w:r w:rsidRPr="00AE5FDA">
              <w:t>)</w:t>
            </w:r>
          </w:p>
        </w:tc>
        <w:tc>
          <w:tcPr>
            <w:tcW w:w="1980" w:type="dxa"/>
            <w:vAlign w:val="bottom"/>
          </w:tcPr>
          <w:p w14:paraId="02FC8A36" w14:textId="77777777" w:rsidR="00AE5FDA" w:rsidRPr="00AE5FDA" w:rsidRDefault="00AE5FDA" w:rsidP="00AE5FDA">
            <w:r w:rsidRPr="00AE5FDA">
              <w:t>0 (0–0)</w:t>
            </w:r>
          </w:p>
        </w:tc>
        <w:tc>
          <w:tcPr>
            <w:tcW w:w="2070" w:type="dxa"/>
            <w:vAlign w:val="bottom"/>
          </w:tcPr>
          <w:p w14:paraId="2D4EFB68" w14:textId="77777777" w:rsidR="00AE5FDA" w:rsidRPr="00AE5FDA" w:rsidRDefault="00AE5FDA" w:rsidP="00AE5FDA">
            <w:r w:rsidRPr="00AE5FDA">
              <w:t>35.0 (28.1–61.1)</w:t>
            </w:r>
          </w:p>
        </w:tc>
        <w:tc>
          <w:tcPr>
            <w:tcW w:w="1980" w:type="dxa"/>
            <w:tcBorders>
              <w:right w:val="single" w:sz="4" w:space="0" w:color="auto"/>
            </w:tcBorders>
            <w:vAlign w:val="bottom"/>
          </w:tcPr>
          <w:p w14:paraId="4A0F8AB1" w14:textId="77777777" w:rsidR="00AE5FDA" w:rsidRPr="00AE5FDA" w:rsidRDefault="00AE5FDA" w:rsidP="00AE5FDA">
            <w:r w:rsidRPr="00AE5FDA">
              <w:t>17.5 (14.1–30.5)</w:t>
            </w:r>
          </w:p>
        </w:tc>
      </w:tr>
      <w:tr w:rsidR="00AE5FDA" w:rsidRPr="00AE5FDA" w14:paraId="3786B17B" w14:textId="77777777" w:rsidTr="00A93316">
        <w:tc>
          <w:tcPr>
            <w:tcW w:w="3235" w:type="dxa"/>
            <w:tcBorders>
              <w:left w:val="single" w:sz="4" w:space="0" w:color="auto"/>
            </w:tcBorders>
          </w:tcPr>
          <w:p w14:paraId="661CEC18" w14:textId="77777777" w:rsidR="00AE5FDA" w:rsidRPr="00AE5FDA" w:rsidRDefault="00AE5FDA" w:rsidP="00AE5FDA">
            <w:pPr>
              <w:rPr>
                <w:i/>
              </w:rPr>
            </w:pPr>
            <w:r w:rsidRPr="00AE5FDA">
              <w:t xml:space="preserve">WNV | </w:t>
            </w:r>
            <w:r w:rsidRPr="00AE5FDA">
              <w:rPr>
                <w:i/>
              </w:rPr>
              <w:t>Cx. pipiens</w:t>
            </w:r>
          </w:p>
        </w:tc>
        <w:tc>
          <w:tcPr>
            <w:tcW w:w="661" w:type="dxa"/>
          </w:tcPr>
          <w:p w14:paraId="7E9A3333" w14:textId="77777777" w:rsidR="00AE5FDA" w:rsidRPr="00AE5FDA" w:rsidRDefault="00AE5FDA" w:rsidP="00AE5FDA">
            <w:r w:rsidRPr="00AE5FDA">
              <w:t>Q</w:t>
            </w:r>
          </w:p>
        </w:tc>
        <w:tc>
          <w:tcPr>
            <w:tcW w:w="2939" w:type="dxa"/>
            <w:vAlign w:val="bottom"/>
          </w:tcPr>
          <w:p w14:paraId="7CAB2D99" w14:textId="77777777" w:rsidR="00AE5FDA" w:rsidRPr="00AE5FDA" w:rsidRDefault="00AE5FDA" w:rsidP="00AE5FDA">
            <w:r w:rsidRPr="00AE5FDA">
              <w:t>2.56·10</w:t>
            </w:r>
            <w:r w:rsidRPr="00AE5FDA">
              <w:rPr>
                <w:vertAlign w:val="superscript"/>
              </w:rPr>
              <w:t>-3</w:t>
            </w:r>
            <w:r w:rsidRPr="00AE5FDA">
              <w:t xml:space="preserve"> (2.05–3.19·10</w:t>
            </w:r>
            <w:r w:rsidRPr="00AE5FDA">
              <w:rPr>
                <w:vertAlign w:val="superscript"/>
              </w:rPr>
              <w:t>-3</w:t>
            </w:r>
            <w:r w:rsidRPr="00AE5FDA">
              <w:t>)</w:t>
            </w:r>
          </w:p>
        </w:tc>
        <w:tc>
          <w:tcPr>
            <w:tcW w:w="1980" w:type="dxa"/>
            <w:vAlign w:val="bottom"/>
          </w:tcPr>
          <w:p w14:paraId="4E01535F" w14:textId="77777777" w:rsidR="00AE5FDA" w:rsidRPr="00AE5FDA" w:rsidRDefault="00AE5FDA" w:rsidP="00AE5FDA">
            <w:r w:rsidRPr="00AE5FDA">
              <w:t>15.6 (14.3–16.6)</w:t>
            </w:r>
          </w:p>
        </w:tc>
        <w:tc>
          <w:tcPr>
            <w:tcW w:w="2070" w:type="dxa"/>
            <w:vAlign w:val="bottom"/>
          </w:tcPr>
          <w:p w14:paraId="23E8490B" w14:textId="77777777" w:rsidR="00AE5FDA" w:rsidRPr="00AE5FDA" w:rsidRDefault="00AE5FDA" w:rsidP="00AE5FDA">
            <w:r w:rsidRPr="00AE5FDA">
              <w:t>52.2 (48.4–56.6)</w:t>
            </w:r>
          </w:p>
        </w:tc>
        <w:tc>
          <w:tcPr>
            <w:tcW w:w="1980" w:type="dxa"/>
            <w:tcBorders>
              <w:right w:val="single" w:sz="4" w:space="0" w:color="auto"/>
            </w:tcBorders>
            <w:vAlign w:val="bottom"/>
          </w:tcPr>
          <w:p w14:paraId="2146E332" w14:textId="77777777" w:rsidR="00AE5FDA" w:rsidRPr="00AE5FDA" w:rsidRDefault="00AE5FDA" w:rsidP="00AE5FDA">
            <w:r w:rsidRPr="00AE5FDA">
              <w:t>33.9 (31.9–36.1)</w:t>
            </w:r>
          </w:p>
        </w:tc>
      </w:tr>
      <w:tr w:rsidR="00AE5FDA" w:rsidRPr="00AE5FDA" w14:paraId="254053C9" w14:textId="77777777" w:rsidTr="00A93316">
        <w:tc>
          <w:tcPr>
            <w:tcW w:w="3235" w:type="dxa"/>
            <w:tcBorders>
              <w:left w:val="single" w:sz="4" w:space="0" w:color="auto"/>
            </w:tcBorders>
          </w:tcPr>
          <w:p w14:paraId="45539DFD" w14:textId="77777777" w:rsidR="00AE5FDA" w:rsidRPr="00AE5FDA" w:rsidRDefault="00AE5FDA" w:rsidP="00AE5FDA">
            <w:r w:rsidRPr="00AE5FDA">
              <w:t xml:space="preserve">SLEV | </w:t>
            </w:r>
            <w:r w:rsidRPr="00AE5FDA">
              <w:rPr>
                <w:i/>
              </w:rPr>
              <w:t>Cx. tarsalis</w:t>
            </w:r>
          </w:p>
        </w:tc>
        <w:tc>
          <w:tcPr>
            <w:tcW w:w="661" w:type="dxa"/>
          </w:tcPr>
          <w:p w14:paraId="33E0D8BD" w14:textId="77777777" w:rsidR="00AE5FDA" w:rsidRPr="00AE5FDA" w:rsidRDefault="00AE5FDA" w:rsidP="00AE5FDA">
            <w:r w:rsidRPr="00AE5FDA">
              <w:t>Q</w:t>
            </w:r>
          </w:p>
        </w:tc>
        <w:tc>
          <w:tcPr>
            <w:tcW w:w="2939" w:type="dxa"/>
            <w:vAlign w:val="bottom"/>
          </w:tcPr>
          <w:p w14:paraId="53E79EBB" w14:textId="77777777" w:rsidR="00AE5FDA" w:rsidRPr="00AE5FDA" w:rsidRDefault="00AE5FDA" w:rsidP="00AE5FDA">
            <w:r w:rsidRPr="00AE5FDA">
              <w:t>2.03·10</w:t>
            </w:r>
            <w:r w:rsidRPr="00AE5FDA">
              <w:rPr>
                <w:vertAlign w:val="superscript"/>
              </w:rPr>
              <w:t>-3</w:t>
            </w:r>
            <w:r w:rsidRPr="00AE5FDA">
              <w:t xml:space="preserve"> (1.28–3.07·10</w:t>
            </w:r>
            <w:r w:rsidRPr="00AE5FDA">
              <w:rPr>
                <w:vertAlign w:val="superscript"/>
              </w:rPr>
              <w:t>-3</w:t>
            </w:r>
            <w:r w:rsidRPr="00AE5FDA">
              <w:t>)</w:t>
            </w:r>
          </w:p>
        </w:tc>
        <w:tc>
          <w:tcPr>
            <w:tcW w:w="1980" w:type="dxa"/>
            <w:vAlign w:val="bottom"/>
          </w:tcPr>
          <w:p w14:paraId="77C13E20" w14:textId="77777777" w:rsidR="00AE5FDA" w:rsidRPr="00AE5FDA" w:rsidRDefault="00AE5FDA" w:rsidP="00AE5FDA">
            <w:r w:rsidRPr="00AE5FDA">
              <w:t>8.8 (6.6–10.6)</w:t>
            </w:r>
          </w:p>
        </w:tc>
        <w:tc>
          <w:tcPr>
            <w:tcW w:w="2070" w:type="dxa"/>
            <w:vAlign w:val="bottom"/>
          </w:tcPr>
          <w:p w14:paraId="4B795BCB" w14:textId="77777777" w:rsidR="00AE5FDA" w:rsidRPr="00AE5FDA" w:rsidRDefault="00AE5FDA" w:rsidP="00AE5FDA">
            <w:r w:rsidRPr="00AE5FDA">
              <w:t>43.7 (38.9–51.4)</w:t>
            </w:r>
          </w:p>
        </w:tc>
        <w:tc>
          <w:tcPr>
            <w:tcW w:w="1980" w:type="dxa"/>
            <w:tcBorders>
              <w:right w:val="single" w:sz="4" w:space="0" w:color="auto"/>
            </w:tcBorders>
            <w:vAlign w:val="bottom"/>
          </w:tcPr>
          <w:p w14:paraId="09C3527E" w14:textId="77777777" w:rsidR="00AE5FDA" w:rsidRPr="00AE5FDA" w:rsidRDefault="00AE5FDA" w:rsidP="00AE5FDA">
            <w:r w:rsidRPr="00AE5FDA">
              <w:t>26.2 (24.2–29.7)</w:t>
            </w:r>
          </w:p>
        </w:tc>
      </w:tr>
      <w:tr w:rsidR="00AE5FDA" w:rsidRPr="00AE5FDA" w14:paraId="493E7B6C" w14:textId="77777777" w:rsidTr="00A93316">
        <w:tc>
          <w:tcPr>
            <w:tcW w:w="3235" w:type="dxa"/>
            <w:tcBorders>
              <w:left w:val="single" w:sz="4" w:space="0" w:color="auto"/>
            </w:tcBorders>
          </w:tcPr>
          <w:p w14:paraId="2FDB1FB6" w14:textId="77777777" w:rsidR="00AE5FDA" w:rsidRPr="00AE5FDA" w:rsidRDefault="00AE5FDA" w:rsidP="00AE5FDA">
            <w:r w:rsidRPr="00AE5FDA">
              <w:t xml:space="preserve">WEEV | </w:t>
            </w:r>
            <w:r w:rsidRPr="00AE5FDA">
              <w:rPr>
                <w:i/>
              </w:rPr>
              <w:t>Cx. tarsalis</w:t>
            </w:r>
          </w:p>
        </w:tc>
        <w:tc>
          <w:tcPr>
            <w:tcW w:w="661" w:type="dxa"/>
          </w:tcPr>
          <w:p w14:paraId="045C4CDB" w14:textId="77777777" w:rsidR="00AE5FDA" w:rsidRPr="00AE5FDA" w:rsidRDefault="00AE5FDA" w:rsidP="00AE5FDA">
            <w:r w:rsidRPr="00AE5FDA">
              <w:t>Q</w:t>
            </w:r>
          </w:p>
        </w:tc>
        <w:tc>
          <w:tcPr>
            <w:tcW w:w="2939" w:type="dxa"/>
            <w:vAlign w:val="bottom"/>
          </w:tcPr>
          <w:p w14:paraId="63FD28D3" w14:textId="77777777" w:rsidR="00AE5FDA" w:rsidRPr="00AE5FDA" w:rsidRDefault="00AE5FDA" w:rsidP="00AE5FDA">
            <w:r w:rsidRPr="00AE5FDA">
              <w:t>3.04·10</w:t>
            </w:r>
            <w:r w:rsidRPr="00AE5FDA">
              <w:rPr>
                <w:vertAlign w:val="superscript"/>
              </w:rPr>
              <w:t>-3</w:t>
            </w:r>
            <w:r w:rsidRPr="00AE5FDA">
              <w:t xml:space="preserve"> (2.52–3.68·10</w:t>
            </w:r>
            <w:r w:rsidRPr="00AE5FDA">
              <w:rPr>
                <w:vertAlign w:val="superscript"/>
              </w:rPr>
              <w:t>-3</w:t>
            </w:r>
            <w:r w:rsidRPr="00AE5FDA">
              <w:t>)</w:t>
            </w:r>
          </w:p>
        </w:tc>
        <w:tc>
          <w:tcPr>
            <w:tcW w:w="1980" w:type="dxa"/>
            <w:vAlign w:val="bottom"/>
          </w:tcPr>
          <w:p w14:paraId="02141A7F" w14:textId="77777777" w:rsidR="00AE5FDA" w:rsidRPr="00AE5FDA" w:rsidRDefault="00AE5FDA" w:rsidP="00AE5FDA">
            <w:r w:rsidRPr="00AE5FDA">
              <w:t>1.3 (0.4–2.9)</w:t>
            </w:r>
          </w:p>
        </w:tc>
        <w:tc>
          <w:tcPr>
            <w:tcW w:w="2070" w:type="dxa"/>
            <w:vAlign w:val="bottom"/>
          </w:tcPr>
          <w:p w14:paraId="58492691" w14:textId="77777777" w:rsidR="00AE5FDA" w:rsidRPr="00AE5FDA" w:rsidRDefault="00AE5FDA" w:rsidP="00AE5FDA">
            <w:r w:rsidRPr="00AE5FDA">
              <w:t>38.8 (36.7–41.5)</w:t>
            </w:r>
          </w:p>
        </w:tc>
        <w:tc>
          <w:tcPr>
            <w:tcW w:w="1980" w:type="dxa"/>
            <w:tcBorders>
              <w:right w:val="single" w:sz="4" w:space="0" w:color="auto"/>
            </w:tcBorders>
            <w:vAlign w:val="bottom"/>
          </w:tcPr>
          <w:p w14:paraId="09597DDF" w14:textId="77777777" w:rsidR="00AE5FDA" w:rsidRPr="00AE5FDA" w:rsidRDefault="00AE5FDA" w:rsidP="00AE5FDA">
            <w:r w:rsidRPr="00AE5FDA">
              <w:t>15.5 (13.4–19.7)</w:t>
            </w:r>
          </w:p>
        </w:tc>
      </w:tr>
      <w:tr w:rsidR="00AE5FDA" w:rsidRPr="00AE5FDA" w14:paraId="36851D0A" w14:textId="77777777" w:rsidTr="00A93316">
        <w:tc>
          <w:tcPr>
            <w:tcW w:w="3235" w:type="dxa"/>
            <w:tcBorders>
              <w:left w:val="single" w:sz="4" w:space="0" w:color="auto"/>
            </w:tcBorders>
          </w:tcPr>
          <w:p w14:paraId="7D11CCE6" w14:textId="77777777" w:rsidR="00AE5FDA" w:rsidRPr="00AE5FDA" w:rsidRDefault="00AE5FDA" w:rsidP="00AE5FDA">
            <w:pPr>
              <w:rPr>
                <w:b/>
              </w:rPr>
            </w:pPr>
            <w:r w:rsidRPr="00AE5FDA">
              <w:rPr>
                <w:b/>
              </w:rPr>
              <w:t>Vector competence (</w:t>
            </w:r>
            <w:r w:rsidRPr="00AE5FDA">
              <w:rPr>
                <w:b/>
                <w:i/>
              </w:rPr>
              <w:t>bc</w:t>
            </w:r>
            <w:r w:rsidRPr="00AE5FDA">
              <w:rPr>
                <w:b/>
              </w:rPr>
              <w:t>)</w:t>
            </w:r>
          </w:p>
        </w:tc>
        <w:tc>
          <w:tcPr>
            <w:tcW w:w="661" w:type="dxa"/>
          </w:tcPr>
          <w:p w14:paraId="2EEE9E9F" w14:textId="77777777" w:rsidR="00AE5FDA" w:rsidRPr="00AE5FDA" w:rsidRDefault="00AE5FDA" w:rsidP="00AE5FDA"/>
        </w:tc>
        <w:tc>
          <w:tcPr>
            <w:tcW w:w="2939" w:type="dxa"/>
          </w:tcPr>
          <w:p w14:paraId="13481866" w14:textId="77777777" w:rsidR="00AE5FDA" w:rsidRPr="00AE5FDA" w:rsidRDefault="00AE5FDA" w:rsidP="00AE5FDA"/>
        </w:tc>
        <w:tc>
          <w:tcPr>
            <w:tcW w:w="1980" w:type="dxa"/>
          </w:tcPr>
          <w:p w14:paraId="4FDCC457" w14:textId="77777777" w:rsidR="00AE5FDA" w:rsidRPr="00AE5FDA" w:rsidRDefault="00AE5FDA" w:rsidP="00AE5FDA"/>
        </w:tc>
        <w:tc>
          <w:tcPr>
            <w:tcW w:w="2070" w:type="dxa"/>
          </w:tcPr>
          <w:p w14:paraId="63651BCA" w14:textId="77777777" w:rsidR="00AE5FDA" w:rsidRPr="00AE5FDA" w:rsidRDefault="00AE5FDA" w:rsidP="00AE5FDA"/>
        </w:tc>
        <w:tc>
          <w:tcPr>
            <w:tcW w:w="1980" w:type="dxa"/>
            <w:tcBorders>
              <w:right w:val="single" w:sz="4" w:space="0" w:color="auto"/>
            </w:tcBorders>
          </w:tcPr>
          <w:p w14:paraId="38E7FA96" w14:textId="77777777" w:rsidR="00AE5FDA" w:rsidRPr="00AE5FDA" w:rsidRDefault="00AE5FDA" w:rsidP="00AE5FDA"/>
        </w:tc>
      </w:tr>
      <w:tr w:rsidR="00AE5FDA" w:rsidRPr="00AE5FDA" w14:paraId="559E8AA7" w14:textId="77777777" w:rsidTr="00A93316">
        <w:tc>
          <w:tcPr>
            <w:tcW w:w="3235" w:type="dxa"/>
            <w:tcBorders>
              <w:left w:val="single" w:sz="4" w:space="0" w:color="auto"/>
            </w:tcBorders>
          </w:tcPr>
          <w:p w14:paraId="2BB7EC97" w14:textId="77777777" w:rsidR="00AE5FDA" w:rsidRPr="00AE5FDA" w:rsidRDefault="00AE5FDA" w:rsidP="00AE5FDA">
            <w:pPr>
              <w:rPr>
                <w:i/>
              </w:rPr>
            </w:pPr>
            <w:r w:rsidRPr="00AE5FDA">
              <w:t xml:space="preserve">RVFV | </w:t>
            </w:r>
            <w:r w:rsidRPr="00AE5FDA">
              <w:rPr>
                <w:i/>
              </w:rPr>
              <w:t>Ae. taeniorhynchus</w:t>
            </w:r>
          </w:p>
        </w:tc>
        <w:tc>
          <w:tcPr>
            <w:tcW w:w="661" w:type="dxa"/>
          </w:tcPr>
          <w:p w14:paraId="49FC1C2B" w14:textId="77777777" w:rsidR="00AE5FDA" w:rsidRPr="00AE5FDA" w:rsidRDefault="00AE5FDA" w:rsidP="00AE5FDA">
            <w:r w:rsidRPr="00AE5FDA">
              <w:t>Q</w:t>
            </w:r>
          </w:p>
        </w:tc>
        <w:tc>
          <w:tcPr>
            <w:tcW w:w="2939" w:type="dxa"/>
            <w:vAlign w:val="bottom"/>
          </w:tcPr>
          <w:p w14:paraId="67D18A1D" w14:textId="77777777" w:rsidR="00AE5FDA" w:rsidRPr="00AE5FDA" w:rsidRDefault="00AE5FDA" w:rsidP="00AE5FDA">
            <w:r w:rsidRPr="00AE5FDA">
              <w:t>1.51·10</w:t>
            </w:r>
            <w:r w:rsidRPr="00AE5FDA">
              <w:rPr>
                <w:vertAlign w:val="superscript"/>
              </w:rPr>
              <w:t>-3</w:t>
            </w:r>
            <w:r w:rsidRPr="00AE5FDA">
              <w:t xml:space="preserve"> (1.03–2.05·10</w:t>
            </w:r>
            <w:r w:rsidRPr="00AE5FDA">
              <w:rPr>
                <w:vertAlign w:val="superscript"/>
              </w:rPr>
              <w:t>-3</w:t>
            </w:r>
            <w:r w:rsidRPr="00AE5FDA">
              <w:t>)</w:t>
            </w:r>
          </w:p>
        </w:tc>
        <w:tc>
          <w:tcPr>
            <w:tcW w:w="1980" w:type="dxa"/>
            <w:vAlign w:val="bottom"/>
          </w:tcPr>
          <w:p w14:paraId="6CAC7B56" w14:textId="77777777" w:rsidR="00AE5FDA" w:rsidRPr="00AE5FDA" w:rsidRDefault="00AE5FDA" w:rsidP="00AE5FDA">
            <w:r w:rsidRPr="00AE5FDA">
              <w:t>7.1 (2.8–9.8)</w:t>
            </w:r>
          </w:p>
        </w:tc>
        <w:tc>
          <w:tcPr>
            <w:tcW w:w="2070" w:type="dxa"/>
            <w:vAlign w:val="bottom"/>
          </w:tcPr>
          <w:p w14:paraId="3004754C" w14:textId="77777777" w:rsidR="00AE5FDA" w:rsidRPr="00AE5FDA" w:rsidRDefault="00AE5FDA" w:rsidP="00AE5FDA">
            <w:r w:rsidRPr="00AE5FDA">
              <w:t>42.3 (39.3–46.5)</w:t>
            </w:r>
          </w:p>
        </w:tc>
        <w:tc>
          <w:tcPr>
            <w:tcW w:w="1980" w:type="dxa"/>
            <w:tcBorders>
              <w:right w:val="single" w:sz="4" w:space="0" w:color="auto"/>
            </w:tcBorders>
            <w:vAlign w:val="bottom"/>
          </w:tcPr>
          <w:p w14:paraId="3614C38B" w14:textId="77777777" w:rsidR="00AE5FDA" w:rsidRPr="00AE5FDA" w:rsidRDefault="00AE5FDA" w:rsidP="00AE5FDA">
            <w:r w:rsidRPr="00AE5FDA">
              <w:t>24.7 (22.0–27.0)</w:t>
            </w:r>
          </w:p>
        </w:tc>
      </w:tr>
      <w:tr w:rsidR="00AE5FDA" w:rsidRPr="00AE5FDA" w14:paraId="0D6F9D01" w14:textId="77777777" w:rsidTr="00A93316">
        <w:tc>
          <w:tcPr>
            <w:tcW w:w="3235" w:type="dxa"/>
            <w:tcBorders>
              <w:left w:val="single" w:sz="4" w:space="0" w:color="auto"/>
            </w:tcBorders>
          </w:tcPr>
          <w:p w14:paraId="3E3A1CBB" w14:textId="77777777" w:rsidR="00AE5FDA" w:rsidRPr="00AE5FDA" w:rsidRDefault="00AE5FDA" w:rsidP="00AE5FDA">
            <w:pPr>
              <w:rPr>
                <w:i/>
              </w:rPr>
            </w:pPr>
            <w:r w:rsidRPr="00AE5FDA">
              <w:t xml:space="preserve">EEEV | </w:t>
            </w:r>
            <w:r w:rsidRPr="00AE5FDA">
              <w:rPr>
                <w:i/>
              </w:rPr>
              <w:t>Ae. triseriatus</w:t>
            </w:r>
          </w:p>
        </w:tc>
        <w:tc>
          <w:tcPr>
            <w:tcW w:w="661" w:type="dxa"/>
          </w:tcPr>
          <w:p w14:paraId="566D19A2" w14:textId="77777777" w:rsidR="00AE5FDA" w:rsidRPr="00AE5FDA" w:rsidRDefault="00AE5FDA" w:rsidP="00AE5FDA">
            <w:r w:rsidRPr="00AE5FDA">
              <w:t>Q</w:t>
            </w:r>
          </w:p>
        </w:tc>
        <w:tc>
          <w:tcPr>
            <w:tcW w:w="2939" w:type="dxa"/>
            <w:vAlign w:val="bottom"/>
          </w:tcPr>
          <w:p w14:paraId="327D44AD" w14:textId="77777777" w:rsidR="00AE5FDA" w:rsidRPr="00AE5FDA" w:rsidRDefault="00AE5FDA" w:rsidP="00AE5FDA">
            <w:r w:rsidRPr="00AE5FDA">
              <w:t>1.51·10</w:t>
            </w:r>
            <w:r w:rsidRPr="00AE5FDA">
              <w:rPr>
                <w:vertAlign w:val="superscript"/>
              </w:rPr>
              <w:t>-3</w:t>
            </w:r>
            <w:r w:rsidRPr="00AE5FDA">
              <w:t xml:space="preserve"> (0.96–2.24·10</w:t>
            </w:r>
            <w:r w:rsidRPr="00AE5FDA">
              <w:rPr>
                <w:vertAlign w:val="superscript"/>
              </w:rPr>
              <w:t>-3</w:t>
            </w:r>
            <w:r w:rsidRPr="00AE5FDA">
              <w:t>)</w:t>
            </w:r>
          </w:p>
        </w:tc>
        <w:tc>
          <w:tcPr>
            <w:tcW w:w="1980" w:type="dxa"/>
            <w:vAlign w:val="bottom"/>
          </w:tcPr>
          <w:p w14:paraId="0AC07F1C" w14:textId="77777777" w:rsidR="00AE5FDA" w:rsidRPr="00AE5FDA" w:rsidRDefault="00AE5FDA" w:rsidP="00AE5FDA">
            <w:r w:rsidRPr="00AE5FDA">
              <w:t>7.0 (2.9–11.9)</w:t>
            </w:r>
          </w:p>
        </w:tc>
        <w:tc>
          <w:tcPr>
            <w:tcW w:w="2070" w:type="dxa"/>
            <w:vAlign w:val="bottom"/>
          </w:tcPr>
          <w:p w14:paraId="15D91BFB" w14:textId="77777777" w:rsidR="00AE5FDA" w:rsidRPr="00AE5FDA" w:rsidRDefault="00AE5FDA" w:rsidP="00AE5FDA">
            <w:r w:rsidRPr="00AE5FDA">
              <w:t>50.3 (42.3–63.1)</w:t>
            </w:r>
          </w:p>
        </w:tc>
        <w:tc>
          <w:tcPr>
            <w:tcW w:w="1980" w:type="dxa"/>
            <w:tcBorders>
              <w:right w:val="single" w:sz="4" w:space="0" w:color="auto"/>
            </w:tcBorders>
            <w:vAlign w:val="bottom"/>
          </w:tcPr>
          <w:p w14:paraId="4513389C" w14:textId="77777777" w:rsidR="00AE5FDA" w:rsidRPr="00AE5FDA" w:rsidRDefault="00AE5FDA" w:rsidP="00AE5FDA">
            <w:r w:rsidRPr="00AE5FDA">
              <w:t>28.8 (23.6–35.8)</w:t>
            </w:r>
          </w:p>
        </w:tc>
      </w:tr>
      <w:tr w:rsidR="00AE5FDA" w:rsidRPr="00AE5FDA" w14:paraId="19A97A27" w14:textId="77777777" w:rsidTr="00A93316">
        <w:tc>
          <w:tcPr>
            <w:tcW w:w="3235" w:type="dxa"/>
            <w:tcBorders>
              <w:left w:val="single" w:sz="4" w:space="0" w:color="auto"/>
            </w:tcBorders>
          </w:tcPr>
          <w:p w14:paraId="0DE6EB29" w14:textId="5D178C9C" w:rsidR="00AE5FDA" w:rsidRPr="00AE5FDA" w:rsidRDefault="00AE5FDA" w:rsidP="00AE5FDA">
            <w:pPr>
              <w:rPr>
                <w:i/>
              </w:rPr>
            </w:pPr>
            <w:r w:rsidRPr="00AE5FDA">
              <w:rPr>
                <w:i/>
              </w:rPr>
              <w:t>P. fal.</w:t>
            </w:r>
            <w:r w:rsidRPr="00AE5FDA">
              <w:t xml:space="preserve">| </w:t>
            </w:r>
            <w:r w:rsidRPr="00AE5FDA">
              <w:rPr>
                <w:i/>
              </w:rPr>
              <w:t>An</w:t>
            </w:r>
            <w:r w:rsidR="00B314F8">
              <w:rPr>
                <w:i/>
              </w:rPr>
              <w:t>. quadrimaculatus</w:t>
            </w:r>
          </w:p>
        </w:tc>
        <w:tc>
          <w:tcPr>
            <w:tcW w:w="661" w:type="dxa"/>
          </w:tcPr>
          <w:p w14:paraId="6ED8356B" w14:textId="77777777" w:rsidR="00AE5FDA" w:rsidRPr="00AE5FDA" w:rsidRDefault="00AE5FDA" w:rsidP="00AE5FDA">
            <w:r w:rsidRPr="00AE5FDA">
              <w:t>Q</w:t>
            </w:r>
          </w:p>
        </w:tc>
        <w:tc>
          <w:tcPr>
            <w:tcW w:w="2939" w:type="dxa"/>
            <w:vAlign w:val="bottom"/>
          </w:tcPr>
          <w:p w14:paraId="77864C8B" w14:textId="77777777" w:rsidR="00AE5FDA" w:rsidRPr="00AE5FDA" w:rsidRDefault="00AE5FDA" w:rsidP="00AE5FDA">
            <w:r w:rsidRPr="00AE5FDA">
              <w:t>6.13·10</w:t>
            </w:r>
            <w:r w:rsidRPr="00AE5FDA">
              <w:rPr>
                <w:vertAlign w:val="superscript"/>
              </w:rPr>
              <w:t>-3</w:t>
            </w:r>
            <w:r w:rsidRPr="00AE5FDA">
              <w:t xml:space="preserve"> (4.85–7.63·10</w:t>
            </w:r>
            <w:r w:rsidRPr="00AE5FDA">
              <w:rPr>
                <w:vertAlign w:val="superscript"/>
              </w:rPr>
              <w:t>-3</w:t>
            </w:r>
            <w:r w:rsidRPr="00AE5FDA">
              <w:t>)</w:t>
            </w:r>
          </w:p>
        </w:tc>
        <w:tc>
          <w:tcPr>
            <w:tcW w:w="1980" w:type="dxa"/>
            <w:vAlign w:val="bottom"/>
          </w:tcPr>
          <w:p w14:paraId="7633684E" w14:textId="77777777" w:rsidR="00AE5FDA" w:rsidRPr="00AE5FDA" w:rsidRDefault="00AE5FDA" w:rsidP="00AE5FDA">
            <w:r w:rsidRPr="00AE5FDA">
              <w:t>12.6 (11.2–13.8)</w:t>
            </w:r>
          </w:p>
        </w:tc>
        <w:tc>
          <w:tcPr>
            <w:tcW w:w="2070" w:type="dxa"/>
            <w:vAlign w:val="bottom"/>
          </w:tcPr>
          <w:p w14:paraId="2D356343" w14:textId="77777777" w:rsidR="00AE5FDA" w:rsidRPr="00AE5FDA" w:rsidRDefault="00AE5FDA" w:rsidP="00AE5FDA">
            <w:r w:rsidRPr="00AE5FDA">
              <w:t>35.9 (34.4–37.6)</w:t>
            </w:r>
          </w:p>
        </w:tc>
        <w:tc>
          <w:tcPr>
            <w:tcW w:w="1980" w:type="dxa"/>
            <w:tcBorders>
              <w:right w:val="single" w:sz="4" w:space="0" w:color="auto"/>
            </w:tcBorders>
            <w:vAlign w:val="bottom"/>
          </w:tcPr>
          <w:p w14:paraId="742DBC9B" w14:textId="77777777" w:rsidR="00AE5FDA" w:rsidRPr="00AE5FDA" w:rsidRDefault="00AE5FDA" w:rsidP="00AE5FDA">
            <w:r w:rsidRPr="00AE5FDA">
              <w:t>24.3 (23.3–25.2)</w:t>
            </w:r>
          </w:p>
        </w:tc>
      </w:tr>
      <w:tr w:rsidR="00AE5FDA" w:rsidRPr="00AE5FDA" w14:paraId="1A35FF5B" w14:textId="77777777" w:rsidTr="00A93316">
        <w:tc>
          <w:tcPr>
            <w:tcW w:w="3235" w:type="dxa"/>
            <w:tcBorders>
              <w:left w:val="single" w:sz="4" w:space="0" w:color="auto"/>
            </w:tcBorders>
          </w:tcPr>
          <w:p w14:paraId="15BFD6C1" w14:textId="77777777" w:rsidR="00AE5FDA" w:rsidRPr="00AE5FDA" w:rsidRDefault="00AE5FDA" w:rsidP="00AE5FDA">
            <w:pPr>
              <w:rPr>
                <w:i/>
              </w:rPr>
            </w:pPr>
            <w:r w:rsidRPr="00AE5FDA">
              <w:t xml:space="preserve">RRV | </w:t>
            </w:r>
            <w:r w:rsidRPr="00AE5FDA">
              <w:rPr>
                <w:i/>
              </w:rPr>
              <w:t>Cx. annulirostris</w:t>
            </w:r>
          </w:p>
        </w:tc>
        <w:tc>
          <w:tcPr>
            <w:tcW w:w="661" w:type="dxa"/>
          </w:tcPr>
          <w:p w14:paraId="7B9E6082" w14:textId="77777777" w:rsidR="00AE5FDA" w:rsidRPr="00AE5FDA" w:rsidRDefault="00AE5FDA" w:rsidP="00AE5FDA">
            <w:r w:rsidRPr="00AE5FDA">
              <w:t>Q</w:t>
            </w:r>
          </w:p>
        </w:tc>
        <w:tc>
          <w:tcPr>
            <w:tcW w:w="2939" w:type="dxa"/>
            <w:vAlign w:val="bottom"/>
          </w:tcPr>
          <w:p w14:paraId="05E9567D" w14:textId="77777777" w:rsidR="00AE5FDA" w:rsidRPr="00AE5FDA" w:rsidRDefault="00AE5FDA" w:rsidP="00AE5FDA">
            <w:r w:rsidRPr="00AE5FDA">
              <w:t>2.78·10</w:t>
            </w:r>
            <w:r w:rsidRPr="00AE5FDA">
              <w:rPr>
                <w:vertAlign w:val="superscript"/>
              </w:rPr>
              <w:t>-3</w:t>
            </w:r>
            <w:r w:rsidRPr="00AE5FDA">
              <w:t xml:space="preserve"> (2.02–4.27·10</w:t>
            </w:r>
            <w:r w:rsidRPr="00AE5FDA">
              <w:rPr>
                <w:vertAlign w:val="superscript"/>
              </w:rPr>
              <w:t>-3</w:t>
            </w:r>
            <w:r w:rsidRPr="00AE5FDA">
              <w:t>)</w:t>
            </w:r>
          </w:p>
        </w:tc>
        <w:tc>
          <w:tcPr>
            <w:tcW w:w="1980" w:type="dxa"/>
            <w:vAlign w:val="bottom"/>
          </w:tcPr>
          <w:p w14:paraId="63A7A53E" w14:textId="77777777" w:rsidR="00AE5FDA" w:rsidRPr="00AE5FDA" w:rsidRDefault="00AE5FDA" w:rsidP="00AE5FDA">
            <w:r w:rsidRPr="00AE5FDA">
              <w:t>6.1 (1.6–9.6)</w:t>
            </w:r>
          </w:p>
        </w:tc>
        <w:tc>
          <w:tcPr>
            <w:tcW w:w="2070" w:type="dxa"/>
            <w:vAlign w:val="bottom"/>
          </w:tcPr>
          <w:p w14:paraId="317B1F54" w14:textId="77777777" w:rsidR="00AE5FDA" w:rsidRPr="00AE5FDA" w:rsidRDefault="00AE5FDA" w:rsidP="00AE5FDA">
            <w:r w:rsidRPr="00AE5FDA">
              <w:t>42.8 (39.6–44.9)</w:t>
            </w:r>
          </w:p>
        </w:tc>
        <w:tc>
          <w:tcPr>
            <w:tcW w:w="1980" w:type="dxa"/>
            <w:tcBorders>
              <w:right w:val="single" w:sz="4" w:space="0" w:color="auto"/>
            </w:tcBorders>
            <w:vAlign w:val="bottom"/>
          </w:tcPr>
          <w:p w14:paraId="5B6DB141" w14:textId="77777777" w:rsidR="00AE5FDA" w:rsidRPr="00AE5FDA" w:rsidRDefault="00AE5FDA" w:rsidP="00AE5FDA">
            <w:r w:rsidRPr="00AE5FDA">
              <w:t>24.4 (22.4–25.6)</w:t>
            </w:r>
          </w:p>
        </w:tc>
      </w:tr>
      <w:tr w:rsidR="00AE5FDA" w:rsidRPr="00AE5FDA" w14:paraId="32D73651" w14:textId="77777777" w:rsidTr="00A93316">
        <w:tc>
          <w:tcPr>
            <w:tcW w:w="3235" w:type="dxa"/>
            <w:tcBorders>
              <w:left w:val="single" w:sz="4" w:space="0" w:color="auto"/>
            </w:tcBorders>
          </w:tcPr>
          <w:p w14:paraId="2491F963" w14:textId="77777777" w:rsidR="00AE5FDA" w:rsidRPr="00AE5FDA" w:rsidRDefault="00AE5FDA" w:rsidP="00AE5FDA">
            <w:pPr>
              <w:rPr>
                <w:i/>
              </w:rPr>
            </w:pPr>
            <w:r w:rsidRPr="00AE5FDA">
              <w:t xml:space="preserve">WNV | </w:t>
            </w:r>
            <w:r w:rsidRPr="00AE5FDA">
              <w:rPr>
                <w:i/>
              </w:rPr>
              <w:t>Cx. pipiens</w:t>
            </w:r>
          </w:p>
        </w:tc>
        <w:tc>
          <w:tcPr>
            <w:tcW w:w="661" w:type="dxa"/>
          </w:tcPr>
          <w:p w14:paraId="0F190EB4" w14:textId="77777777" w:rsidR="00AE5FDA" w:rsidRPr="00AE5FDA" w:rsidRDefault="00AE5FDA" w:rsidP="00AE5FDA">
            <w:r w:rsidRPr="00AE5FDA">
              <w:t>Q</w:t>
            </w:r>
          </w:p>
        </w:tc>
        <w:tc>
          <w:tcPr>
            <w:tcW w:w="2939" w:type="dxa"/>
            <w:vAlign w:val="bottom"/>
          </w:tcPr>
          <w:p w14:paraId="4F55CAA9" w14:textId="77777777" w:rsidR="00AE5FDA" w:rsidRPr="00AE5FDA" w:rsidRDefault="00AE5FDA" w:rsidP="00AE5FDA">
            <w:r w:rsidRPr="00AE5FDA">
              <w:t>3.05·10</w:t>
            </w:r>
            <w:r w:rsidRPr="00AE5FDA">
              <w:rPr>
                <w:vertAlign w:val="superscript"/>
              </w:rPr>
              <w:t>-3</w:t>
            </w:r>
            <w:r w:rsidRPr="00AE5FDA">
              <w:t xml:space="preserve"> (1.68–4.87·10</w:t>
            </w:r>
            <w:r w:rsidRPr="00AE5FDA">
              <w:rPr>
                <w:vertAlign w:val="superscript"/>
              </w:rPr>
              <w:t>-3</w:t>
            </w:r>
            <w:r w:rsidRPr="00AE5FDA">
              <w:t>)</w:t>
            </w:r>
          </w:p>
        </w:tc>
        <w:tc>
          <w:tcPr>
            <w:tcW w:w="1980" w:type="dxa"/>
            <w:vAlign w:val="bottom"/>
          </w:tcPr>
          <w:p w14:paraId="294C82DF" w14:textId="77777777" w:rsidR="00AE5FDA" w:rsidRPr="00AE5FDA" w:rsidRDefault="00AE5FDA" w:rsidP="00AE5FDA">
            <w:r w:rsidRPr="00AE5FDA">
              <w:t>16.8 (15–17.9)</w:t>
            </w:r>
          </w:p>
        </w:tc>
        <w:tc>
          <w:tcPr>
            <w:tcW w:w="2070" w:type="dxa"/>
            <w:vAlign w:val="bottom"/>
          </w:tcPr>
          <w:p w14:paraId="774577CE" w14:textId="77777777" w:rsidR="00AE5FDA" w:rsidRPr="00AE5FDA" w:rsidRDefault="00AE5FDA" w:rsidP="00AE5FDA">
            <w:r w:rsidRPr="00AE5FDA">
              <w:t>38.9 (36.1–44.1)</w:t>
            </w:r>
          </w:p>
        </w:tc>
        <w:tc>
          <w:tcPr>
            <w:tcW w:w="1980" w:type="dxa"/>
            <w:tcBorders>
              <w:right w:val="single" w:sz="4" w:space="0" w:color="auto"/>
            </w:tcBorders>
            <w:vAlign w:val="bottom"/>
          </w:tcPr>
          <w:p w14:paraId="3F120F06" w14:textId="77777777" w:rsidR="00AE5FDA" w:rsidRPr="00AE5FDA" w:rsidRDefault="00AE5FDA" w:rsidP="00AE5FDA">
            <w:r w:rsidRPr="00AE5FDA">
              <w:t>27.8 (26.6–30.1)</w:t>
            </w:r>
          </w:p>
        </w:tc>
      </w:tr>
      <w:tr w:rsidR="00AE5FDA" w:rsidRPr="00AE5FDA" w14:paraId="2487A06F" w14:textId="77777777" w:rsidTr="00A93316">
        <w:tc>
          <w:tcPr>
            <w:tcW w:w="3235" w:type="dxa"/>
            <w:tcBorders>
              <w:left w:val="single" w:sz="4" w:space="0" w:color="auto"/>
            </w:tcBorders>
          </w:tcPr>
          <w:p w14:paraId="054B92CD" w14:textId="77777777" w:rsidR="00AE5FDA" w:rsidRPr="00AE5FDA" w:rsidRDefault="00AE5FDA" w:rsidP="00AE5FDA">
            <w:r w:rsidRPr="00AE5FDA">
              <w:t xml:space="preserve">WEEV | </w:t>
            </w:r>
            <w:r w:rsidRPr="00AE5FDA">
              <w:rPr>
                <w:i/>
              </w:rPr>
              <w:t>Cx. tarsalis</w:t>
            </w:r>
          </w:p>
        </w:tc>
        <w:tc>
          <w:tcPr>
            <w:tcW w:w="661" w:type="dxa"/>
          </w:tcPr>
          <w:p w14:paraId="3F4B7FFD" w14:textId="77777777" w:rsidR="00AE5FDA" w:rsidRPr="00AE5FDA" w:rsidRDefault="00AE5FDA" w:rsidP="00AE5FDA">
            <w:r w:rsidRPr="00AE5FDA">
              <w:t>Q</w:t>
            </w:r>
          </w:p>
        </w:tc>
        <w:tc>
          <w:tcPr>
            <w:tcW w:w="2939" w:type="dxa"/>
            <w:vAlign w:val="bottom"/>
          </w:tcPr>
          <w:p w14:paraId="4E79EB9E" w14:textId="77777777" w:rsidR="00AE5FDA" w:rsidRPr="00AE5FDA" w:rsidRDefault="00AE5FDA" w:rsidP="00AE5FDA">
            <w:r w:rsidRPr="00AE5FDA">
              <w:t>1.17·10</w:t>
            </w:r>
            <w:r w:rsidRPr="00AE5FDA">
              <w:rPr>
                <w:vertAlign w:val="superscript"/>
              </w:rPr>
              <w:t>-3</w:t>
            </w:r>
            <w:r w:rsidRPr="00AE5FDA">
              <w:t xml:space="preserve"> (0.55–2.36·10</w:t>
            </w:r>
            <w:r w:rsidRPr="00AE5FDA">
              <w:rPr>
                <w:vertAlign w:val="superscript"/>
              </w:rPr>
              <w:t>-3</w:t>
            </w:r>
            <w:r w:rsidRPr="00AE5FDA">
              <w:t>)</w:t>
            </w:r>
          </w:p>
        </w:tc>
        <w:tc>
          <w:tcPr>
            <w:tcW w:w="1980" w:type="dxa"/>
            <w:vAlign w:val="bottom"/>
          </w:tcPr>
          <w:p w14:paraId="3650FD04" w14:textId="77777777" w:rsidR="00AE5FDA" w:rsidRPr="00AE5FDA" w:rsidRDefault="00AE5FDA" w:rsidP="00AE5FDA">
            <w:r w:rsidRPr="00AE5FDA">
              <w:t>5.1 (0.6–13.3)</w:t>
            </w:r>
          </w:p>
        </w:tc>
        <w:tc>
          <w:tcPr>
            <w:tcW w:w="2070" w:type="dxa"/>
            <w:vAlign w:val="bottom"/>
          </w:tcPr>
          <w:p w14:paraId="5C075C84" w14:textId="77777777" w:rsidR="00AE5FDA" w:rsidRPr="00AE5FDA" w:rsidRDefault="00AE5FDA" w:rsidP="00AE5FDA">
            <w:r w:rsidRPr="00AE5FDA">
              <w:t>37.0 (33.5–46.0)</w:t>
            </w:r>
          </w:p>
        </w:tc>
        <w:tc>
          <w:tcPr>
            <w:tcW w:w="1980" w:type="dxa"/>
            <w:tcBorders>
              <w:right w:val="single" w:sz="4" w:space="0" w:color="auto"/>
            </w:tcBorders>
            <w:vAlign w:val="bottom"/>
          </w:tcPr>
          <w:p w14:paraId="21751A88" w14:textId="77777777" w:rsidR="00AE5FDA" w:rsidRPr="00AE5FDA" w:rsidRDefault="00AE5FDA" w:rsidP="00AE5FDA">
            <w:r w:rsidRPr="00AE5FDA">
              <w:t>21.4 (18.1–27.3)</w:t>
            </w:r>
          </w:p>
        </w:tc>
      </w:tr>
      <w:tr w:rsidR="00AE5FDA" w:rsidRPr="00AE5FDA" w14:paraId="5DC26A9C" w14:textId="77777777" w:rsidTr="00A93316">
        <w:tc>
          <w:tcPr>
            <w:tcW w:w="3235" w:type="dxa"/>
            <w:tcBorders>
              <w:left w:val="single" w:sz="4" w:space="0" w:color="auto"/>
            </w:tcBorders>
          </w:tcPr>
          <w:p w14:paraId="022291AD" w14:textId="77777777" w:rsidR="00AE5FDA" w:rsidRPr="00AE5FDA" w:rsidRDefault="00AE5FDA" w:rsidP="00AE5FDA">
            <w:pPr>
              <w:rPr>
                <w:i/>
              </w:rPr>
            </w:pPr>
            <w:r w:rsidRPr="00AE5FDA">
              <w:t xml:space="preserve">WNV | </w:t>
            </w:r>
            <w:r w:rsidRPr="00AE5FDA">
              <w:rPr>
                <w:i/>
              </w:rPr>
              <w:t>Cx. univittatus</w:t>
            </w:r>
          </w:p>
        </w:tc>
        <w:tc>
          <w:tcPr>
            <w:tcW w:w="661" w:type="dxa"/>
          </w:tcPr>
          <w:p w14:paraId="033B5B0A" w14:textId="77777777" w:rsidR="00AE5FDA" w:rsidRPr="00AE5FDA" w:rsidRDefault="00AE5FDA" w:rsidP="00AE5FDA">
            <w:r w:rsidRPr="00AE5FDA">
              <w:t>Q</w:t>
            </w:r>
          </w:p>
        </w:tc>
        <w:tc>
          <w:tcPr>
            <w:tcW w:w="2939" w:type="dxa"/>
            <w:vAlign w:val="bottom"/>
          </w:tcPr>
          <w:p w14:paraId="1720432A" w14:textId="77777777" w:rsidR="00AE5FDA" w:rsidRPr="00AE5FDA" w:rsidRDefault="00AE5FDA" w:rsidP="00AE5FDA">
            <w:r w:rsidRPr="00AE5FDA">
              <w:t>2.32·10</w:t>
            </w:r>
            <w:r w:rsidRPr="00AE5FDA">
              <w:rPr>
                <w:vertAlign w:val="superscript"/>
              </w:rPr>
              <w:t>-3</w:t>
            </w:r>
            <w:r w:rsidRPr="00AE5FDA">
              <w:t xml:space="preserve"> (1.58–3.68·10</w:t>
            </w:r>
            <w:r w:rsidRPr="00AE5FDA">
              <w:rPr>
                <w:vertAlign w:val="superscript"/>
              </w:rPr>
              <w:t>-3</w:t>
            </w:r>
            <w:r w:rsidRPr="00AE5FDA">
              <w:t>)</w:t>
            </w:r>
          </w:p>
        </w:tc>
        <w:tc>
          <w:tcPr>
            <w:tcW w:w="1980" w:type="dxa"/>
            <w:vAlign w:val="bottom"/>
          </w:tcPr>
          <w:p w14:paraId="4BBD5308" w14:textId="77777777" w:rsidR="00AE5FDA" w:rsidRPr="00AE5FDA" w:rsidRDefault="00AE5FDA" w:rsidP="00AE5FDA">
            <w:r w:rsidRPr="00AE5FDA">
              <w:t>4.2 (1.5–7.1)</w:t>
            </w:r>
          </w:p>
        </w:tc>
        <w:tc>
          <w:tcPr>
            <w:tcW w:w="2070" w:type="dxa"/>
            <w:vAlign w:val="bottom"/>
          </w:tcPr>
          <w:p w14:paraId="392735A3" w14:textId="77777777" w:rsidR="00AE5FDA" w:rsidRPr="00AE5FDA" w:rsidRDefault="00AE5FDA" w:rsidP="00AE5FDA">
            <w:r w:rsidRPr="00AE5FDA">
              <w:t>45.2 (39.6–53.0)</w:t>
            </w:r>
          </w:p>
        </w:tc>
        <w:tc>
          <w:tcPr>
            <w:tcW w:w="1980" w:type="dxa"/>
            <w:tcBorders>
              <w:right w:val="single" w:sz="4" w:space="0" w:color="auto"/>
            </w:tcBorders>
            <w:vAlign w:val="bottom"/>
          </w:tcPr>
          <w:p w14:paraId="30418CC7" w14:textId="77777777" w:rsidR="00AE5FDA" w:rsidRPr="00AE5FDA" w:rsidRDefault="00AE5FDA" w:rsidP="00AE5FDA">
            <w:r w:rsidRPr="00AE5FDA">
              <w:t>23.7 (19.4–27.3)</w:t>
            </w:r>
          </w:p>
        </w:tc>
      </w:tr>
      <w:tr w:rsidR="00AE5FDA" w:rsidRPr="00AE5FDA" w14:paraId="0FC7C980" w14:textId="77777777" w:rsidTr="00A93316">
        <w:tc>
          <w:tcPr>
            <w:tcW w:w="3235" w:type="dxa"/>
            <w:tcBorders>
              <w:left w:val="single" w:sz="4" w:space="0" w:color="auto"/>
            </w:tcBorders>
          </w:tcPr>
          <w:p w14:paraId="0680C4FB" w14:textId="77777777" w:rsidR="00AE5FDA" w:rsidRPr="00AE5FDA" w:rsidRDefault="00AE5FDA" w:rsidP="00AE5FDA">
            <w:pPr>
              <w:rPr>
                <w:i/>
              </w:rPr>
            </w:pPr>
            <w:r w:rsidRPr="00AE5FDA">
              <w:rPr>
                <w:b/>
              </w:rPr>
              <w:t>Parasite Dev. Rate (</w:t>
            </w:r>
            <w:r w:rsidRPr="00AE5FDA">
              <w:rPr>
                <w:b/>
                <w:i/>
              </w:rPr>
              <w:t>PDR</w:t>
            </w:r>
            <w:r w:rsidRPr="00AE5FDA">
              <w:rPr>
                <w:b/>
              </w:rPr>
              <w:t>)</w:t>
            </w:r>
          </w:p>
        </w:tc>
        <w:tc>
          <w:tcPr>
            <w:tcW w:w="661" w:type="dxa"/>
          </w:tcPr>
          <w:p w14:paraId="151190A7" w14:textId="77777777" w:rsidR="00AE5FDA" w:rsidRPr="00AE5FDA" w:rsidRDefault="00AE5FDA" w:rsidP="00AE5FDA"/>
        </w:tc>
        <w:tc>
          <w:tcPr>
            <w:tcW w:w="2939" w:type="dxa"/>
          </w:tcPr>
          <w:p w14:paraId="5DE7045F" w14:textId="77777777" w:rsidR="00AE5FDA" w:rsidRPr="00AE5FDA" w:rsidRDefault="00AE5FDA" w:rsidP="00AE5FDA"/>
        </w:tc>
        <w:tc>
          <w:tcPr>
            <w:tcW w:w="1980" w:type="dxa"/>
          </w:tcPr>
          <w:p w14:paraId="029FA913" w14:textId="77777777" w:rsidR="00AE5FDA" w:rsidRPr="00AE5FDA" w:rsidRDefault="00AE5FDA" w:rsidP="00AE5FDA"/>
        </w:tc>
        <w:tc>
          <w:tcPr>
            <w:tcW w:w="2070" w:type="dxa"/>
          </w:tcPr>
          <w:p w14:paraId="4225FB58" w14:textId="77777777" w:rsidR="00AE5FDA" w:rsidRPr="00AE5FDA" w:rsidRDefault="00AE5FDA" w:rsidP="00AE5FDA"/>
        </w:tc>
        <w:tc>
          <w:tcPr>
            <w:tcW w:w="1980" w:type="dxa"/>
            <w:tcBorders>
              <w:right w:val="single" w:sz="4" w:space="0" w:color="auto"/>
            </w:tcBorders>
          </w:tcPr>
          <w:p w14:paraId="462836B6" w14:textId="77777777" w:rsidR="00AE5FDA" w:rsidRPr="00AE5FDA" w:rsidRDefault="00AE5FDA" w:rsidP="00AE5FDA"/>
        </w:tc>
      </w:tr>
      <w:tr w:rsidR="00AE5FDA" w:rsidRPr="00AE5FDA" w14:paraId="2E803B08" w14:textId="77777777" w:rsidTr="00A93316">
        <w:tc>
          <w:tcPr>
            <w:tcW w:w="3235" w:type="dxa"/>
            <w:tcBorders>
              <w:left w:val="single" w:sz="4" w:space="0" w:color="auto"/>
            </w:tcBorders>
          </w:tcPr>
          <w:p w14:paraId="7E89DDC2" w14:textId="77777777" w:rsidR="00AE5FDA" w:rsidRPr="00AE5FDA" w:rsidRDefault="00AE5FDA" w:rsidP="00AE5FDA">
            <w:r w:rsidRPr="00AE5FDA">
              <w:t xml:space="preserve">DENV | </w:t>
            </w:r>
            <w:r w:rsidRPr="00AE5FDA">
              <w:rPr>
                <w:i/>
              </w:rPr>
              <w:t>Ae. aegypti</w:t>
            </w:r>
          </w:p>
        </w:tc>
        <w:tc>
          <w:tcPr>
            <w:tcW w:w="661" w:type="dxa"/>
          </w:tcPr>
          <w:p w14:paraId="0A0D4667" w14:textId="77777777" w:rsidR="00AE5FDA" w:rsidRPr="00AE5FDA" w:rsidRDefault="00AE5FDA" w:rsidP="00AE5FDA">
            <w:r w:rsidRPr="00AE5FDA">
              <w:t>B</w:t>
            </w:r>
          </w:p>
        </w:tc>
        <w:tc>
          <w:tcPr>
            <w:tcW w:w="2939" w:type="dxa"/>
            <w:vAlign w:val="bottom"/>
          </w:tcPr>
          <w:p w14:paraId="3A5298B0" w14:textId="77777777" w:rsidR="00AE5FDA" w:rsidRPr="00AE5FDA" w:rsidRDefault="00AE5FDA" w:rsidP="00AE5FDA">
            <w:r w:rsidRPr="00AE5FDA">
              <w:t>6.13·10</w:t>
            </w:r>
            <w:r w:rsidRPr="00AE5FDA">
              <w:rPr>
                <w:vertAlign w:val="superscript"/>
              </w:rPr>
              <w:t>-5</w:t>
            </w:r>
            <w:r w:rsidRPr="00AE5FDA">
              <w:t xml:space="preserve"> (3.98–11.9·10</w:t>
            </w:r>
            <w:r w:rsidRPr="00AE5FDA">
              <w:rPr>
                <w:vertAlign w:val="superscript"/>
              </w:rPr>
              <w:t>-5</w:t>
            </w:r>
            <w:r w:rsidRPr="00AE5FDA">
              <w:t>)</w:t>
            </w:r>
          </w:p>
        </w:tc>
        <w:tc>
          <w:tcPr>
            <w:tcW w:w="1980" w:type="dxa"/>
            <w:vAlign w:val="bottom"/>
          </w:tcPr>
          <w:p w14:paraId="0DB8656B" w14:textId="77777777" w:rsidR="00AE5FDA" w:rsidRPr="00AE5FDA" w:rsidRDefault="00AE5FDA" w:rsidP="00AE5FDA">
            <w:r w:rsidRPr="00AE5FDA">
              <w:t>10.3 (3.7–18.2)</w:t>
            </w:r>
          </w:p>
        </w:tc>
        <w:tc>
          <w:tcPr>
            <w:tcW w:w="2070" w:type="dxa"/>
            <w:vAlign w:val="bottom"/>
          </w:tcPr>
          <w:p w14:paraId="7617664D" w14:textId="77777777" w:rsidR="00AE5FDA" w:rsidRPr="00AE5FDA" w:rsidRDefault="00AE5FDA" w:rsidP="00AE5FDA">
            <w:r w:rsidRPr="00AE5FDA">
              <w:t>45.6 (40.1–53.5)</w:t>
            </w:r>
          </w:p>
        </w:tc>
        <w:tc>
          <w:tcPr>
            <w:tcW w:w="1980" w:type="dxa"/>
            <w:tcBorders>
              <w:right w:val="single" w:sz="4" w:space="0" w:color="auto"/>
            </w:tcBorders>
            <w:vAlign w:val="bottom"/>
          </w:tcPr>
          <w:p w14:paraId="7ABC8D28" w14:textId="77777777" w:rsidR="00AE5FDA" w:rsidRPr="00AE5FDA" w:rsidRDefault="00AE5FDA" w:rsidP="00AE5FDA">
            <w:r w:rsidRPr="00AE5FDA">
              <w:t>37.7 (33.8–43.8)</w:t>
            </w:r>
          </w:p>
        </w:tc>
      </w:tr>
      <w:tr w:rsidR="00AE5FDA" w:rsidRPr="00AE5FDA" w14:paraId="176E3C9A" w14:textId="77777777" w:rsidTr="00A93316">
        <w:tc>
          <w:tcPr>
            <w:tcW w:w="3235" w:type="dxa"/>
            <w:tcBorders>
              <w:left w:val="single" w:sz="4" w:space="0" w:color="auto"/>
            </w:tcBorders>
          </w:tcPr>
          <w:p w14:paraId="0865735B" w14:textId="77777777" w:rsidR="00AE5FDA" w:rsidRPr="00AE5FDA" w:rsidRDefault="00AE5FDA" w:rsidP="00AE5FDA">
            <w:r w:rsidRPr="00AE5FDA">
              <w:t xml:space="preserve">ZIKV | </w:t>
            </w:r>
            <w:r w:rsidRPr="00AE5FDA">
              <w:rPr>
                <w:i/>
              </w:rPr>
              <w:t>Ae. aegypti</w:t>
            </w:r>
          </w:p>
        </w:tc>
        <w:tc>
          <w:tcPr>
            <w:tcW w:w="661" w:type="dxa"/>
          </w:tcPr>
          <w:p w14:paraId="37072E8B" w14:textId="77777777" w:rsidR="00AE5FDA" w:rsidRPr="00AE5FDA" w:rsidRDefault="00AE5FDA" w:rsidP="00AE5FDA">
            <w:r w:rsidRPr="00AE5FDA">
              <w:t>B</w:t>
            </w:r>
          </w:p>
        </w:tc>
        <w:tc>
          <w:tcPr>
            <w:tcW w:w="2939" w:type="dxa"/>
            <w:vAlign w:val="bottom"/>
          </w:tcPr>
          <w:p w14:paraId="29916516" w14:textId="77777777" w:rsidR="00AE5FDA" w:rsidRPr="00AE5FDA" w:rsidRDefault="00AE5FDA" w:rsidP="00AE5FDA">
            <w:r w:rsidRPr="00AE5FDA">
              <w:t>1.68·10</w:t>
            </w:r>
            <w:r w:rsidRPr="00AE5FDA">
              <w:rPr>
                <w:vertAlign w:val="superscript"/>
              </w:rPr>
              <w:t>-4</w:t>
            </w:r>
            <w:r w:rsidRPr="00AE5FDA">
              <w:t xml:space="preserve"> (0.62–3.21·10</w:t>
            </w:r>
            <w:r w:rsidRPr="00AE5FDA">
              <w:rPr>
                <w:vertAlign w:val="superscript"/>
              </w:rPr>
              <w:t>-4</w:t>
            </w:r>
            <w:r w:rsidRPr="00AE5FDA">
              <w:t>)</w:t>
            </w:r>
          </w:p>
        </w:tc>
        <w:tc>
          <w:tcPr>
            <w:tcW w:w="1980" w:type="dxa"/>
            <w:vAlign w:val="bottom"/>
          </w:tcPr>
          <w:p w14:paraId="49DFC79F" w14:textId="77777777" w:rsidR="00AE5FDA" w:rsidRPr="00AE5FDA" w:rsidRDefault="00AE5FDA" w:rsidP="00AE5FDA">
            <w:r w:rsidRPr="00AE5FDA">
              <w:t>19.7 (4.9–23.7)</w:t>
            </w:r>
          </w:p>
        </w:tc>
        <w:tc>
          <w:tcPr>
            <w:tcW w:w="2070" w:type="dxa"/>
            <w:vAlign w:val="bottom"/>
          </w:tcPr>
          <w:p w14:paraId="28F9F54E" w14:textId="77777777" w:rsidR="00AE5FDA" w:rsidRPr="00AE5FDA" w:rsidRDefault="00AE5FDA" w:rsidP="00AE5FDA">
            <w:r w:rsidRPr="00AE5FDA">
              <w:t>42.5 (38.8–44.9)</w:t>
            </w:r>
          </w:p>
        </w:tc>
        <w:tc>
          <w:tcPr>
            <w:tcW w:w="1980" w:type="dxa"/>
            <w:tcBorders>
              <w:right w:val="single" w:sz="4" w:space="0" w:color="auto"/>
            </w:tcBorders>
            <w:vAlign w:val="bottom"/>
          </w:tcPr>
          <w:p w14:paraId="1844834F" w14:textId="77777777" w:rsidR="00AE5FDA" w:rsidRPr="00AE5FDA" w:rsidRDefault="00AE5FDA" w:rsidP="00AE5FDA">
            <w:r w:rsidRPr="00AE5FDA">
              <w:t>36.5 (33.2–38.9)</w:t>
            </w:r>
          </w:p>
        </w:tc>
      </w:tr>
      <w:tr w:rsidR="00AE5FDA" w:rsidRPr="00AE5FDA" w14:paraId="667D6646" w14:textId="77777777" w:rsidTr="00A93316">
        <w:tc>
          <w:tcPr>
            <w:tcW w:w="3235" w:type="dxa"/>
            <w:tcBorders>
              <w:left w:val="single" w:sz="4" w:space="0" w:color="auto"/>
            </w:tcBorders>
          </w:tcPr>
          <w:p w14:paraId="7B179DAF" w14:textId="77777777" w:rsidR="00AE5FDA" w:rsidRPr="00AE5FDA" w:rsidRDefault="00AE5FDA" w:rsidP="00AE5FDA">
            <w:pPr>
              <w:rPr>
                <w:i/>
              </w:rPr>
            </w:pPr>
            <w:r w:rsidRPr="00AE5FDA">
              <w:t xml:space="preserve">RVFV | </w:t>
            </w:r>
            <w:r w:rsidRPr="00AE5FDA">
              <w:rPr>
                <w:i/>
              </w:rPr>
              <w:t>Ae. taeniorhynchus</w:t>
            </w:r>
          </w:p>
        </w:tc>
        <w:tc>
          <w:tcPr>
            <w:tcW w:w="661" w:type="dxa"/>
          </w:tcPr>
          <w:p w14:paraId="54093630" w14:textId="77777777" w:rsidR="00AE5FDA" w:rsidRPr="00AE5FDA" w:rsidRDefault="00AE5FDA" w:rsidP="00AE5FDA">
            <w:r w:rsidRPr="00AE5FDA">
              <w:t>B</w:t>
            </w:r>
          </w:p>
        </w:tc>
        <w:tc>
          <w:tcPr>
            <w:tcW w:w="2939" w:type="dxa"/>
            <w:vAlign w:val="bottom"/>
          </w:tcPr>
          <w:p w14:paraId="0070B3C5" w14:textId="77777777" w:rsidR="00AE5FDA" w:rsidRPr="00AE5FDA" w:rsidRDefault="00AE5FDA" w:rsidP="00AE5FDA">
            <w:r w:rsidRPr="00AE5FDA">
              <w:t>8.84·10</w:t>
            </w:r>
            <w:r w:rsidRPr="00AE5FDA">
              <w:rPr>
                <w:vertAlign w:val="superscript"/>
              </w:rPr>
              <w:t>-5</w:t>
            </w:r>
            <w:r w:rsidRPr="00AE5FDA">
              <w:t xml:space="preserve"> (2.51–15.5·10</w:t>
            </w:r>
            <w:r w:rsidRPr="00AE5FDA">
              <w:rPr>
                <w:vertAlign w:val="superscript"/>
              </w:rPr>
              <w:t>-5</w:t>
            </w:r>
            <w:r w:rsidRPr="00AE5FDA">
              <w:t>)</w:t>
            </w:r>
          </w:p>
        </w:tc>
        <w:tc>
          <w:tcPr>
            <w:tcW w:w="1980" w:type="dxa"/>
            <w:vAlign w:val="bottom"/>
          </w:tcPr>
          <w:p w14:paraId="7EAD485B" w14:textId="77777777" w:rsidR="00AE5FDA" w:rsidRPr="00AE5FDA" w:rsidRDefault="00AE5FDA" w:rsidP="00AE5FDA">
            <w:r w:rsidRPr="00AE5FDA">
              <w:t>9.0 (5.4–13.8)</w:t>
            </w:r>
          </w:p>
        </w:tc>
        <w:tc>
          <w:tcPr>
            <w:tcW w:w="2070" w:type="dxa"/>
            <w:vAlign w:val="bottom"/>
          </w:tcPr>
          <w:p w14:paraId="58BDC950" w14:textId="77777777" w:rsidR="00AE5FDA" w:rsidRPr="00AE5FDA" w:rsidRDefault="00AE5FDA" w:rsidP="00AE5FDA">
            <w:r w:rsidRPr="00AE5FDA">
              <w:t>45.9 (41.9–50.3)</w:t>
            </w:r>
          </w:p>
        </w:tc>
        <w:tc>
          <w:tcPr>
            <w:tcW w:w="1980" w:type="dxa"/>
            <w:tcBorders>
              <w:right w:val="single" w:sz="4" w:space="0" w:color="auto"/>
            </w:tcBorders>
            <w:vAlign w:val="bottom"/>
          </w:tcPr>
          <w:p w14:paraId="03E0E9FE" w14:textId="77777777" w:rsidR="00AE5FDA" w:rsidRPr="00AE5FDA" w:rsidRDefault="00AE5FDA" w:rsidP="00AE5FDA">
            <w:r w:rsidRPr="00AE5FDA">
              <w:t>37.8 (34.5–41.3)</w:t>
            </w:r>
          </w:p>
        </w:tc>
      </w:tr>
      <w:tr w:rsidR="00AE5FDA" w:rsidRPr="00AE5FDA" w14:paraId="6887BAB1" w14:textId="77777777" w:rsidTr="00A93316">
        <w:tc>
          <w:tcPr>
            <w:tcW w:w="3235" w:type="dxa"/>
            <w:tcBorders>
              <w:left w:val="single" w:sz="4" w:space="0" w:color="auto"/>
            </w:tcBorders>
          </w:tcPr>
          <w:p w14:paraId="73C983B0" w14:textId="77777777" w:rsidR="00AE5FDA" w:rsidRPr="00AE5FDA" w:rsidRDefault="00AE5FDA" w:rsidP="00AE5FDA">
            <w:pPr>
              <w:rPr>
                <w:i/>
              </w:rPr>
            </w:pPr>
            <w:r w:rsidRPr="00AE5FDA">
              <w:t xml:space="preserve">EEEV | </w:t>
            </w:r>
            <w:r w:rsidRPr="00AE5FDA">
              <w:rPr>
                <w:i/>
              </w:rPr>
              <w:t>Ae. triseriatus</w:t>
            </w:r>
          </w:p>
        </w:tc>
        <w:tc>
          <w:tcPr>
            <w:tcW w:w="661" w:type="dxa"/>
          </w:tcPr>
          <w:p w14:paraId="14CDE53C" w14:textId="77777777" w:rsidR="00AE5FDA" w:rsidRPr="00AE5FDA" w:rsidRDefault="00AE5FDA" w:rsidP="00AE5FDA">
            <w:r w:rsidRPr="00AE5FDA">
              <w:t>B</w:t>
            </w:r>
          </w:p>
        </w:tc>
        <w:tc>
          <w:tcPr>
            <w:tcW w:w="2939" w:type="dxa"/>
            <w:vAlign w:val="bottom"/>
          </w:tcPr>
          <w:p w14:paraId="39DFF0A9" w14:textId="77777777" w:rsidR="00AE5FDA" w:rsidRPr="00AE5FDA" w:rsidRDefault="00AE5FDA" w:rsidP="00AE5FDA">
            <w:r w:rsidRPr="00AE5FDA">
              <w:t>7.05·10</w:t>
            </w:r>
            <w:r w:rsidRPr="00AE5FDA">
              <w:rPr>
                <w:vertAlign w:val="superscript"/>
              </w:rPr>
              <w:t>-5</w:t>
            </w:r>
            <w:r w:rsidRPr="00AE5FDA">
              <w:t xml:space="preserve"> (5.21–9.68·10</w:t>
            </w:r>
            <w:r w:rsidRPr="00AE5FDA">
              <w:rPr>
                <w:vertAlign w:val="superscript"/>
              </w:rPr>
              <w:t>-5</w:t>
            </w:r>
            <w:r w:rsidRPr="00AE5FDA">
              <w:t>)</w:t>
            </w:r>
          </w:p>
        </w:tc>
        <w:tc>
          <w:tcPr>
            <w:tcW w:w="1980" w:type="dxa"/>
            <w:vAlign w:val="bottom"/>
          </w:tcPr>
          <w:p w14:paraId="5F205045" w14:textId="77777777" w:rsidR="00AE5FDA" w:rsidRPr="00AE5FDA" w:rsidRDefault="00AE5FDA" w:rsidP="00AE5FDA">
            <w:r w:rsidRPr="00AE5FDA">
              <w:t>11.6 (7.0–16.4)</w:t>
            </w:r>
          </w:p>
        </w:tc>
        <w:tc>
          <w:tcPr>
            <w:tcW w:w="2070" w:type="dxa"/>
            <w:vAlign w:val="bottom"/>
          </w:tcPr>
          <w:p w14:paraId="75B44ED7" w14:textId="77777777" w:rsidR="00AE5FDA" w:rsidRPr="00AE5FDA" w:rsidRDefault="00AE5FDA" w:rsidP="00AE5FDA">
            <w:r w:rsidRPr="00AE5FDA">
              <w:t>44.8 (40.6–49.4)</w:t>
            </w:r>
          </w:p>
        </w:tc>
        <w:tc>
          <w:tcPr>
            <w:tcW w:w="1980" w:type="dxa"/>
            <w:tcBorders>
              <w:right w:val="single" w:sz="4" w:space="0" w:color="auto"/>
            </w:tcBorders>
            <w:vAlign w:val="bottom"/>
          </w:tcPr>
          <w:p w14:paraId="21417DE7" w14:textId="77777777" w:rsidR="00AE5FDA" w:rsidRPr="00AE5FDA" w:rsidRDefault="00AE5FDA" w:rsidP="00AE5FDA">
            <w:r w:rsidRPr="00AE5FDA">
              <w:t>37.2 (33.8–41.1)</w:t>
            </w:r>
          </w:p>
        </w:tc>
      </w:tr>
      <w:tr w:rsidR="00AE5FDA" w:rsidRPr="00AE5FDA" w14:paraId="5B565662" w14:textId="77777777" w:rsidTr="00A93316">
        <w:tc>
          <w:tcPr>
            <w:tcW w:w="3235" w:type="dxa"/>
            <w:tcBorders>
              <w:left w:val="single" w:sz="4" w:space="0" w:color="auto"/>
            </w:tcBorders>
          </w:tcPr>
          <w:p w14:paraId="3A1205D9" w14:textId="0B3BE8A6" w:rsidR="00AE5FDA" w:rsidRPr="00B314F8" w:rsidRDefault="00AE5FDA" w:rsidP="00AE5FDA">
            <w:r w:rsidRPr="00AE5FDA">
              <w:rPr>
                <w:i/>
              </w:rPr>
              <w:t>P. fal.</w:t>
            </w:r>
            <w:r w:rsidRPr="00AE5FDA">
              <w:t xml:space="preserve">| </w:t>
            </w:r>
            <w:r w:rsidRPr="00AE5FDA">
              <w:rPr>
                <w:i/>
              </w:rPr>
              <w:t>Anopheles</w:t>
            </w:r>
            <w:r w:rsidR="00B314F8">
              <w:rPr>
                <w:i/>
              </w:rPr>
              <w:t xml:space="preserve"> </w:t>
            </w:r>
            <w:r w:rsidR="00B314F8">
              <w:t>spp.</w:t>
            </w:r>
          </w:p>
        </w:tc>
        <w:tc>
          <w:tcPr>
            <w:tcW w:w="661" w:type="dxa"/>
          </w:tcPr>
          <w:p w14:paraId="60771EBC" w14:textId="77777777" w:rsidR="00AE5FDA" w:rsidRPr="00AE5FDA" w:rsidRDefault="00AE5FDA" w:rsidP="00AE5FDA">
            <w:r w:rsidRPr="00AE5FDA">
              <w:t>B</w:t>
            </w:r>
          </w:p>
        </w:tc>
        <w:tc>
          <w:tcPr>
            <w:tcW w:w="2939" w:type="dxa"/>
            <w:vAlign w:val="bottom"/>
          </w:tcPr>
          <w:p w14:paraId="54E30862" w14:textId="77777777" w:rsidR="00AE5FDA" w:rsidRPr="00AE5FDA" w:rsidRDefault="00AE5FDA" w:rsidP="00AE5FDA">
            <w:r w:rsidRPr="00AE5FDA">
              <w:t>1.06·10</w:t>
            </w:r>
            <w:r w:rsidRPr="00AE5FDA">
              <w:rPr>
                <w:vertAlign w:val="superscript"/>
              </w:rPr>
              <w:t>-4</w:t>
            </w:r>
            <w:r w:rsidRPr="00AE5FDA">
              <w:t xml:space="preserve"> (0.88–1.26·10</w:t>
            </w:r>
            <w:r w:rsidRPr="00AE5FDA">
              <w:rPr>
                <w:vertAlign w:val="superscript"/>
              </w:rPr>
              <w:t>-4</w:t>
            </w:r>
            <w:r w:rsidRPr="00AE5FDA">
              <w:t>)</w:t>
            </w:r>
          </w:p>
        </w:tc>
        <w:tc>
          <w:tcPr>
            <w:tcW w:w="1980" w:type="dxa"/>
            <w:vAlign w:val="bottom"/>
          </w:tcPr>
          <w:p w14:paraId="24C57BA2" w14:textId="77777777" w:rsidR="00AE5FDA" w:rsidRPr="00AE5FDA" w:rsidRDefault="00AE5FDA" w:rsidP="00AE5FDA">
            <w:r w:rsidRPr="00AE5FDA">
              <w:t>14.1 (13.1–15.2)</w:t>
            </w:r>
          </w:p>
        </w:tc>
        <w:tc>
          <w:tcPr>
            <w:tcW w:w="2070" w:type="dxa"/>
            <w:vAlign w:val="bottom"/>
          </w:tcPr>
          <w:p w14:paraId="4724BC22" w14:textId="77777777" w:rsidR="00AE5FDA" w:rsidRPr="00AE5FDA" w:rsidRDefault="00AE5FDA" w:rsidP="00AE5FDA">
            <w:r w:rsidRPr="00AE5FDA">
              <w:t>34.2 (33.5–34.8)</w:t>
            </w:r>
          </w:p>
        </w:tc>
        <w:tc>
          <w:tcPr>
            <w:tcW w:w="1980" w:type="dxa"/>
            <w:tcBorders>
              <w:right w:val="single" w:sz="4" w:space="0" w:color="auto"/>
            </w:tcBorders>
            <w:vAlign w:val="bottom"/>
          </w:tcPr>
          <w:p w14:paraId="67524CB9" w14:textId="77777777" w:rsidR="00AE5FDA" w:rsidRPr="00AE5FDA" w:rsidRDefault="00AE5FDA" w:rsidP="00AE5FDA">
            <w:r w:rsidRPr="00AE5FDA">
              <w:t>29.2 (28.7–29.7)</w:t>
            </w:r>
          </w:p>
        </w:tc>
      </w:tr>
      <w:tr w:rsidR="00AE5FDA" w:rsidRPr="00AE5FDA" w14:paraId="51AF3DE4" w14:textId="77777777" w:rsidTr="00A93316">
        <w:tc>
          <w:tcPr>
            <w:tcW w:w="3235" w:type="dxa"/>
            <w:tcBorders>
              <w:left w:val="single" w:sz="4" w:space="0" w:color="auto"/>
            </w:tcBorders>
          </w:tcPr>
          <w:p w14:paraId="1A3CCD23" w14:textId="77777777" w:rsidR="00AE5FDA" w:rsidRPr="00AE5FDA" w:rsidRDefault="00AE5FDA" w:rsidP="00AE5FDA">
            <w:pPr>
              <w:rPr>
                <w:i/>
              </w:rPr>
            </w:pPr>
            <w:r w:rsidRPr="00AE5FDA">
              <w:t xml:space="preserve">MVEV | </w:t>
            </w:r>
            <w:r w:rsidRPr="00AE5FDA">
              <w:rPr>
                <w:i/>
              </w:rPr>
              <w:t>Cx. annulirostris</w:t>
            </w:r>
          </w:p>
        </w:tc>
        <w:tc>
          <w:tcPr>
            <w:tcW w:w="661" w:type="dxa"/>
          </w:tcPr>
          <w:p w14:paraId="299681E5" w14:textId="77777777" w:rsidR="00AE5FDA" w:rsidRPr="00AE5FDA" w:rsidRDefault="00AE5FDA" w:rsidP="00AE5FDA">
            <w:r w:rsidRPr="00AE5FDA">
              <w:t>B</w:t>
            </w:r>
          </w:p>
        </w:tc>
        <w:tc>
          <w:tcPr>
            <w:tcW w:w="2939" w:type="dxa"/>
            <w:vAlign w:val="bottom"/>
          </w:tcPr>
          <w:p w14:paraId="0E02014A" w14:textId="77777777" w:rsidR="00AE5FDA" w:rsidRPr="00AE5FDA" w:rsidRDefault="00AE5FDA" w:rsidP="00AE5FDA">
            <w:r w:rsidRPr="00AE5FDA">
              <w:t>1.01·10</w:t>
            </w:r>
            <w:r w:rsidRPr="00AE5FDA">
              <w:rPr>
                <w:vertAlign w:val="superscript"/>
              </w:rPr>
              <w:t>-4</w:t>
            </w:r>
            <w:r w:rsidRPr="00AE5FDA">
              <w:t xml:space="preserve"> (0.64–1.55·10</w:t>
            </w:r>
            <w:r w:rsidRPr="00AE5FDA">
              <w:rPr>
                <w:vertAlign w:val="superscript"/>
              </w:rPr>
              <w:t>-4</w:t>
            </w:r>
            <w:r w:rsidRPr="00AE5FDA">
              <w:t>)</w:t>
            </w:r>
          </w:p>
        </w:tc>
        <w:tc>
          <w:tcPr>
            <w:tcW w:w="1980" w:type="dxa"/>
            <w:vAlign w:val="bottom"/>
          </w:tcPr>
          <w:p w14:paraId="7DF83837" w14:textId="77777777" w:rsidR="00AE5FDA" w:rsidRPr="00AE5FDA" w:rsidRDefault="00AE5FDA" w:rsidP="00AE5FDA">
            <w:r w:rsidRPr="00AE5FDA">
              <w:t>12.8 (6.6–19.0)</w:t>
            </w:r>
          </w:p>
        </w:tc>
        <w:tc>
          <w:tcPr>
            <w:tcW w:w="2070" w:type="dxa"/>
            <w:vAlign w:val="bottom"/>
          </w:tcPr>
          <w:p w14:paraId="369188FF" w14:textId="77777777" w:rsidR="00AE5FDA" w:rsidRPr="00AE5FDA" w:rsidRDefault="00AE5FDA" w:rsidP="00AE5FDA">
            <w:r w:rsidRPr="00AE5FDA">
              <w:t>41.9 (38.6–45.0)</w:t>
            </w:r>
          </w:p>
        </w:tc>
        <w:tc>
          <w:tcPr>
            <w:tcW w:w="1980" w:type="dxa"/>
            <w:tcBorders>
              <w:right w:val="single" w:sz="4" w:space="0" w:color="auto"/>
            </w:tcBorders>
            <w:vAlign w:val="bottom"/>
          </w:tcPr>
          <w:p w14:paraId="08417196" w14:textId="77777777" w:rsidR="00AE5FDA" w:rsidRPr="00AE5FDA" w:rsidRDefault="00AE5FDA" w:rsidP="00AE5FDA">
            <w:r w:rsidRPr="00AE5FDA">
              <w:t>35.2 (32.2–37.8)</w:t>
            </w:r>
          </w:p>
        </w:tc>
      </w:tr>
      <w:tr w:rsidR="00AE5FDA" w:rsidRPr="00AE5FDA" w14:paraId="4737F3B2" w14:textId="77777777" w:rsidTr="00A93316">
        <w:tc>
          <w:tcPr>
            <w:tcW w:w="3235" w:type="dxa"/>
            <w:tcBorders>
              <w:left w:val="single" w:sz="4" w:space="0" w:color="auto"/>
            </w:tcBorders>
          </w:tcPr>
          <w:p w14:paraId="4AE628B9" w14:textId="77777777" w:rsidR="00AE5FDA" w:rsidRPr="00AE5FDA" w:rsidRDefault="00AE5FDA" w:rsidP="00AE5FDA">
            <w:pPr>
              <w:rPr>
                <w:i/>
              </w:rPr>
            </w:pPr>
            <w:r w:rsidRPr="00AE5FDA">
              <w:t xml:space="preserve">RRV | </w:t>
            </w:r>
            <w:r w:rsidRPr="00AE5FDA">
              <w:rPr>
                <w:i/>
              </w:rPr>
              <w:t>Cx. annulirostris</w:t>
            </w:r>
          </w:p>
        </w:tc>
        <w:tc>
          <w:tcPr>
            <w:tcW w:w="661" w:type="dxa"/>
          </w:tcPr>
          <w:p w14:paraId="7AB51353" w14:textId="77777777" w:rsidR="00AE5FDA" w:rsidRPr="00AE5FDA" w:rsidRDefault="00AE5FDA" w:rsidP="00AE5FDA">
            <w:r w:rsidRPr="00AE5FDA">
              <w:t>B</w:t>
            </w:r>
          </w:p>
        </w:tc>
        <w:tc>
          <w:tcPr>
            <w:tcW w:w="2939" w:type="dxa"/>
            <w:vAlign w:val="bottom"/>
          </w:tcPr>
          <w:p w14:paraId="0FB35A5B" w14:textId="77777777" w:rsidR="00AE5FDA" w:rsidRPr="00AE5FDA" w:rsidRDefault="00AE5FDA" w:rsidP="00AE5FDA">
            <w:r w:rsidRPr="00AE5FDA">
              <w:t>1.34·10</w:t>
            </w:r>
            <w:r w:rsidRPr="00AE5FDA">
              <w:rPr>
                <w:vertAlign w:val="superscript"/>
              </w:rPr>
              <w:t>-4</w:t>
            </w:r>
            <w:r w:rsidRPr="00AE5FDA">
              <w:t xml:space="preserve"> (0.86–2.15·10</w:t>
            </w:r>
            <w:r w:rsidRPr="00AE5FDA">
              <w:rPr>
                <w:vertAlign w:val="superscript"/>
              </w:rPr>
              <w:t>-4</w:t>
            </w:r>
            <w:r w:rsidRPr="00AE5FDA">
              <w:t>)</w:t>
            </w:r>
          </w:p>
        </w:tc>
        <w:tc>
          <w:tcPr>
            <w:tcW w:w="1980" w:type="dxa"/>
            <w:vAlign w:val="bottom"/>
          </w:tcPr>
          <w:p w14:paraId="6E9E0AA1" w14:textId="77777777" w:rsidR="00AE5FDA" w:rsidRPr="00AE5FDA" w:rsidRDefault="00AE5FDA" w:rsidP="00AE5FDA">
            <w:r w:rsidRPr="00AE5FDA">
              <w:t>5.9 (1.3–13.0)</w:t>
            </w:r>
          </w:p>
        </w:tc>
        <w:tc>
          <w:tcPr>
            <w:tcW w:w="2070" w:type="dxa"/>
            <w:vAlign w:val="bottom"/>
          </w:tcPr>
          <w:p w14:paraId="400ABDD2" w14:textId="77777777" w:rsidR="00AE5FDA" w:rsidRPr="00AE5FDA" w:rsidRDefault="00AE5FDA" w:rsidP="00AE5FDA">
            <w:r w:rsidRPr="00AE5FDA">
              <w:t>41.3 (36.1–45.0)</w:t>
            </w:r>
          </w:p>
        </w:tc>
        <w:tc>
          <w:tcPr>
            <w:tcW w:w="1980" w:type="dxa"/>
            <w:tcBorders>
              <w:right w:val="single" w:sz="4" w:space="0" w:color="auto"/>
            </w:tcBorders>
            <w:vAlign w:val="bottom"/>
          </w:tcPr>
          <w:p w14:paraId="7720FA87" w14:textId="77777777" w:rsidR="00AE5FDA" w:rsidRPr="00AE5FDA" w:rsidRDefault="00AE5FDA" w:rsidP="00AE5FDA">
            <w:r w:rsidRPr="00AE5FDA">
              <w:t>33.6 (29.6–37.0)</w:t>
            </w:r>
          </w:p>
        </w:tc>
      </w:tr>
      <w:tr w:rsidR="00AE5FDA" w:rsidRPr="00AE5FDA" w14:paraId="2E67DE1B" w14:textId="77777777" w:rsidTr="00A93316">
        <w:tc>
          <w:tcPr>
            <w:tcW w:w="3235" w:type="dxa"/>
            <w:tcBorders>
              <w:left w:val="single" w:sz="4" w:space="0" w:color="auto"/>
            </w:tcBorders>
          </w:tcPr>
          <w:p w14:paraId="488CC7CF" w14:textId="77777777" w:rsidR="00AE5FDA" w:rsidRPr="00AE5FDA" w:rsidRDefault="00AE5FDA" w:rsidP="00AE5FDA">
            <w:r w:rsidRPr="00AE5FDA">
              <w:t xml:space="preserve">WNV | </w:t>
            </w:r>
            <w:r w:rsidRPr="00AE5FDA">
              <w:rPr>
                <w:i/>
              </w:rPr>
              <w:t>Cx. pipiens</w:t>
            </w:r>
          </w:p>
        </w:tc>
        <w:tc>
          <w:tcPr>
            <w:tcW w:w="661" w:type="dxa"/>
          </w:tcPr>
          <w:p w14:paraId="5BDA295D" w14:textId="77777777" w:rsidR="00AE5FDA" w:rsidRPr="00AE5FDA" w:rsidRDefault="00AE5FDA" w:rsidP="00AE5FDA">
            <w:r w:rsidRPr="00AE5FDA">
              <w:t>B</w:t>
            </w:r>
          </w:p>
        </w:tc>
        <w:tc>
          <w:tcPr>
            <w:tcW w:w="2939" w:type="dxa"/>
            <w:vAlign w:val="bottom"/>
          </w:tcPr>
          <w:p w14:paraId="5B71B478" w14:textId="77777777" w:rsidR="00AE5FDA" w:rsidRPr="00AE5FDA" w:rsidRDefault="00AE5FDA" w:rsidP="00AE5FDA">
            <w:r w:rsidRPr="00AE5FDA">
              <w:t>7.38·10</w:t>
            </w:r>
            <w:r w:rsidRPr="00AE5FDA">
              <w:rPr>
                <w:vertAlign w:val="superscript"/>
              </w:rPr>
              <w:t>-5</w:t>
            </w:r>
            <w:r w:rsidRPr="00AE5FDA">
              <w:t xml:space="preserve"> (5.38–9.94·10</w:t>
            </w:r>
            <w:r w:rsidRPr="00AE5FDA">
              <w:rPr>
                <w:vertAlign w:val="superscript"/>
              </w:rPr>
              <w:t>-5</w:t>
            </w:r>
            <w:r w:rsidRPr="00AE5FDA">
              <w:t>)</w:t>
            </w:r>
          </w:p>
        </w:tc>
        <w:tc>
          <w:tcPr>
            <w:tcW w:w="1980" w:type="dxa"/>
            <w:vAlign w:val="bottom"/>
          </w:tcPr>
          <w:p w14:paraId="342537B6" w14:textId="77777777" w:rsidR="00AE5FDA" w:rsidRPr="00AE5FDA" w:rsidRDefault="00AE5FDA" w:rsidP="00AE5FDA">
            <w:r w:rsidRPr="00AE5FDA">
              <w:t>11.4 (7.3–15.0)</w:t>
            </w:r>
          </w:p>
        </w:tc>
        <w:tc>
          <w:tcPr>
            <w:tcW w:w="2070" w:type="dxa"/>
            <w:vAlign w:val="bottom"/>
          </w:tcPr>
          <w:p w14:paraId="12D70BF9" w14:textId="77777777" w:rsidR="00AE5FDA" w:rsidRPr="00AE5FDA" w:rsidRDefault="00AE5FDA" w:rsidP="00AE5FDA">
            <w:r w:rsidRPr="00AE5FDA">
              <w:t>45.2 (40.7–50.3)</w:t>
            </w:r>
          </w:p>
        </w:tc>
        <w:tc>
          <w:tcPr>
            <w:tcW w:w="1980" w:type="dxa"/>
            <w:tcBorders>
              <w:right w:val="single" w:sz="4" w:space="0" w:color="auto"/>
            </w:tcBorders>
            <w:vAlign w:val="bottom"/>
          </w:tcPr>
          <w:p w14:paraId="5EF3148A" w14:textId="77777777" w:rsidR="00AE5FDA" w:rsidRPr="00AE5FDA" w:rsidRDefault="00AE5FDA" w:rsidP="00AE5FDA">
            <w:r w:rsidRPr="00AE5FDA">
              <w:t>37.5 (33.8–41.6)</w:t>
            </w:r>
          </w:p>
        </w:tc>
      </w:tr>
      <w:tr w:rsidR="00AE5FDA" w:rsidRPr="00AE5FDA" w14:paraId="02B7373A" w14:textId="77777777" w:rsidTr="00A93316">
        <w:tc>
          <w:tcPr>
            <w:tcW w:w="3235" w:type="dxa"/>
            <w:tcBorders>
              <w:left w:val="single" w:sz="4" w:space="0" w:color="auto"/>
            </w:tcBorders>
          </w:tcPr>
          <w:p w14:paraId="61C081D5" w14:textId="77777777" w:rsidR="00AE5FDA" w:rsidRPr="00AE5FDA" w:rsidRDefault="00AE5FDA" w:rsidP="00AE5FDA">
            <w:pPr>
              <w:rPr>
                <w:i/>
              </w:rPr>
            </w:pPr>
            <w:r w:rsidRPr="00AE5FDA">
              <w:t xml:space="preserve">WNV | </w:t>
            </w:r>
            <w:r w:rsidRPr="00AE5FDA">
              <w:rPr>
                <w:i/>
              </w:rPr>
              <w:t>Cx. quinquefasciatus</w:t>
            </w:r>
          </w:p>
        </w:tc>
        <w:tc>
          <w:tcPr>
            <w:tcW w:w="661" w:type="dxa"/>
          </w:tcPr>
          <w:p w14:paraId="3141A1EB" w14:textId="77777777" w:rsidR="00AE5FDA" w:rsidRPr="00AE5FDA" w:rsidRDefault="00AE5FDA" w:rsidP="00AE5FDA">
            <w:r w:rsidRPr="00AE5FDA">
              <w:t>B</w:t>
            </w:r>
          </w:p>
        </w:tc>
        <w:tc>
          <w:tcPr>
            <w:tcW w:w="2939" w:type="dxa"/>
            <w:vAlign w:val="bottom"/>
          </w:tcPr>
          <w:p w14:paraId="3DED9089" w14:textId="77777777" w:rsidR="00AE5FDA" w:rsidRPr="00AE5FDA" w:rsidRDefault="00AE5FDA" w:rsidP="00AE5FDA">
            <w:r w:rsidRPr="00AE5FDA">
              <w:t>7.12·10</w:t>
            </w:r>
            <w:r w:rsidRPr="00AE5FDA">
              <w:rPr>
                <w:vertAlign w:val="superscript"/>
              </w:rPr>
              <w:t>-5</w:t>
            </w:r>
            <w:r w:rsidRPr="00AE5FDA">
              <w:t xml:space="preserve"> (4.58–10.2·10</w:t>
            </w:r>
            <w:r w:rsidRPr="00AE5FDA">
              <w:rPr>
                <w:vertAlign w:val="superscript"/>
              </w:rPr>
              <w:t>-5</w:t>
            </w:r>
            <w:r w:rsidRPr="00AE5FDA">
              <w:t>)</w:t>
            </w:r>
          </w:p>
        </w:tc>
        <w:tc>
          <w:tcPr>
            <w:tcW w:w="1980" w:type="dxa"/>
            <w:vAlign w:val="bottom"/>
          </w:tcPr>
          <w:p w14:paraId="5DCE9B47" w14:textId="77777777" w:rsidR="00AE5FDA" w:rsidRPr="00AE5FDA" w:rsidRDefault="00AE5FDA" w:rsidP="00AE5FDA">
            <w:r w:rsidRPr="00AE5FDA">
              <w:t>19.0 (12.9–21.0)</w:t>
            </w:r>
          </w:p>
        </w:tc>
        <w:tc>
          <w:tcPr>
            <w:tcW w:w="2070" w:type="dxa"/>
            <w:vAlign w:val="bottom"/>
          </w:tcPr>
          <w:p w14:paraId="5A27E5E2" w14:textId="77777777" w:rsidR="00AE5FDA" w:rsidRPr="00AE5FDA" w:rsidRDefault="00AE5FDA" w:rsidP="00AE5FDA">
            <w:r w:rsidRPr="00AE5FDA">
              <w:t>44.1 (38.8–50.4)</w:t>
            </w:r>
          </w:p>
        </w:tc>
        <w:tc>
          <w:tcPr>
            <w:tcW w:w="1980" w:type="dxa"/>
            <w:tcBorders>
              <w:right w:val="single" w:sz="4" w:space="0" w:color="auto"/>
            </w:tcBorders>
            <w:vAlign w:val="bottom"/>
          </w:tcPr>
          <w:p w14:paraId="47AAE8F1" w14:textId="77777777" w:rsidR="00AE5FDA" w:rsidRPr="00AE5FDA" w:rsidRDefault="00AE5FDA" w:rsidP="00AE5FDA">
            <w:r w:rsidRPr="00AE5FDA">
              <w:t>37.7 (33.6–42.7)</w:t>
            </w:r>
          </w:p>
        </w:tc>
      </w:tr>
      <w:tr w:rsidR="00AE5FDA" w:rsidRPr="00AE5FDA" w14:paraId="52BDE246" w14:textId="77777777" w:rsidTr="00A93316">
        <w:tc>
          <w:tcPr>
            <w:tcW w:w="3235" w:type="dxa"/>
            <w:tcBorders>
              <w:left w:val="single" w:sz="4" w:space="0" w:color="auto"/>
            </w:tcBorders>
          </w:tcPr>
          <w:p w14:paraId="49CE5F19" w14:textId="77777777" w:rsidR="00AE5FDA" w:rsidRPr="00AE5FDA" w:rsidRDefault="00AE5FDA" w:rsidP="00AE5FDA">
            <w:r w:rsidRPr="00AE5FDA">
              <w:t xml:space="preserve">SLEV | </w:t>
            </w:r>
            <w:r w:rsidRPr="00AE5FDA">
              <w:rPr>
                <w:i/>
              </w:rPr>
              <w:t>Cx. tarsalis</w:t>
            </w:r>
          </w:p>
        </w:tc>
        <w:tc>
          <w:tcPr>
            <w:tcW w:w="661" w:type="dxa"/>
          </w:tcPr>
          <w:p w14:paraId="0D231050" w14:textId="77777777" w:rsidR="00AE5FDA" w:rsidRPr="00AE5FDA" w:rsidRDefault="00AE5FDA" w:rsidP="00AE5FDA">
            <w:r w:rsidRPr="00AE5FDA">
              <w:t>B</w:t>
            </w:r>
          </w:p>
        </w:tc>
        <w:tc>
          <w:tcPr>
            <w:tcW w:w="2939" w:type="dxa"/>
            <w:vAlign w:val="bottom"/>
          </w:tcPr>
          <w:p w14:paraId="15358975" w14:textId="77777777" w:rsidR="00AE5FDA" w:rsidRPr="00AE5FDA" w:rsidRDefault="00AE5FDA" w:rsidP="00AE5FDA">
            <w:r w:rsidRPr="00AE5FDA">
              <w:t>7.11·10</w:t>
            </w:r>
            <w:r w:rsidRPr="00AE5FDA">
              <w:rPr>
                <w:vertAlign w:val="superscript"/>
              </w:rPr>
              <w:t>-5</w:t>
            </w:r>
            <w:r w:rsidRPr="00AE5FDA">
              <w:t xml:space="preserve"> (5.60–8.95·10</w:t>
            </w:r>
            <w:r w:rsidRPr="00AE5FDA">
              <w:rPr>
                <w:vertAlign w:val="superscript"/>
              </w:rPr>
              <w:t>-5</w:t>
            </w:r>
            <w:r w:rsidRPr="00AE5FDA">
              <w:t>)</w:t>
            </w:r>
          </w:p>
        </w:tc>
        <w:tc>
          <w:tcPr>
            <w:tcW w:w="1980" w:type="dxa"/>
            <w:vAlign w:val="bottom"/>
          </w:tcPr>
          <w:p w14:paraId="41E7106A" w14:textId="77777777" w:rsidR="00AE5FDA" w:rsidRPr="00AE5FDA" w:rsidRDefault="00AE5FDA" w:rsidP="00AE5FDA">
            <w:r w:rsidRPr="00AE5FDA">
              <w:t>12.8 (10.3–14.3)</w:t>
            </w:r>
          </w:p>
        </w:tc>
        <w:tc>
          <w:tcPr>
            <w:tcW w:w="2070" w:type="dxa"/>
            <w:vAlign w:val="bottom"/>
          </w:tcPr>
          <w:p w14:paraId="586D9437" w14:textId="77777777" w:rsidR="00AE5FDA" w:rsidRPr="00AE5FDA" w:rsidRDefault="00AE5FDA" w:rsidP="00AE5FDA">
            <w:r w:rsidRPr="00AE5FDA">
              <w:t>45.2 (40.2–51.5)</w:t>
            </w:r>
          </w:p>
        </w:tc>
        <w:tc>
          <w:tcPr>
            <w:tcW w:w="1980" w:type="dxa"/>
            <w:tcBorders>
              <w:right w:val="single" w:sz="4" w:space="0" w:color="auto"/>
            </w:tcBorders>
            <w:vAlign w:val="bottom"/>
          </w:tcPr>
          <w:p w14:paraId="7EDBD66C" w14:textId="77777777" w:rsidR="00AE5FDA" w:rsidRPr="00AE5FDA" w:rsidRDefault="00AE5FDA" w:rsidP="00AE5FDA">
            <w:r w:rsidRPr="00AE5FDA">
              <w:t>37.7 (33.8–42.6)</w:t>
            </w:r>
          </w:p>
        </w:tc>
      </w:tr>
      <w:tr w:rsidR="00AE5FDA" w:rsidRPr="00AE5FDA" w14:paraId="2DD4125C" w14:textId="77777777" w:rsidTr="00A93316">
        <w:tc>
          <w:tcPr>
            <w:tcW w:w="3235" w:type="dxa"/>
            <w:tcBorders>
              <w:left w:val="single" w:sz="4" w:space="0" w:color="auto"/>
            </w:tcBorders>
          </w:tcPr>
          <w:p w14:paraId="599E66C7" w14:textId="77777777" w:rsidR="00AE5FDA" w:rsidRPr="00AE5FDA" w:rsidRDefault="00AE5FDA" w:rsidP="00AE5FDA">
            <w:r w:rsidRPr="00AE5FDA">
              <w:t xml:space="preserve">WEEV | </w:t>
            </w:r>
            <w:r w:rsidRPr="00AE5FDA">
              <w:rPr>
                <w:i/>
              </w:rPr>
              <w:t>Cx. tarsalis</w:t>
            </w:r>
          </w:p>
        </w:tc>
        <w:tc>
          <w:tcPr>
            <w:tcW w:w="661" w:type="dxa"/>
          </w:tcPr>
          <w:p w14:paraId="2CD9C7D8" w14:textId="77777777" w:rsidR="00AE5FDA" w:rsidRPr="00AE5FDA" w:rsidRDefault="00AE5FDA" w:rsidP="00AE5FDA">
            <w:r w:rsidRPr="00AE5FDA">
              <w:t>B</w:t>
            </w:r>
          </w:p>
        </w:tc>
        <w:tc>
          <w:tcPr>
            <w:tcW w:w="2939" w:type="dxa"/>
            <w:vAlign w:val="bottom"/>
          </w:tcPr>
          <w:p w14:paraId="39D4845C" w14:textId="77777777" w:rsidR="00AE5FDA" w:rsidRPr="00AE5FDA" w:rsidRDefault="00AE5FDA" w:rsidP="00AE5FDA">
            <w:r w:rsidRPr="00AE5FDA">
              <w:t>6.43·10</w:t>
            </w:r>
            <w:r w:rsidRPr="00AE5FDA">
              <w:rPr>
                <w:vertAlign w:val="superscript"/>
              </w:rPr>
              <w:t>-5</w:t>
            </w:r>
            <w:r w:rsidRPr="00AE5FDA">
              <w:t xml:space="preserve"> (4.44–10.4·10</w:t>
            </w:r>
            <w:r w:rsidRPr="00AE5FDA">
              <w:rPr>
                <w:vertAlign w:val="superscript"/>
              </w:rPr>
              <w:t>-5</w:t>
            </w:r>
            <w:r w:rsidRPr="00AE5FDA">
              <w:t>)</w:t>
            </w:r>
          </w:p>
        </w:tc>
        <w:tc>
          <w:tcPr>
            <w:tcW w:w="1980" w:type="dxa"/>
            <w:vAlign w:val="bottom"/>
          </w:tcPr>
          <w:p w14:paraId="28E67D90" w14:textId="77777777" w:rsidR="00AE5FDA" w:rsidRPr="00AE5FDA" w:rsidRDefault="00AE5FDA" w:rsidP="00AE5FDA">
            <w:r w:rsidRPr="00AE5FDA">
              <w:t>4.0 (0–12.6)</w:t>
            </w:r>
          </w:p>
        </w:tc>
        <w:tc>
          <w:tcPr>
            <w:tcW w:w="2070" w:type="dxa"/>
            <w:vAlign w:val="bottom"/>
          </w:tcPr>
          <w:p w14:paraId="2D6BC35F" w14:textId="77777777" w:rsidR="00AE5FDA" w:rsidRPr="00AE5FDA" w:rsidRDefault="00AE5FDA" w:rsidP="00AE5FDA">
            <w:r w:rsidRPr="00AE5FDA">
              <w:t>44 .0(38.3–50.9)</w:t>
            </w:r>
          </w:p>
        </w:tc>
        <w:tc>
          <w:tcPr>
            <w:tcW w:w="1980" w:type="dxa"/>
            <w:tcBorders>
              <w:right w:val="single" w:sz="4" w:space="0" w:color="auto"/>
            </w:tcBorders>
            <w:vAlign w:val="bottom"/>
          </w:tcPr>
          <w:p w14:paraId="1A32E6FC" w14:textId="77777777" w:rsidR="00AE5FDA" w:rsidRPr="00AE5FDA" w:rsidRDefault="00AE5FDA" w:rsidP="00AE5FDA">
            <w:r w:rsidRPr="00AE5FDA">
              <w:t>35.7 (31.0–41.4)</w:t>
            </w:r>
          </w:p>
        </w:tc>
      </w:tr>
      <w:tr w:rsidR="00AE5FDA" w:rsidRPr="00AE5FDA" w14:paraId="33C7AD36" w14:textId="77777777" w:rsidTr="00A93316">
        <w:tc>
          <w:tcPr>
            <w:tcW w:w="3235" w:type="dxa"/>
            <w:tcBorders>
              <w:left w:val="single" w:sz="4" w:space="0" w:color="auto"/>
            </w:tcBorders>
          </w:tcPr>
          <w:p w14:paraId="3BD131D5" w14:textId="77777777" w:rsidR="00AE5FDA" w:rsidRPr="00AE5FDA" w:rsidRDefault="00AE5FDA" w:rsidP="00AE5FDA">
            <w:pPr>
              <w:rPr>
                <w:i/>
              </w:rPr>
            </w:pPr>
            <w:r w:rsidRPr="00AE5FDA">
              <w:t xml:space="preserve">WNV | </w:t>
            </w:r>
            <w:r w:rsidRPr="00AE5FDA">
              <w:rPr>
                <w:i/>
              </w:rPr>
              <w:t>Cx. tarsalis</w:t>
            </w:r>
          </w:p>
        </w:tc>
        <w:tc>
          <w:tcPr>
            <w:tcW w:w="661" w:type="dxa"/>
          </w:tcPr>
          <w:p w14:paraId="63718D1F" w14:textId="77777777" w:rsidR="00AE5FDA" w:rsidRPr="00AE5FDA" w:rsidRDefault="00AE5FDA" w:rsidP="00AE5FDA">
            <w:r w:rsidRPr="00AE5FDA">
              <w:t>B</w:t>
            </w:r>
          </w:p>
        </w:tc>
        <w:tc>
          <w:tcPr>
            <w:tcW w:w="2939" w:type="dxa"/>
            <w:vAlign w:val="bottom"/>
          </w:tcPr>
          <w:p w14:paraId="163FC8D0" w14:textId="77777777" w:rsidR="00AE5FDA" w:rsidRPr="00AE5FDA" w:rsidRDefault="00AE5FDA" w:rsidP="00AE5FDA">
            <w:r w:rsidRPr="00AE5FDA">
              <w:t>6.57·10</w:t>
            </w:r>
            <w:r w:rsidRPr="00AE5FDA">
              <w:rPr>
                <w:vertAlign w:val="superscript"/>
              </w:rPr>
              <w:t>-5</w:t>
            </w:r>
            <w:r w:rsidRPr="00AE5FDA">
              <w:t xml:space="preserve"> (5.11–8.85·10</w:t>
            </w:r>
            <w:r w:rsidRPr="00AE5FDA">
              <w:rPr>
                <w:vertAlign w:val="superscript"/>
              </w:rPr>
              <w:t>-5</w:t>
            </w:r>
            <w:r w:rsidRPr="00AE5FDA">
              <w:t>)</w:t>
            </w:r>
          </w:p>
        </w:tc>
        <w:tc>
          <w:tcPr>
            <w:tcW w:w="1980" w:type="dxa"/>
            <w:vAlign w:val="bottom"/>
          </w:tcPr>
          <w:p w14:paraId="28079247" w14:textId="77777777" w:rsidR="00AE5FDA" w:rsidRPr="00AE5FDA" w:rsidRDefault="00AE5FDA" w:rsidP="00AE5FDA">
            <w:r w:rsidRPr="00AE5FDA">
              <w:t>11.2 (7.9–14.9)</w:t>
            </w:r>
          </w:p>
        </w:tc>
        <w:tc>
          <w:tcPr>
            <w:tcW w:w="2070" w:type="dxa"/>
            <w:vAlign w:val="bottom"/>
          </w:tcPr>
          <w:p w14:paraId="458388E8" w14:textId="77777777" w:rsidR="00AE5FDA" w:rsidRPr="00AE5FDA" w:rsidRDefault="00AE5FDA" w:rsidP="00AE5FDA">
            <w:r w:rsidRPr="00AE5FDA">
              <w:t>44.7 (40.4–49.4)</w:t>
            </w:r>
          </w:p>
        </w:tc>
        <w:tc>
          <w:tcPr>
            <w:tcW w:w="1980" w:type="dxa"/>
            <w:tcBorders>
              <w:right w:val="single" w:sz="4" w:space="0" w:color="auto"/>
            </w:tcBorders>
            <w:vAlign w:val="bottom"/>
          </w:tcPr>
          <w:p w14:paraId="62280153" w14:textId="77777777" w:rsidR="00AE5FDA" w:rsidRPr="00AE5FDA" w:rsidRDefault="00AE5FDA" w:rsidP="00AE5FDA">
            <w:r w:rsidRPr="00AE5FDA">
              <w:t>37.0 (33.6–40.9)</w:t>
            </w:r>
          </w:p>
        </w:tc>
      </w:tr>
      <w:tr w:rsidR="00AE5FDA" w:rsidRPr="00AE5FDA" w14:paraId="157B26A5" w14:textId="77777777" w:rsidTr="00A93316">
        <w:tc>
          <w:tcPr>
            <w:tcW w:w="3235" w:type="dxa"/>
            <w:tcBorders>
              <w:left w:val="single" w:sz="4" w:space="0" w:color="auto"/>
              <w:bottom w:val="single" w:sz="4" w:space="0" w:color="auto"/>
            </w:tcBorders>
          </w:tcPr>
          <w:p w14:paraId="0E4CC537" w14:textId="77777777" w:rsidR="00AE5FDA" w:rsidRPr="00AE5FDA" w:rsidRDefault="00AE5FDA" w:rsidP="00AE5FDA">
            <w:r w:rsidRPr="00AE5FDA">
              <w:t xml:space="preserve">WNV | </w:t>
            </w:r>
            <w:r w:rsidRPr="00AE5FDA">
              <w:rPr>
                <w:i/>
              </w:rPr>
              <w:t>Cx. univittatus</w:t>
            </w:r>
          </w:p>
        </w:tc>
        <w:tc>
          <w:tcPr>
            <w:tcW w:w="661" w:type="dxa"/>
            <w:tcBorders>
              <w:bottom w:val="single" w:sz="4" w:space="0" w:color="auto"/>
            </w:tcBorders>
          </w:tcPr>
          <w:p w14:paraId="3236853B" w14:textId="77777777" w:rsidR="00AE5FDA" w:rsidRPr="00AE5FDA" w:rsidRDefault="00AE5FDA" w:rsidP="00AE5FDA">
            <w:r w:rsidRPr="00AE5FDA">
              <w:t>B</w:t>
            </w:r>
          </w:p>
        </w:tc>
        <w:tc>
          <w:tcPr>
            <w:tcW w:w="2939" w:type="dxa"/>
            <w:tcBorders>
              <w:bottom w:val="single" w:sz="4" w:space="0" w:color="auto"/>
            </w:tcBorders>
            <w:vAlign w:val="bottom"/>
          </w:tcPr>
          <w:p w14:paraId="70A1EF63" w14:textId="77777777" w:rsidR="00AE5FDA" w:rsidRPr="00AE5FDA" w:rsidRDefault="00AE5FDA" w:rsidP="00AE5FDA">
            <w:r w:rsidRPr="00AE5FDA">
              <w:t>7.54·10</w:t>
            </w:r>
            <w:r w:rsidRPr="00AE5FDA">
              <w:rPr>
                <w:vertAlign w:val="superscript"/>
              </w:rPr>
              <w:t>-5</w:t>
            </w:r>
            <w:r w:rsidRPr="00AE5FDA">
              <w:t xml:space="preserve"> (4.13–11.1·10</w:t>
            </w:r>
            <w:r w:rsidRPr="00AE5FDA">
              <w:rPr>
                <w:vertAlign w:val="superscript"/>
              </w:rPr>
              <w:t>-5</w:t>
            </w:r>
            <w:r w:rsidRPr="00AE5FDA">
              <w:t>)</w:t>
            </w:r>
          </w:p>
        </w:tc>
        <w:tc>
          <w:tcPr>
            <w:tcW w:w="1980" w:type="dxa"/>
            <w:tcBorders>
              <w:bottom w:val="single" w:sz="4" w:space="0" w:color="auto"/>
            </w:tcBorders>
            <w:vAlign w:val="bottom"/>
          </w:tcPr>
          <w:p w14:paraId="0F69A9B2" w14:textId="77777777" w:rsidR="00AE5FDA" w:rsidRPr="00AE5FDA" w:rsidRDefault="00AE5FDA" w:rsidP="00AE5FDA">
            <w:r w:rsidRPr="00AE5FDA">
              <w:t>10.2 (7.1–15.3)</w:t>
            </w:r>
          </w:p>
        </w:tc>
        <w:tc>
          <w:tcPr>
            <w:tcW w:w="2070" w:type="dxa"/>
            <w:tcBorders>
              <w:bottom w:val="single" w:sz="4" w:space="0" w:color="auto"/>
            </w:tcBorders>
            <w:vAlign w:val="bottom"/>
          </w:tcPr>
          <w:p w14:paraId="639FC789" w14:textId="77777777" w:rsidR="00AE5FDA" w:rsidRPr="00AE5FDA" w:rsidRDefault="00AE5FDA" w:rsidP="00AE5FDA">
            <w:r w:rsidRPr="00AE5FDA">
              <w:t>34.4 (31.2–51.1)</w:t>
            </w:r>
          </w:p>
        </w:tc>
        <w:tc>
          <w:tcPr>
            <w:tcW w:w="1980" w:type="dxa"/>
            <w:tcBorders>
              <w:bottom w:val="single" w:sz="4" w:space="0" w:color="auto"/>
              <w:right w:val="single" w:sz="4" w:space="0" w:color="auto"/>
            </w:tcBorders>
            <w:vAlign w:val="bottom"/>
          </w:tcPr>
          <w:p w14:paraId="03B6C39E" w14:textId="77777777" w:rsidR="00AE5FDA" w:rsidRPr="00AE5FDA" w:rsidRDefault="00AE5FDA" w:rsidP="00AE5FDA">
            <w:r w:rsidRPr="00AE5FDA">
              <w:t>28.8 (26.1–42.5)</w:t>
            </w:r>
          </w:p>
        </w:tc>
      </w:tr>
    </w:tbl>
    <w:p w14:paraId="0570BF5D" w14:textId="77777777" w:rsidR="00AE5FDA" w:rsidRPr="00AE5FDA" w:rsidRDefault="00AE5FDA" w:rsidP="00AE5FDA"/>
    <w:tbl>
      <w:tblPr>
        <w:tblW w:w="0" w:type="auto"/>
        <w:tblLook w:val="04A0" w:firstRow="1" w:lastRow="0" w:firstColumn="1" w:lastColumn="0" w:noHBand="0" w:noVBand="1"/>
      </w:tblPr>
      <w:tblGrid>
        <w:gridCol w:w="2048"/>
        <w:gridCol w:w="656"/>
        <w:gridCol w:w="3296"/>
        <w:gridCol w:w="3296"/>
        <w:gridCol w:w="2296"/>
      </w:tblGrid>
      <w:tr w:rsidR="00FE3775" w:rsidRPr="00AE5FDA" w14:paraId="1D10F373" w14:textId="77777777" w:rsidTr="00FE3775">
        <w:tc>
          <w:tcPr>
            <w:tcW w:w="0" w:type="auto"/>
            <w:tcBorders>
              <w:top w:val="single" w:sz="4" w:space="0" w:color="auto"/>
              <w:left w:val="single" w:sz="4" w:space="0" w:color="auto"/>
              <w:bottom w:val="single" w:sz="4" w:space="0" w:color="auto"/>
            </w:tcBorders>
          </w:tcPr>
          <w:p w14:paraId="5169F9D2" w14:textId="77777777" w:rsidR="00FE3775" w:rsidRPr="00AE5FDA" w:rsidRDefault="00FE3775" w:rsidP="00AE5FDA">
            <w:pPr>
              <w:rPr>
                <w:b/>
                <w:i/>
              </w:rPr>
            </w:pPr>
            <w:r w:rsidRPr="00AE5FDA">
              <w:rPr>
                <w:b/>
                <w:i/>
              </w:rPr>
              <w:t>Trait / System</w:t>
            </w:r>
          </w:p>
        </w:tc>
        <w:tc>
          <w:tcPr>
            <w:tcW w:w="0" w:type="auto"/>
            <w:tcBorders>
              <w:top w:val="single" w:sz="4" w:space="0" w:color="auto"/>
              <w:bottom w:val="single" w:sz="4" w:space="0" w:color="auto"/>
            </w:tcBorders>
          </w:tcPr>
          <w:p w14:paraId="69A1DF7A" w14:textId="77777777" w:rsidR="00FE3775" w:rsidRPr="00AE5FDA" w:rsidRDefault="00FE3775" w:rsidP="00AE5FDA">
            <w:pPr>
              <w:rPr>
                <w:b/>
                <w:i/>
              </w:rPr>
            </w:pPr>
            <w:r w:rsidRPr="00AE5FDA">
              <w:rPr>
                <w:b/>
                <w:i/>
              </w:rPr>
              <w:t>F(x)</w:t>
            </w:r>
          </w:p>
        </w:tc>
        <w:tc>
          <w:tcPr>
            <w:tcW w:w="0" w:type="auto"/>
            <w:tcBorders>
              <w:top w:val="single" w:sz="4" w:space="0" w:color="auto"/>
              <w:bottom w:val="single" w:sz="4" w:space="0" w:color="auto"/>
            </w:tcBorders>
          </w:tcPr>
          <w:p w14:paraId="020744A2" w14:textId="77777777" w:rsidR="00FE3775" w:rsidRPr="00AE5FDA" w:rsidRDefault="00FE3775" w:rsidP="00AE5FDA">
            <w:pPr>
              <w:rPr>
                <w:b/>
              </w:rPr>
            </w:pPr>
            <w:r w:rsidRPr="00AE5FDA">
              <w:rPr>
                <w:b/>
                <w:i/>
              </w:rPr>
              <w:t>q</w:t>
            </w:r>
            <w:r w:rsidRPr="00AE5FDA">
              <w:rPr>
                <w:b/>
              </w:rPr>
              <w:t xml:space="preserve"> (CIs)</w:t>
            </w:r>
          </w:p>
        </w:tc>
        <w:tc>
          <w:tcPr>
            <w:tcW w:w="0" w:type="auto"/>
            <w:tcBorders>
              <w:top w:val="single" w:sz="4" w:space="0" w:color="auto"/>
              <w:bottom w:val="single" w:sz="4" w:space="0" w:color="auto"/>
            </w:tcBorders>
          </w:tcPr>
          <w:p w14:paraId="6BE0B13F" w14:textId="77777777" w:rsidR="00FE3775" w:rsidRPr="00AE5FDA" w:rsidRDefault="00FE3775" w:rsidP="00AE5FDA">
            <w:pPr>
              <w:rPr>
                <w:b/>
              </w:rPr>
            </w:pPr>
            <w:r w:rsidRPr="00AE5FDA">
              <w:rPr>
                <w:b/>
                <w:i/>
              </w:rPr>
              <w:t>r</w:t>
            </w:r>
            <w:r w:rsidRPr="00AE5FDA">
              <w:rPr>
                <w:b/>
              </w:rPr>
              <w:t xml:space="preserve"> (CIs)</w:t>
            </w:r>
          </w:p>
        </w:tc>
        <w:tc>
          <w:tcPr>
            <w:tcW w:w="0" w:type="auto"/>
            <w:tcBorders>
              <w:top w:val="single" w:sz="4" w:space="0" w:color="auto"/>
              <w:bottom w:val="single" w:sz="4" w:space="0" w:color="auto"/>
              <w:right w:val="single" w:sz="4" w:space="0" w:color="auto"/>
            </w:tcBorders>
          </w:tcPr>
          <w:p w14:paraId="25FCB926" w14:textId="77777777" w:rsidR="00FE3775" w:rsidRPr="00AE5FDA" w:rsidRDefault="00FE3775" w:rsidP="00AE5FDA">
            <w:pPr>
              <w:rPr>
                <w:b/>
                <w:i/>
              </w:rPr>
            </w:pPr>
            <w:r w:rsidRPr="00AE5FDA">
              <w:rPr>
                <w:b/>
                <w:i/>
              </w:rPr>
              <w:t>s</w:t>
            </w:r>
            <w:r w:rsidRPr="00AE5FDA">
              <w:rPr>
                <w:b/>
              </w:rPr>
              <w:t xml:space="preserve"> (CIs)</w:t>
            </w:r>
          </w:p>
        </w:tc>
      </w:tr>
      <w:tr w:rsidR="00FE3775" w:rsidRPr="00AE5FDA" w14:paraId="158B0AB8" w14:textId="77777777" w:rsidTr="00FE3775">
        <w:tc>
          <w:tcPr>
            <w:tcW w:w="0" w:type="auto"/>
            <w:tcBorders>
              <w:top w:val="single" w:sz="4" w:space="0" w:color="auto"/>
              <w:left w:val="single" w:sz="4" w:space="0" w:color="auto"/>
            </w:tcBorders>
          </w:tcPr>
          <w:p w14:paraId="2E583940" w14:textId="329B406E" w:rsidR="00FE3775" w:rsidRPr="00AE5FDA" w:rsidRDefault="00FE3775" w:rsidP="00AE5FDA">
            <w:pPr>
              <w:rPr>
                <w:b/>
              </w:rPr>
            </w:pPr>
            <w:r>
              <w:rPr>
                <w:b/>
              </w:rPr>
              <w:t>Mortality rate</w:t>
            </w:r>
            <w:r w:rsidRPr="00AE5FDA">
              <w:rPr>
                <w:b/>
              </w:rPr>
              <w:t xml:space="preserve"> (</w:t>
            </w:r>
            <m:oMath>
              <m:r>
                <m:rPr>
                  <m:sty m:val="bi"/>
                </m:rPr>
                <w:rPr>
                  <w:rFonts w:ascii="Cambria Math" w:hAnsi="Cambria Math"/>
                </w:rPr>
                <m:t>μ</m:t>
              </m:r>
            </m:oMath>
            <w:r w:rsidRPr="00AE5FDA">
              <w:rPr>
                <w:b/>
              </w:rPr>
              <w:t>)</w:t>
            </w:r>
          </w:p>
        </w:tc>
        <w:tc>
          <w:tcPr>
            <w:tcW w:w="0" w:type="auto"/>
            <w:tcBorders>
              <w:top w:val="single" w:sz="4" w:space="0" w:color="auto"/>
            </w:tcBorders>
          </w:tcPr>
          <w:p w14:paraId="0999281E" w14:textId="77777777" w:rsidR="00FE3775" w:rsidRPr="00AE5FDA" w:rsidRDefault="00FE3775" w:rsidP="00AE5FDA"/>
        </w:tc>
        <w:tc>
          <w:tcPr>
            <w:tcW w:w="0" w:type="auto"/>
            <w:tcBorders>
              <w:top w:val="single" w:sz="4" w:space="0" w:color="auto"/>
            </w:tcBorders>
          </w:tcPr>
          <w:p w14:paraId="53A4AE89" w14:textId="77777777" w:rsidR="00FE3775" w:rsidRPr="00AE5FDA" w:rsidRDefault="00FE3775" w:rsidP="00AE5FDA"/>
        </w:tc>
        <w:tc>
          <w:tcPr>
            <w:tcW w:w="0" w:type="auto"/>
            <w:tcBorders>
              <w:top w:val="single" w:sz="4" w:space="0" w:color="auto"/>
            </w:tcBorders>
          </w:tcPr>
          <w:p w14:paraId="6FC89AFA" w14:textId="77777777" w:rsidR="00FE3775" w:rsidRPr="00AE5FDA" w:rsidRDefault="00FE3775" w:rsidP="00AE5FDA"/>
        </w:tc>
        <w:tc>
          <w:tcPr>
            <w:tcW w:w="0" w:type="auto"/>
            <w:tcBorders>
              <w:top w:val="single" w:sz="4" w:space="0" w:color="auto"/>
              <w:right w:val="single" w:sz="4" w:space="0" w:color="auto"/>
            </w:tcBorders>
          </w:tcPr>
          <w:p w14:paraId="7DEE6785" w14:textId="77777777" w:rsidR="00FE3775" w:rsidRPr="00AE5FDA" w:rsidRDefault="00FE3775" w:rsidP="00AE5FDA"/>
        </w:tc>
      </w:tr>
      <w:tr w:rsidR="00FE3775" w:rsidRPr="00AE5FDA" w14:paraId="6DE5C5D1" w14:textId="77777777" w:rsidTr="00FE3775">
        <w:trPr>
          <w:trHeight w:val="387"/>
        </w:trPr>
        <w:tc>
          <w:tcPr>
            <w:tcW w:w="0" w:type="auto"/>
            <w:tcBorders>
              <w:left w:val="single" w:sz="4" w:space="0" w:color="auto"/>
              <w:bottom w:val="single" w:sz="4" w:space="0" w:color="auto"/>
            </w:tcBorders>
          </w:tcPr>
          <w:p w14:paraId="1226FE6D" w14:textId="33279479" w:rsidR="00FE3775" w:rsidRPr="00AE5FDA" w:rsidRDefault="00FE3775" w:rsidP="00AE5FDA">
            <w:pPr>
              <w:rPr>
                <w:b/>
              </w:rPr>
            </w:pPr>
            <w:r w:rsidRPr="00AE5FDA">
              <w:rPr>
                <w:i/>
              </w:rPr>
              <w:t>An</w:t>
            </w:r>
            <w:r w:rsidR="00B314F8">
              <w:rPr>
                <w:i/>
              </w:rPr>
              <w:t>.</w:t>
            </w:r>
            <w:r>
              <w:rPr>
                <w:i/>
              </w:rPr>
              <w:t xml:space="preserve"> gambiae</w:t>
            </w:r>
          </w:p>
        </w:tc>
        <w:tc>
          <w:tcPr>
            <w:tcW w:w="0" w:type="auto"/>
            <w:tcBorders>
              <w:bottom w:val="single" w:sz="4" w:space="0" w:color="auto"/>
            </w:tcBorders>
          </w:tcPr>
          <w:p w14:paraId="7CFB5D4E" w14:textId="77777777" w:rsidR="00FE3775" w:rsidRPr="00AE5FDA" w:rsidRDefault="00FE3775" w:rsidP="00AE5FDA">
            <w:r w:rsidRPr="00AE5FDA">
              <w:t>Q*</w:t>
            </w:r>
          </w:p>
        </w:tc>
        <w:tc>
          <w:tcPr>
            <w:tcW w:w="0" w:type="auto"/>
            <w:tcBorders>
              <w:bottom w:val="single" w:sz="4" w:space="0" w:color="auto"/>
            </w:tcBorders>
          </w:tcPr>
          <w:p w14:paraId="52378500" w14:textId="57A5F228" w:rsidR="00FE3775" w:rsidRPr="00AE5FDA" w:rsidRDefault="00FE3775" w:rsidP="00AE5FDA">
            <w:r>
              <w:t>1.10</w:t>
            </w:r>
            <w:r w:rsidRPr="00AE5FDA">
              <w:t>·10</w:t>
            </w:r>
            <w:r w:rsidRPr="00AE5FDA">
              <w:rPr>
                <w:vertAlign w:val="superscript"/>
              </w:rPr>
              <w:t>-</w:t>
            </w:r>
            <w:r>
              <w:rPr>
                <w:vertAlign w:val="superscript"/>
              </w:rPr>
              <w:t>3</w:t>
            </w:r>
            <w:r>
              <w:t xml:space="preserve"> </w:t>
            </w:r>
            <w:r w:rsidRPr="00AE5FDA">
              <w:t>(</w:t>
            </w:r>
            <w:r>
              <w:t>9.29</w:t>
            </w:r>
            <w:r w:rsidRPr="00AE5FDA">
              <w:t>·10</w:t>
            </w:r>
            <w:r w:rsidRPr="00AE5FDA">
              <w:rPr>
                <w:vertAlign w:val="superscript"/>
              </w:rPr>
              <w:t>-</w:t>
            </w:r>
            <w:r>
              <w:rPr>
                <w:vertAlign w:val="superscript"/>
              </w:rPr>
              <w:t>4</w:t>
            </w:r>
            <w:r>
              <w:t xml:space="preserve"> </w:t>
            </w:r>
            <w:r w:rsidRPr="00AE5FDA">
              <w:t>–</w:t>
            </w:r>
            <w:r>
              <w:t xml:space="preserve"> 1.27</w:t>
            </w:r>
            <w:r w:rsidRPr="00AE5FDA">
              <w:t>·10</w:t>
            </w:r>
            <w:r w:rsidRPr="00AE5FDA">
              <w:rPr>
                <w:vertAlign w:val="superscript"/>
              </w:rPr>
              <w:t>-</w:t>
            </w:r>
            <w:r>
              <w:rPr>
                <w:vertAlign w:val="superscript"/>
              </w:rPr>
              <w:t>3</w:t>
            </w:r>
            <w:r w:rsidRPr="00AE5FDA">
              <w:t>)</w:t>
            </w:r>
          </w:p>
        </w:tc>
        <w:tc>
          <w:tcPr>
            <w:tcW w:w="0" w:type="auto"/>
            <w:tcBorders>
              <w:bottom w:val="single" w:sz="4" w:space="0" w:color="auto"/>
            </w:tcBorders>
          </w:tcPr>
          <w:p w14:paraId="36F64105" w14:textId="1F3EEB55" w:rsidR="00FE3775" w:rsidRPr="00FE3775" w:rsidRDefault="00FE3775" w:rsidP="00AE5FDA">
            <w:r>
              <w:t>4.90</w:t>
            </w:r>
            <w:r w:rsidRPr="00AE5FDA">
              <w:t>·10</w:t>
            </w:r>
            <w:r w:rsidRPr="00AE5FDA">
              <w:rPr>
                <w:vertAlign w:val="superscript"/>
              </w:rPr>
              <w:t>-</w:t>
            </w:r>
            <w:r>
              <w:rPr>
                <w:vertAlign w:val="superscript"/>
              </w:rPr>
              <w:t>2</w:t>
            </w:r>
            <w:r>
              <w:t xml:space="preserve"> (4.10</w:t>
            </w:r>
            <w:r w:rsidRPr="00AE5FDA">
              <w:t>·10</w:t>
            </w:r>
            <w:r w:rsidRPr="00AE5FDA">
              <w:rPr>
                <w:vertAlign w:val="superscript"/>
              </w:rPr>
              <w:t>-</w:t>
            </w:r>
            <w:r>
              <w:rPr>
                <w:vertAlign w:val="superscript"/>
              </w:rPr>
              <w:t>2</w:t>
            </w:r>
            <w:r>
              <w:t xml:space="preserve"> – 5.66</w:t>
            </w:r>
            <w:r w:rsidRPr="00AE5FDA">
              <w:t>·10</w:t>
            </w:r>
            <w:r w:rsidRPr="00AE5FDA">
              <w:rPr>
                <w:vertAlign w:val="superscript"/>
              </w:rPr>
              <w:t>-</w:t>
            </w:r>
            <w:r>
              <w:rPr>
                <w:vertAlign w:val="superscript"/>
              </w:rPr>
              <w:t>2</w:t>
            </w:r>
            <w:r>
              <w:t>)</w:t>
            </w:r>
          </w:p>
        </w:tc>
        <w:tc>
          <w:tcPr>
            <w:tcW w:w="0" w:type="auto"/>
            <w:tcBorders>
              <w:bottom w:val="single" w:sz="4" w:space="0" w:color="auto"/>
              <w:right w:val="single" w:sz="4" w:space="0" w:color="auto"/>
            </w:tcBorders>
          </w:tcPr>
          <w:p w14:paraId="20292580" w14:textId="3D585E8F" w:rsidR="00FE3775" w:rsidRPr="00AE5FDA" w:rsidRDefault="00FE3775" w:rsidP="00AE5FDA">
            <w:r>
              <w:t>0.60</w:t>
            </w:r>
            <w:r w:rsidR="00200BFD">
              <w:t>9</w:t>
            </w:r>
            <w:r>
              <w:t xml:space="preserve"> (0.527 – 0.682)</w:t>
            </w:r>
          </w:p>
        </w:tc>
      </w:tr>
    </w:tbl>
    <w:p w14:paraId="22E2CE73" w14:textId="77777777" w:rsidR="00AE5FDA" w:rsidRPr="00AE5FDA" w:rsidRDefault="00AE5FDA" w:rsidP="00AE5FDA"/>
    <w:tbl>
      <w:tblPr>
        <w:tblW w:w="10705" w:type="dxa"/>
        <w:tblLook w:val="04A0" w:firstRow="1" w:lastRow="0" w:firstColumn="1" w:lastColumn="0" w:noHBand="0" w:noVBand="1"/>
      </w:tblPr>
      <w:tblGrid>
        <w:gridCol w:w="3235"/>
        <w:gridCol w:w="661"/>
        <w:gridCol w:w="1949"/>
        <w:gridCol w:w="2430"/>
        <w:gridCol w:w="2430"/>
      </w:tblGrid>
      <w:tr w:rsidR="00AE5FDA" w:rsidRPr="00AE5FDA" w14:paraId="4391290A" w14:textId="77777777" w:rsidTr="00A93316">
        <w:tc>
          <w:tcPr>
            <w:tcW w:w="3235" w:type="dxa"/>
            <w:tcBorders>
              <w:top w:val="single" w:sz="4" w:space="0" w:color="auto"/>
              <w:left w:val="single" w:sz="4" w:space="0" w:color="auto"/>
              <w:bottom w:val="single" w:sz="4" w:space="0" w:color="auto"/>
            </w:tcBorders>
          </w:tcPr>
          <w:p w14:paraId="7216DE6D" w14:textId="77777777" w:rsidR="00AE5FDA" w:rsidRPr="00AE5FDA" w:rsidRDefault="00AE5FDA" w:rsidP="00AE5FDA">
            <w:pPr>
              <w:rPr>
                <w:b/>
                <w:i/>
              </w:rPr>
            </w:pPr>
            <w:r w:rsidRPr="00AE5FDA">
              <w:rPr>
                <w:b/>
                <w:i/>
              </w:rPr>
              <w:t>Trait / System</w:t>
            </w:r>
          </w:p>
        </w:tc>
        <w:tc>
          <w:tcPr>
            <w:tcW w:w="661" w:type="dxa"/>
            <w:tcBorders>
              <w:top w:val="single" w:sz="4" w:space="0" w:color="auto"/>
              <w:bottom w:val="single" w:sz="4" w:space="0" w:color="auto"/>
            </w:tcBorders>
          </w:tcPr>
          <w:p w14:paraId="725FF4D4" w14:textId="77777777" w:rsidR="00AE5FDA" w:rsidRPr="00AE5FDA" w:rsidRDefault="00AE5FDA" w:rsidP="00AE5FDA">
            <w:pPr>
              <w:rPr>
                <w:b/>
                <w:i/>
              </w:rPr>
            </w:pPr>
            <w:r w:rsidRPr="00AE5FDA">
              <w:rPr>
                <w:b/>
                <w:i/>
              </w:rPr>
              <w:t>F(x)</w:t>
            </w:r>
          </w:p>
        </w:tc>
        <w:tc>
          <w:tcPr>
            <w:tcW w:w="1949" w:type="dxa"/>
            <w:tcBorders>
              <w:top w:val="single" w:sz="4" w:space="0" w:color="auto"/>
              <w:bottom w:val="single" w:sz="4" w:space="0" w:color="auto"/>
            </w:tcBorders>
          </w:tcPr>
          <w:p w14:paraId="66406552" w14:textId="77777777" w:rsidR="00AE5FDA" w:rsidRPr="00AE5FDA" w:rsidRDefault="00AE5FDA" w:rsidP="00AE5FDA">
            <w:pPr>
              <w:rPr>
                <w:b/>
              </w:rPr>
            </w:pPr>
            <w:r w:rsidRPr="00AE5FDA">
              <w:rPr>
                <w:b/>
              </w:rPr>
              <w:t>m (CIs)</w:t>
            </w:r>
          </w:p>
        </w:tc>
        <w:tc>
          <w:tcPr>
            <w:tcW w:w="2430" w:type="dxa"/>
            <w:tcBorders>
              <w:top w:val="single" w:sz="4" w:space="0" w:color="auto"/>
              <w:bottom w:val="single" w:sz="4" w:space="0" w:color="auto"/>
            </w:tcBorders>
          </w:tcPr>
          <w:p w14:paraId="4F7BE1D1" w14:textId="77777777" w:rsidR="00AE5FDA" w:rsidRPr="00AE5FDA" w:rsidRDefault="00AE5FDA" w:rsidP="00AE5FDA">
            <w:pPr>
              <w:rPr>
                <w:b/>
              </w:rPr>
            </w:pPr>
            <w:r w:rsidRPr="00AE5FDA">
              <w:rPr>
                <w:b/>
                <w:i/>
              </w:rPr>
              <w:t>z</w:t>
            </w:r>
            <w:r w:rsidRPr="00AE5FDA">
              <w:rPr>
                <w:b/>
              </w:rPr>
              <w:t xml:space="preserve"> (CIs)</w:t>
            </w:r>
          </w:p>
        </w:tc>
        <w:tc>
          <w:tcPr>
            <w:tcW w:w="2430" w:type="dxa"/>
            <w:tcBorders>
              <w:top w:val="single" w:sz="4" w:space="0" w:color="auto"/>
              <w:bottom w:val="single" w:sz="4" w:space="0" w:color="auto"/>
              <w:right w:val="single" w:sz="4" w:space="0" w:color="auto"/>
            </w:tcBorders>
          </w:tcPr>
          <w:p w14:paraId="5E92DF66" w14:textId="77777777" w:rsidR="00AE5FDA" w:rsidRPr="00AE5FDA" w:rsidRDefault="00AE5FDA" w:rsidP="00AE5FDA">
            <w:pPr>
              <w:rPr>
                <w:b/>
                <w:i/>
              </w:rPr>
            </w:pPr>
            <w:r w:rsidRPr="00AE5FDA">
              <w:rPr>
                <w:b/>
                <w:i/>
              </w:rPr>
              <w:t>Tmax = z/m</w:t>
            </w:r>
            <w:r w:rsidRPr="00AE5FDA">
              <w:rPr>
                <w:b/>
              </w:rPr>
              <w:t xml:space="preserve"> (CIs)</w:t>
            </w:r>
          </w:p>
        </w:tc>
      </w:tr>
      <w:tr w:rsidR="00AE5FDA" w:rsidRPr="00AE5FDA" w14:paraId="112A5219" w14:textId="77777777" w:rsidTr="00A93316">
        <w:tc>
          <w:tcPr>
            <w:tcW w:w="3235" w:type="dxa"/>
            <w:tcBorders>
              <w:top w:val="single" w:sz="4" w:space="0" w:color="auto"/>
              <w:left w:val="single" w:sz="4" w:space="0" w:color="auto"/>
            </w:tcBorders>
          </w:tcPr>
          <w:p w14:paraId="32E04E6F" w14:textId="77777777" w:rsidR="00AE5FDA" w:rsidRPr="00AE5FDA" w:rsidRDefault="00AE5FDA" w:rsidP="00AE5FDA">
            <w:pPr>
              <w:rPr>
                <w:b/>
              </w:rPr>
            </w:pPr>
            <w:r w:rsidRPr="00AE5FDA">
              <w:rPr>
                <w:b/>
              </w:rPr>
              <w:t>Lifespan (</w:t>
            </w:r>
            <w:r w:rsidRPr="00AE5FDA">
              <w:rPr>
                <w:b/>
                <w:i/>
              </w:rPr>
              <w:t>lf</w:t>
            </w:r>
            <w:r w:rsidRPr="00AE5FDA">
              <w:rPr>
                <w:b/>
              </w:rPr>
              <w:t>)</w:t>
            </w:r>
          </w:p>
        </w:tc>
        <w:tc>
          <w:tcPr>
            <w:tcW w:w="661" w:type="dxa"/>
            <w:tcBorders>
              <w:top w:val="single" w:sz="4" w:space="0" w:color="auto"/>
            </w:tcBorders>
          </w:tcPr>
          <w:p w14:paraId="622DBE15" w14:textId="77777777" w:rsidR="00AE5FDA" w:rsidRPr="00AE5FDA" w:rsidRDefault="00AE5FDA" w:rsidP="00AE5FDA"/>
        </w:tc>
        <w:tc>
          <w:tcPr>
            <w:tcW w:w="1949" w:type="dxa"/>
            <w:tcBorders>
              <w:top w:val="single" w:sz="4" w:space="0" w:color="auto"/>
            </w:tcBorders>
          </w:tcPr>
          <w:p w14:paraId="0FE20998" w14:textId="77777777" w:rsidR="00AE5FDA" w:rsidRPr="00AE5FDA" w:rsidRDefault="00AE5FDA" w:rsidP="00AE5FDA"/>
        </w:tc>
        <w:tc>
          <w:tcPr>
            <w:tcW w:w="2430" w:type="dxa"/>
            <w:tcBorders>
              <w:top w:val="single" w:sz="4" w:space="0" w:color="auto"/>
            </w:tcBorders>
          </w:tcPr>
          <w:p w14:paraId="6D96B726" w14:textId="77777777" w:rsidR="00AE5FDA" w:rsidRPr="00AE5FDA" w:rsidRDefault="00AE5FDA" w:rsidP="00AE5FDA"/>
        </w:tc>
        <w:tc>
          <w:tcPr>
            <w:tcW w:w="2430" w:type="dxa"/>
            <w:tcBorders>
              <w:top w:val="single" w:sz="4" w:space="0" w:color="auto"/>
              <w:right w:val="single" w:sz="4" w:space="0" w:color="auto"/>
            </w:tcBorders>
          </w:tcPr>
          <w:p w14:paraId="49FD3014" w14:textId="77777777" w:rsidR="00AE5FDA" w:rsidRPr="00AE5FDA" w:rsidRDefault="00AE5FDA" w:rsidP="00AE5FDA"/>
        </w:tc>
      </w:tr>
      <w:tr w:rsidR="00AE5FDA" w:rsidRPr="00AE5FDA" w14:paraId="651B2E91" w14:textId="77777777" w:rsidTr="00A93316">
        <w:tc>
          <w:tcPr>
            <w:tcW w:w="3235" w:type="dxa"/>
            <w:tcBorders>
              <w:left w:val="single" w:sz="4" w:space="0" w:color="auto"/>
            </w:tcBorders>
          </w:tcPr>
          <w:p w14:paraId="1F9C52F7" w14:textId="77777777" w:rsidR="00AE5FDA" w:rsidRPr="00AE5FDA" w:rsidRDefault="00AE5FDA" w:rsidP="00AE5FDA">
            <w:pPr>
              <w:rPr>
                <w:i/>
              </w:rPr>
            </w:pPr>
            <w:r w:rsidRPr="00AE5FDA">
              <w:rPr>
                <w:i/>
              </w:rPr>
              <w:t>Ae. taeniorhynchus</w:t>
            </w:r>
          </w:p>
        </w:tc>
        <w:tc>
          <w:tcPr>
            <w:tcW w:w="661" w:type="dxa"/>
          </w:tcPr>
          <w:p w14:paraId="4B2784F4" w14:textId="77777777" w:rsidR="00AE5FDA" w:rsidRPr="00AE5FDA" w:rsidRDefault="00AE5FDA" w:rsidP="00AE5FDA">
            <w:r w:rsidRPr="00AE5FDA">
              <w:t>L</w:t>
            </w:r>
          </w:p>
        </w:tc>
        <w:tc>
          <w:tcPr>
            <w:tcW w:w="1949" w:type="dxa"/>
          </w:tcPr>
          <w:p w14:paraId="46245976" w14:textId="77777777" w:rsidR="00AE5FDA" w:rsidRPr="00AE5FDA" w:rsidRDefault="00AE5FDA" w:rsidP="00AE5FDA">
            <w:r w:rsidRPr="00AE5FDA">
              <w:t>2.02 (1.59–3.19)</w:t>
            </w:r>
          </w:p>
        </w:tc>
        <w:tc>
          <w:tcPr>
            <w:tcW w:w="2430" w:type="dxa"/>
          </w:tcPr>
          <w:p w14:paraId="7B88CF04" w14:textId="77777777" w:rsidR="00AE5FDA" w:rsidRPr="00AE5FDA" w:rsidRDefault="00AE5FDA" w:rsidP="00AE5FDA">
            <w:r w:rsidRPr="00AE5FDA">
              <w:t>85.9 (73.8–117.6)</w:t>
            </w:r>
          </w:p>
        </w:tc>
        <w:tc>
          <w:tcPr>
            <w:tcW w:w="2430" w:type="dxa"/>
            <w:tcBorders>
              <w:right w:val="single" w:sz="4" w:space="0" w:color="auto"/>
            </w:tcBorders>
          </w:tcPr>
          <w:p w14:paraId="4A7AD3C6" w14:textId="77777777" w:rsidR="00AE5FDA" w:rsidRPr="00AE5FDA" w:rsidRDefault="00AE5FDA" w:rsidP="00AE5FDA">
            <w:r w:rsidRPr="00AE5FDA">
              <w:t>42.7 (34.5–48.5)</w:t>
            </w:r>
          </w:p>
        </w:tc>
      </w:tr>
      <w:tr w:rsidR="00AE5FDA" w:rsidRPr="00AE5FDA" w14:paraId="68285B0F" w14:textId="77777777" w:rsidTr="00A93316">
        <w:tc>
          <w:tcPr>
            <w:tcW w:w="3235" w:type="dxa"/>
            <w:tcBorders>
              <w:left w:val="single" w:sz="4" w:space="0" w:color="auto"/>
            </w:tcBorders>
          </w:tcPr>
          <w:p w14:paraId="5ED65022" w14:textId="77777777" w:rsidR="00AE5FDA" w:rsidRPr="00AE5FDA" w:rsidRDefault="00AE5FDA" w:rsidP="00AE5FDA">
            <w:pPr>
              <w:rPr>
                <w:b/>
              </w:rPr>
            </w:pPr>
            <w:r w:rsidRPr="00AE5FDA">
              <w:rPr>
                <w:i/>
              </w:rPr>
              <w:t>Cx. pipiens</w:t>
            </w:r>
          </w:p>
        </w:tc>
        <w:tc>
          <w:tcPr>
            <w:tcW w:w="661" w:type="dxa"/>
          </w:tcPr>
          <w:p w14:paraId="5ECD11ED" w14:textId="77777777" w:rsidR="00AE5FDA" w:rsidRPr="00AE5FDA" w:rsidRDefault="00AE5FDA" w:rsidP="00AE5FDA">
            <w:r w:rsidRPr="00AE5FDA">
              <w:t>L</w:t>
            </w:r>
          </w:p>
        </w:tc>
        <w:tc>
          <w:tcPr>
            <w:tcW w:w="1949" w:type="dxa"/>
          </w:tcPr>
          <w:p w14:paraId="7C358850" w14:textId="77777777" w:rsidR="00AE5FDA" w:rsidRPr="00AE5FDA" w:rsidRDefault="00AE5FDA" w:rsidP="00AE5FDA">
            <w:r w:rsidRPr="00AE5FDA">
              <w:t>4.86 (3.83–5.84)</w:t>
            </w:r>
          </w:p>
        </w:tc>
        <w:tc>
          <w:tcPr>
            <w:tcW w:w="2430" w:type="dxa"/>
          </w:tcPr>
          <w:p w14:paraId="2CBB4F63" w14:textId="77777777" w:rsidR="00AE5FDA" w:rsidRPr="00AE5FDA" w:rsidRDefault="00AE5FDA" w:rsidP="00AE5FDA">
            <w:r w:rsidRPr="00AE5FDA">
              <w:t>169.8 (142.1–195.6)</w:t>
            </w:r>
          </w:p>
        </w:tc>
        <w:tc>
          <w:tcPr>
            <w:tcW w:w="2430" w:type="dxa"/>
            <w:tcBorders>
              <w:right w:val="single" w:sz="4" w:space="0" w:color="auto"/>
            </w:tcBorders>
          </w:tcPr>
          <w:p w14:paraId="28E15937" w14:textId="77777777" w:rsidR="00AE5FDA" w:rsidRPr="00AE5FDA" w:rsidRDefault="00AE5FDA" w:rsidP="00AE5FDA">
            <w:r w:rsidRPr="00AE5FDA">
              <w:t>34.9 (32.9–37.9)</w:t>
            </w:r>
          </w:p>
        </w:tc>
      </w:tr>
      <w:tr w:rsidR="00AE5FDA" w:rsidRPr="00AE5FDA" w14:paraId="1F1A23F7" w14:textId="77777777" w:rsidTr="00A93316">
        <w:tc>
          <w:tcPr>
            <w:tcW w:w="3235" w:type="dxa"/>
            <w:tcBorders>
              <w:left w:val="single" w:sz="4" w:space="0" w:color="auto"/>
            </w:tcBorders>
          </w:tcPr>
          <w:p w14:paraId="6F3A449C" w14:textId="77777777" w:rsidR="00AE5FDA" w:rsidRPr="00AE5FDA" w:rsidRDefault="00AE5FDA" w:rsidP="00AE5FDA">
            <w:pPr>
              <w:rPr>
                <w:b/>
              </w:rPr>
            </w:pPr>
            <w:r w:rsidRPr="00AE5FDA">
              <w:rPr>
                <w:i/>
              </w:rPr>
              <w:t>Cx. quinquefasciatus</w:t>
            </w:r>
          </w:p>
        </w:tc>
        <w:tc>
          <w:tcPr>
            <w:tcW w:w="661" w:type="dxa"/>
          </w:tcPr>
          <w:p w14:paraId="2966FFAC" w14:textId="77777777" w:rsidR="00AE5FDA" w:rsidRPr="00AE5FDA" w:rsidRDefault="00AE5FDA" w:rsidP="00AE5FDA">
            <w:r w:rsidRPr="00AE5FDA">
              <w:t>L</w:t>
            </w:r>
          </w:p>
        </w:tc>
        <w:tc>
          <w:tcPr>
            <w:tcW w:w="1949" w:type="dxa"/>
          </w:tcPr>
          <w:p w14:paraId="6F6B2BA5" w14:textId="77777777" w:rsidR="00AE5FDA" w:rsidRPr="00AE5FDA" w:rsidRDefault="00AE5FDA" w:rsidP="00AE5FDA">
            <w:r w:rsidRPr="00AE5FDA">
              <w:t>3.80 (1.85–5.29)</w:t>
            </w:r>
          </w:p>
        </w:tc>
        <w:tc>
          <w:tcPr>
            <w:tcW w:w="2430" w:type="dxa"/>
          </w:tcPr>
          <w:p w14:paraId="7D7641B0" w14:textId="77777777" w:rsidR="00AE5FDA" w:rsidRPr="00AE5FDA" w:rsidRDefault="00AE5FDA" w:rsidP="00AE5FDA">
            <w:r w:rsidRPr="00AE5FDA">
              <w:t>136.3 (86.8–174.0)</w:t>
            </w:r>
          </w:p>
        </w:tc>
        <w:tc>
          <w:tcPr>
            <w:tcW w:w="2430" w:type="dxa"/>
            <w:tcBorders>
              <w:right w:val="single" w:sz="4" w:space="0" w:color="auto"/>
            </w:tcBorders>
          </w:tcPr>
          <w:p w14:paraId="3CC2FABE" w14:textId="77777777" w:rsidR="00AE5FDA" w:rsidRPr="00AE5FDA" w:rsidRDefault="00AE5FDA" w:rsidP="00AE5FDA">
            <w:r w:rsidRPr="00AE5FDA">
              <w:t>35.9 (32.1–48.5)</w:t>
            </w:r>
          </w:p>
        </w:tc>
      </w:tr>
      <w:tr w:rsidR="00AE5FDA" w:rsidRPr="00AE5FDA" w14:paraId="712F0FEB" w14:textId="77777777" w:rsidTr="00A93316">
        <w:trPr>
          <w:trHeight w:val="387"/>
        </w:trPr>
        <w:tc>
          <w:tcPr>
            <w:tcW w:w="3235" w:type="dxa"/>
            <w:tcBorders>
              <w:left w:val="single" w:sz="4" w:space="0" w:color="auto"/>
              <w:bottom w:val="single" w:sz="4" w:space="0" w:color="auto"/>
            </w:tcBorders>
          </w:tcPr>
          <w:p w14:paraId="48E28582" w14:textId="77777777" w:rsidR="00AE5FDA" w:rsidRPr="00AE5FDA" w:rsidRDefault="00AE5FDA" w:rsidP="00AE5FDA">
            <w:pPr>
              <w:rPr>
                <w:b/>
              </w:rPr>
            </w:pPr>
            <w:r w:rsidRPr="00AE5FDA">
              <w:rPr>
                <w:i/>
              </w:rPr>
              <w:t>Cx. tarsalis</w:t>
            </w:r>
          </w:p>
        </w:tc>
        <w:tc>
          <w:tcPr>
            <w:tcW w:w="661" w:type="dxa"/>
            <w:tcBorders>
              <w:bottom w:val="single" w:sz="4" w:space="0" w:color="auto"/>
            </w:tcBorders>
          </w:tcPr>
          <w:p w14:paraId="3528B0B5" w14:textId="77777777" w:rsidR="00AE5FDA" w:rsidRPr="00AE5FDA" w:rsidRDefault="00AE5FDA" w:rsidP="00AE5FDA">
            <w:r w:rsidRPr="00AE5FDA">
              <w:t>L</w:t>
            </w:r>
          </w:p>
        </w:tc>
        <w:tc>
          <w:tcPr>
            <w:tcW w:w="1949" w:type="dxa"/>
            <w:tcBorders>
              <w:bottom w:val="single" w:sz="4" w:space="0" w:color="auto"/>
            </w:tcBorders>
          </w:tcPr>
          <w:p w14:paraId="750FD97B" w14:textId="77777777" w:rsidR="00AE5FDA" w:rsidRPr="00AE5FDA" w:rsidRDefault="00AE5FDA" w:rsidP="00AE5FDA">
            <w:r w:rsidRPr="00AE5FDA">
              <w:t>1.69 (1.12–2.24)</w:t>
            </w:r>
          </w:p>
        </w:tc>
        <w:tc>
          <w:tcPr>
            <w:tcW w:w="2430" w:type="dxa"/>
            <w:tcBorders>
              <w:bottom w:val="single" w:sz="4" w:space="0" w:color="auto"/>
            </w:tcBorders>
          </w:tcPr>
          <w:p w14:paraId="7C1739B1" w14:textId="77777777" w:rsidR="00AE5FDA" w:rsidRPr="00AE5FDA" w:rsidRDefault="00AE5FDA" w:rsidP="00AE5FDA">
            <w:r w:rsidRPr="00AE5FDA">
              <w:t>69.6 (55.8–83.5)</w:t>
            </w:r>
          </w:p>
        </w:tc>
        <w:tc>
          <w:tcPr>
            <w:tcW w:w="2430" w:type="dxa"/>
            <w:tcBorders>
              <w:bottom w:val="single" w:sz="4" w:space="0" w:color="auto"/>
              <w:right w:val="single" w:sz="4" w:space="0" w:color="auto"/>
            </w:tcBorders>
          </w:tcPr>
          <w:p w14:paraId="220D3ECD" w14:textId="77777777" w:rsidR="00AE5FDA" w:rsidRPr="00AE5FDA" w:rsidRDefault="00AE5FDA" w:rsidP="00AE5FDA">
            <w:r w:rsidRPr="00AE5FDA">
              <w:t>41.3 (36.6–50.8)</w:t>
            </w:r>
          </w:p>
        </w:tc>
      </w:tr>
    </w:tbl>
    <w:p w14:paraId="35829538" w14:textId="77777777" w:rsidR="00AE5FDA" w:rsidRPr="00AE5FDA" w:rsidRDefault="00AE5FDA" w:rsidP="00AE5FDA"/>
    <w:p w14:paraId="1D3485AF" w14:textId="453565DA" w:rsidR="00AE7B15" w:rsidRPr="00AE5FDA" w:rsidRDefault="00AE7B15"/>
    <w:p w14:paraId="4D5816BF" w14:textId="130E0DCF" w:rsidR="00AE7B15" w:rsidRDefault="00AE7B15">
      <w:pPr>
        <w:rPr>
          <w:b/>
        </w:rPr>
      </w:pPr>
      <w:r>
        <w:rPr>
          <w:b/>
        </w:rPr>
        <w:br w:type="page"/>
      </w:r>
    </w:p>
    <w:p w14:paraId="02524CD4" w14:textId="3FF8F83D" w:rsidR="00AE7B15" w:rsidRPr="00503DFA" w:rsidRDefault="00AE7B15" w:rsidP="00AE7B15">
      <w:pPr>
        <w:rPr>
          <w:b/>
        </w:rPr>
      </w:pPr>
      <w:r w:rsidRPr="00503DFA">
        <w:rPr>
          <w:b/>
        </w:rPr>
        <w:lastRenderedPageBreak/>
        <w:t xml:space="preserve">Table </w:t>
      </w:r>
      <w:r>
        <w:rPr>
          <w:b/>
        </w:rPr>
        <w:t>S2</w:t>
      </w:r>
      <w:r w:rsidRPr="00503DFA">
        <w:rPr>
          <w:b/>
        </w:rPr>
        <w:t xml:space="preserve">. Published species distribution models for vectors and vector-borne diseases. </w:t>
      </w:r>
      <w:r w:rsidRPr="00503DFA">
        <w:t>Columns indicate the study, pathogen species (where applicable), vector species, vector life stage (where applicable), the temperature measurement(s) included in the model, and the reported relationship between temperature and occurrence probability.</w:t>
      </w:r>
    </w:p>
    <w:p w14:paraId="2A5A1D2F" w14:textId="77777777" w:rsidR="00AE7B15" w:rsidRDefault="00AE7B15" w:rsidP="00AE7B15"/>
    <w:tbl>
      <w:tblPr>
        <w:tblW w:w="1296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169"/>
        <w:gridCol w:w="1350"/>
        <w:gridCol w:w="1979"/>
        <w:gridCol w:w="1085"/>
        <w:gridCol w:w="1979"/>
        <w:gridCol w:w="3143"/>
        <w:gridCol w:w="2255"/>
      </w:tblGrid>
      <w:tr w:rsidR="00AE7B15" w:rsidRPr="006D3EC4" w14:paraId="17C487A3" w14:textId="77777777" w:rsidTr="00A93316">
        <w:trPr>
          <w:trHeight w:val="300"/>
        </w:trPr>
        <w:tc>
          <w:tcPr>
            <w:tcW w:w="1169" w:type="dxa"/>
            <w:shd w:val="clear" w:color="auto" w:fill="auto"/>
            <w:noWrap/>
            <w:hideMark/>
          </w:tcPr>
          <w:p w14:paraId="5E1E6872"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Reference</w:t>
            </w:r>
          </w:p>
        </w:tc>
        <w:tc>
          <w:tcPr>
            <w:tcW w:w="1350" w:type="dxa"/>
            <w:shd w:val="clear" w:color="auto" w:fill="auto"/>
            <w:noWrap/>
            <w:hideMark/>
          </w:tcPr>
          <w:p w14:paraId="4F99BC1F"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Disease</w:t>
            </w:r>
          </w:p>
        </w:tc>
        <w:tc>
          <w:tcPr>
            <w:tcW w:w="1979" w:type="dxa"/>
            <w:shd w:val="clear" w:color="auto" w:fill="auto"/>
            <w:noWrap/>
            <w:hideMark/>
          </w:tcPr>
          <w:p w14:paraId="57D2E1E1" w14:textId="77777777" w:rsidR="00AE7B15" w:rsidRPr="006D3EC4" w:rsidRDefault="00AE7B15" w:rsidP="00A93316">
            <w:pPr>
              <w:rPr>
                <w:rFonts w:eastAsia="Times New Roman"/>
                <w:b/>
                <w:bCs/>
                <w:i/>
                <w:color w:val="000000"/>
                <w:sz w:val="20"/>
                <w:szCs w:val="20"/>
              </w:rPr>
            </w:pPr>
            <w:r w:rsidRPr="006D3EC4">
              <w:rPr>
                <w:rFonts w:eastAsia="Times New Roman"/>
                <w:b/>
                <w:bCs/>
                <w:color w:val="000000"/>
                <w:sz w:val="20"/>
                <w:szCs w:val="20"/>
              </w:rPr>
              <w:t>Vector/Host</w:t>
            </w:r>
          </w:p>
        </w:tc>
        <w:tc>
          <w:tcPr>
            <w:tcW w:w="1085" w:type="dxa"/>
            <w:shd w:val="clear" w:color="auto" w:fill="auto"/>
            <w:noWrap/>
            <w:hideMark/>
          </w:tcPr>
          <w:p w14:paraId="50304ECD"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Life stage</w:t>
            </w:r>
          </w:p>
        </w:tc>
        <w:tc>
          <w:tcPr>
            <w:tcW w:w="1979" w:type="dxa"/>
            <w:shd w:val="clear" w:color="auto" w:fill="auto"/>
            <w:noWrap/>
            <w:hideMark/>
          </w:tcPr>
          <w:p w14:paraId="684BF50C"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Model</w:t>
            </w:r>
          </w:p>
        </w:tc>
        <w:tc>
          <w:tcPr>
            <w:tcW w:w="3143" w:type="dxa"/>
            <w:shd w:val="clear" w:color="auto" w:fill="auto"/>
            <w:noWrap/>
            <w:hideMark/>
          </w:tcPr>
          <w:p w14:paraId="4504C0C0"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Temperature measures</w:t>
            </w:r>
          </w:p>
        </w:tc>
        <w:tc>
          <w:tcPr>
            <w:tcW w:w="2255" w:type="dxa"/>
            <w:shd w:val="clear" w:color="auto" w:fill="auto"/>
            <w:noWrap/>
            <w:hideMark/>
          </w:tcPr>
          <w:p w14:paraId="62635519" w14:textId="77777777" w:rsidR="00AE7B15" w:rsidRPr="006D3EC4" w:rsidRDefault="00AE7B15" w:rsidP="00A93316">
            <w:pPr>
              <w:rPr>
                <w:rFonts w:eastAsia="Times New Roman"/>
                <w:b/>
                <w:bCs/>
                <w:color w:val="000000"/>
                <w:sz w:val="20"/>
                <w:szCs w:val="20"/>
              </w:rPr>
            </w:pPr>
            <w:r w:rsidRPr="006D3EC4">
              <w:rPr>
                <w:rFonts w:eastAsia="Times New Roman"/>
                <w:b/>
                <w:bCs/>
                <w:color w:val="000000"/>
                <w:sz w:val="20"/>
                <w:szCs w:val="20"/>
              </w:rPr>
              <w:t>Relationship reported</w:t>
            </w:r>
          </w:p>
        </w:tc>
      </w:tr>
      <w:tr w:rsidR="00AE7B15" w:rsidRPr="006D3EC4" w14:paraId="0F8FAE39" w14:textId="77777777" w:rsidTr="00A93316">
        <w:trPr>
          <w:trHeight w:val="300"/>
        </w:trPr>
        <w:tc>
          <w:tcPr>
            <w:tcW w:w="1169" w:type="dxa"/>
            <w:shd w:val="clear" w:color="auto" w:fill="auto"/>
            <w:noWrap/>
            <w:hideMark/>
          </w:tcPr>
          <w:p w14:paraId="69942CBD" w14:textId="47AD08FA"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{"citationID":"EM6LATPe","properties":{"formattedCitation":"(Bishop {\\i{}et al.} 2000)","plainCitation":"(Bishop et al. 2000)","noteIndex":0},"citationItems":[{"id":7784,"uris":["http://zotero.org/users/275805/items/2GCUAZ8U"],"uri":["http://zotero.org/users/275805/items/2GCUAZ8U"],"itemData":{"id":7784,"type":"article-journal","title":"Models for the dispersal in Australia of the arbovirus vector, Culicoides brevitarsis Kieffer (Diptera: Ceratopogonidae)","container-title":"Preventive Veterinary Medicine","page":"243-254","volume":"47","issue":"4","source":"ScienceDirect","abstract":"Culicoides brevitarsis is the main biting midge responsible for the transmission of bluetongue and Akabane viruses to livestock in Australia. Models are given for its dispersal after winter from endemic areas at the southern limit of its distribution in New South Wales (NSW); the models might also be applicable elsewhere. Model 1 shows that dispersal can be explained by distance from a key point just outside the endemic area in mid-northern/northern coastal NSW. The model provides probability data for times of first occurrence at sites within regions down the southern coastal plain or up the Hunter Valley towards (but rarely reaching) the western slopes and tablelands. Model 2 shows that the movement depends on temperature and wind speed from northerly and easterly directions. Preliminary data also are given to suggest a relationship between density in the endemic area and the maximum distance that C. brevitarsis can travel in a given year. The models can be linked to other information which in combination can provide probabilities for winter survival outside the endemic area, times of occurrence at sites where it cannot survive winter and times when activity ceases naturally at these sites at the end of the season. This information can be used to predict the potential for virus transmission and indicate zones of seasonal freedom from both vector and virus for the export of livestock.","DOI":"10.1016/S0167-5877(00)00175-6","ISSN":"0167-5877","shortTitle":"Models for the dispersal in Australia of the arbovirus vector, Culicoides brevitarsis Kieffer (Diptera","journalAbbreviation":"Preventive Veterinary Medicine","author":[{"family":"Bishop","given":"Alan L"},{"family":"Barchia","given":"Idris M"},{"family":"Spohr","given":"Lorraine J"}],"issued":{"date-parts":[["2000",12,8]]}}}],"schema":"https://github.com/citation-style-language/schema/raw/master/csl-citation.json"}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(Bishop </w:t>
            </w:r>
            <w:r w:rsidR="00EA4D79" w:rsidRPr="00EA4D79">
              <w:rPr>
                <w:i/>
                <w:iCs/>
                <w:sz w:val="20"/>
              </w:rPr>
              <w:t>et al.</w:t>
            </w:r>
            <w:r w:rsidR="00EA4D79" w:rsidRPr="00EA4D79">
              <w:rPr>
                <w:sz w:val="20"/>
              </w:rPr>
              <w:t xml:space="preserve"> 2000)</w:t>
            </w:r>
            <w:r w:rsidRPr="006D3EC4">
              <w:rPr>
                <w:rFonts w:eastAsia="Times New Roman"/>
                <w:color w:val="000000"/>
                <w:sz w:val="20"/>
                <w:szCs w:val="20"/>
              </w:rPr>
              <w:fldChar w:fldCharType="end"/>
            </w:r>
          </w:p>
        </w:tc>
        <w:tc>
          <w:tcPr>
            <w:tcW w:w="1350" w:type="dxa"/>
            <w:shd w:val="clear" w:color="auto" w:fill="auto"/>
            <w:noWrap/>
            <w:hideMark/>
          </w:tcPr>
          <w:p w14:paraId="7485352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35555251"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Culicoides brevitarsis</w:t>
            </w:r>
          </w:p>
        </w:tc>
        <w:tc>
          <w:tcPr>
            <w:tcW w:w="1085" w:type="dxa"/>
            <w:shd w:val="clear" w:color="auto" w:fill="auto"/>
            <w:noWrap/>
            <w:hideMark/>
          </w:tcPr>
          <w:p w14:paraId="2543C0F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334ED83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LOESS</w:t>
            </w:r>
          </w:p>
        </w:tc>
        <w:tc>
          <w:tcPr>
            <w:tcW w:w="3143" w:type="dxa"/>
            <w:shd w:val="clear" w:color="auto" w:fill="auto"/>
            <w:noWrap/>
            <w:hideMark/>
          </w:tcPr>
          <w:p w14:paraId="72CA767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Weekly or monthly mean temperature</w:t>
            </w:r>
          </w:p>
        </w:tc>
        <w:tc>
          <w:tcPr>
            <w:tcW w:w="2255" w:type="dxa"/>
            <w:shd w:val="clear" w:color="auto" w:fill="auto"/>
            <w:noWrap/>
            <w:hideMark/>
          </w:tcPr>
          <w:p w14:paraId="5C2EEEE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Time from occurrence and distance from site</w:t>
            </w:r>
          </w:p>
        </w:tc>
      </w:tr>
      <w:tr w:rsidR="00AE7B15" w:rsidRPr="006D3EC4" w14:paraId="1AE3D261" w14:textId="77777777" w:rsidTr="00A93316">
        <w:trPr>
          <w:trHeight w:val="300"/>
        </w:trPr>
        <w:tc>
          <w:tcPr>
            <w:tcW w:w="1169" w:type="dxa"/>
            <w:shd w:val="clear" w:color="auto" w:fill="auto"/>
            <w:noWrap/>
          </w:tcPr>
          <w:p w14:paraId="161B6AD2" w14:textId="0D338DE8"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{"citationID":"a13g455goip","properties":{"formattedCitation":"(Calvete {\\i{}et al.} 2009)","plainCitation":"(Calvete et al. 2009)","noteIndex":0},"citationItems":[{"id":"P6k4PRMa/Vv2wk6xT","uris":["http://zotero.org/users/local/3ur7oWQd/items/GCZEBJXZ"],"uri":["http://zotero.org/users/local/3ur7oWQd/items/GCZEBJXZ"],"itemData":{"id":34,"type":"article-journal","title":"Ecological correlates of bluetongue virus in Spain: Predicted spatial occurrence and its relationship with the observed abundance of the potential Culicoides spp. vector","container-title":"The Veterinary Journal","page":"235-243","volume":"182","issue":"2","source":"Crossref","DOI":"10.1016/j.tvjl.2008.06.010","ISSN":"10900233","shortTitle":"Ecological correlates of bluetongue virus in Spain","language":"en","author":[{"family":"Calvete","given":"C."},{"family":"Estrada","given":"R."},{"family":"Miranda","given":"M.A."},{"family":"Borrás","given":"D."},{"family":"Calvo","given":"J.H."},{"family":"Lucientes","given":"J."}],"issued":{"date-parts":[["2009",11]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(Calvete </w:t>
            </w:r>
            <w:r w:rsidR="00EA4D79" w:rsidRPr="00EA4D79">
              <w:rPr>
                <w:i/>
                <w:iCs/>
                <w:sz w:val="20"/>
              </w:rPr>
              <w:t>et al.</w:t>
            </w:r>
            <w:r w:rsidR="00EA4D79" w:rsidRPr="00EA4D79">
              <w:rPr>
                <w:sz w:val="20"/>
              </w:rPr>
              <w:t xml:space="preserve"> 2009)</w:t>
            </w:r>
            <w:r w:rsidRPr="006D3EC4">
              <w:rPr>
                <w:rFonts w:eastAsia="Times New Roman"/>
                <w:color w:val="000000"/>
                <w:sz w:val="20"/>
                <w:szCs w:val="20"/>
              </w:rPr>
              <w:fldChar w:fldCharType="end"/>
            </w:r>
          </w:p>
        </w:tc>
        <w:tc>
          <w:tcPr>
            <w:tcW w:w="1350" w:type="dxa"/>
            <w:shd w:val="clear" w:color="auto" w:fill="auto"/>
            <w:noWrap/>
          </w:tcPr>
          <w:p w14:paraId="34DDB0E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tcPr>
          <w:p w14:paraId="37D8C47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Animal</w:t>
            </w:r>
          </w:p>
        </w:tc>
        <w:tc>
          <w:tcPr>
            <w:tcW w:w="1085" w:type="dxa"/>
            <w:shd w:val="clear" w:color="auto" w:fill="auto"/>
            <w:noWrap/>
          </w:tcPr>
          <w:p w14:paraId="11F50F2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153E8F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GLM</w:t>
            </w:r>
          </w:p>
        </w:tc>
        <w:tc>
          <w:tcPr>
            <w:tcW w:w="3143" w:type="dxa"/>
            <w:shd w:val="clear" w:color="auto" w:fill="auto"/>
            <w:noWrap/>
          </w:tcPr>
          <w:p w14:paraId="0B1C5D3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Annual mean temperature</w:t>
            </w:r>
          </w:p>
        </w:tc>
        <w:tc>
          <w:tcPr>
            <w:tcW w:w="2255" w:type="dxa"/>
            <w:shd w:val="clear" w:color="auto" w:fill="auto"/>
            <w:noWrap/>
          </w:tcPr>
          <w:p w14:paraId="5A30BD8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Parameters</w:t>
            </w:r>
          </w:p>
        </w:tc>
      </w:tr>
      <w:tr w:rsidR="00AE7B15" w:rsidRPr="006D3EC4" w14:paraId="4DD537B9" w14:textId="77777777" w:rsidTr="00A93316">
        <w:trPr>
          <w:trHeight w:val="300"/>
        </w:trPr>
        <w:tc>
          <w:tcPr>
            <w:tcW w:w="1169" w:type="dxa"/>
            <w:shd w:val="clear" w:color="auto" w:fill="auto"/>
            <w:noWrap/>
          </w:tcPr>
          <w:p w14:paraId="310A8571" w14:textId="640D634D"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{"citationID":"a13ojm2t6l5","properties":{"formattedCitation":"(Cappai {\\i{}et al.} 2018)","plainCitation":"(Cappai et al. 2018)","noteIndex":0},"citationItems":[{"id":"P6k4PRMa/xYSB1dIi","uris":["http://zotero.org/users/local/3ur7oWQd/items/ESB5ZCEH"],"uri":["http://zotero.org/users/local/3ur7oWQd/items/ESB5ZCEH"],"itemData":{"id":31,"type":"article-journal","title":"Retrospective analysis of Bluetongue farm risk profile definition, based on biology, farm management practices and climatic data","container-title":"Preventive Veterinary Medicine","page":"75-85","volume":"155","source":"Crossref","DOI":"10.1016/j.prevetmed.2018.04.004","ISSN":"01675877","language":"en","author":[{"family":"Cappai","given":"Stefano"},{"family":"Loi","given":"Federica"},{"family":"Coccollone","given":"Annamaria"},{"family":"Contu","given":"Marino"},{"family":"Capece","given":"Paolo"},{"family":"Fiori","given":"Michele"},{"family":"Canu","given":"Simona"},{"family":"Foxi","given":"Cipriano"},{"family":"Rolesu","given":"Sandro"}],"issued":{"date-parts":[["2018",7]]}}}],"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(Cappai </w:t>
            </w:r>
            <w:r w:rsidR="00EA4D79" w:rsidRPr="00EA4D79">
              <w:rPr>
                <w:i/>
                <w:iCs/>
                <w:sz w:val="20"/>
              </w:rPr>
              <w:t>et al.</w:t>
            </w:r>
            <w:r w:rsidR="00EA4D79" w:rsidRPr="00EA4D79">
              <w:rPr>
                <w:sz w:val="20"/>
              </w:rPr>
              <w:t xml:space="preserve"> 2018)</w:t>
            </w:r>
            <w:r w:rsidRPr="006D3EC4">
              <w:rPr>
                <w:rFonts w:eastAsia="Times New Roman"/>
                <w:color w:val="000000"/>
                <w:sz w:val="20"/>
                <w:szCs w:val="20"/>
              </w:rPr>
              <w:fldChar w:fldCharType="end"/>
            </w:r>
          </w:p>
        </w:tc>
        <w:tc>
          <w:tcPr>
            <w:tcW w:w="1350" w:type="dxa"/>
            <w:shd w:val="clear" w:color="auto" w:fill="auto"/>
            <w:noWrap/>
          </w:tcPr>
          <w:p w14:paraId="7BAE0E5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tcPr>
          <w:p w14:paraId="5F69656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Sheep, goat</w:t>
            </w:r>
          </w:p>
        </w:tc>
        <w:tc>
          <w:tcPr>
            <w:tcW w:w="1085" w:type="dxa"/>
            <w:shd w:val="clear" w:color="auto" w:fill="auto"/>
            <w:noWrap/>
          </w:tcPr>
          <w:p w14:paraId="696481B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4FD19DD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Logistic mixed model</w:t>
            </w:r>
          </w:p>
        </w:tc>
        <w:tc>
          <w:tcPr>
            <w:tcW w:w="3143" w:type="dxa"/>
            <w:shd w:val="clear" w:color="auto" w:fill="auto"/>
            <w:noWrap/>
          </w:tcPr>
          <w:p w14:paraId="37A09F0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Decadal mean temperature</w:t>
            </w:r>
          </w:p>
        </w:tc>
        <w:tc>
          <w:tcPr>
            <w:tcW w:w="2255" w:type="dxa"/>
            <w:shd w:val="clear" w:color="auto" w:fill="auto"/>
            <w:noWrap/>
          </w:tcPr>
          <w:p w14:paraId="28011D7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Odds ratios</w:t>
            </w:r>
          </w:p>
        </w:tc>
      </w:tr>
      <w:tr w:rsidR="00AE7B15" w:rsidRPr="006D3EC4" w14:paraId="5239FDEF" w14:textId="77777777" w:rsidTr="00A93316">
        <w:trPr>
          <w:trHeight w:val="300"/>
        </w:trPr>
        <w:tc>
          <w:tcPr>
            <w:tcW w:w="1169" w:type="dxa"/>
            <w:shd w:val="clear" w:color="auto" w:fill="auto"/>
            <w:noWrap/>
            <w:hideMark/>
          </w:tcPr>
          <w:p w14:paraId="07C7A2F4" w14:textId="329C6CB1"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{"citationID":"SzzA2QJQ","properties":{"formattedCitation":"(Conte {\\i{}et al.} 2004)","plainCitation":"(Conte et al. 2004)","noteIndex":0},"citationItems":[{"id":7790,"uris":["http://zotero.org/users/275805/items/X9WQNBF5"],"uri":["http://zotero.org/users/275805/items/X9WQNBF5"],"itemData":{"id":7790,"type":"article-journal","title":"Towards the identification of potential infectious sites for bluetongue in Italy: a spatial analysis approach based on the distribution of Culicoides imicola","container-title":"Veterinaria Italiana","page":"311-315","volume":"40","issue":"3","source":"PubMed","abstract":"A geographic information system (GIS) based on grids was developed by the National Reference Center for Veterinary Epidemiology at the Istituto Zooprofilattico Sperimentale dell'Abruzzo e del Molise 'G. Caporale' (IZS) in Teramo to identify potential infectious sites for bluetongue (BT) disease in Italy. Geographical and climatic variables were used to build a spatial process model (SPM); the different layers were combined by sequential addition. The final grids (with a cell size of 0.0387 decimal degrees) were generated for each season of the year, and the suitability of each cell for the presence of C. imicola given a value ranking from 0 to 10. While this model more accurately predicts the presence of C. imicola in the Basilicata and Sicily regions, it still over-predicted its presence in the Puglia region. This could be due to the occurrence of calcareous soils which dominate the Puglia landscape. The present SPM is an additive model that assigns an equal weight to each variable. However, the results suggest the existence of hitherto unconsidered variables that significantly influence the prevalence of C. imicola. To reflect their importance, these variables should be assigned a higher weighting in future models. However, the decision in regard to precisely what this weighting should be depends on a very thorough knowledge of the ecology of C. imicola.","ISSN":"1828-1427","note":"PMID: 20419684","shortTitle":"Towards the identification of potential infectious sites for bluetongue in Italy","journalAbbreviation":"Vet. Ital.","language":"eng","author":[{"family":"Conte","given":"A."},{"family":"Ippoliti","given":"C."},{"family":"Calistri","given":"P."},{"family":"Pelini","given":"S."},{"family":"Savini","given":"L."},{"family":"Salini","given":"R."},{"family":"Goffredo","given":"M."},{"family":"Meiswinkel","given":"R."}],"issued":{"date-parts":[["2004",9]]}}}],"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(Conte </w:t>
            </w:r>
            <w:r w:rsidR="00EA4D79" w:rsidRPr="00EA4D79">
              <w:rPr>
                <w:i/>
                <w:iCs/>
                <w:sz w:val="20"/>
              </w:rPr>
              <w:t>et al.</w:t>
            </w:r>
            <w:r w:rsidR="00EA4D79" w:rsidRPr="00EA4D79">
              <w:rPr>
                <w:sz w:val="20"/>
              </w:rPr>
              <w:t xml:space="preserve"> 2004)</w:t>
            </w:r>
            <w:r w:rsidRPr="006D3EC4">
              <w:rPr>
                <w:rFonts w:eastAsia="Times New Roman"/>
                <w:color w:val="000000"/>
                <w:sz w:val="20"/>
                <w:szCs w:val="20"/>
              </w:rPr>
              <w:fldChar w:fldCharType="end"/>
            </w:r>
          </w:p>
        </w:tc>
        <w:tc>
          <w:tcPr>
            <w:tcW w:w="1350" w:type="dxa"/>
            <w:shd w:val="clear" w:color="auto" w:fill="auto"/>
            <w:noWrap/>
            <w:hideMark/>
          </w:tcPr>
          <w:p w14:paraId="10C32FF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2B1357CB"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 imicola</w:t>
            </w:r>
          </w:p>
        </w:tc>
        <w:tc>
          <w:tcPr>
            <w:tcW w:w="1085" w:type="dxa"/>
            <w:shd w:val="clear" w:color="auto" w:fill="auto"/>
            <w:noWrap/>
            <w:hideMark/>
          </w:tcPr>
          <w:p w14:paraId="201BCA6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6530D27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Spatial process model</w:t>
            </w:r>
          </w:p>
        </w:tc>
        <w:tc>
          <w:tcPr>
            <w:tcW w:w="3143" w:type="dxa"/>
            <w:shd w:val="clear" w:color="auto" w:fill="auto"/>
            <w:noWrap/>
            <w:hideMark/>
          </w:tcPr>
          <w:p w14:paraId="1D06310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Daily minimum temperature</w:t>
            </w:r>
          </w:p>
        </w:tc>
        <w:tc>
          <w:tcPr>
            <w:tcW w:w="2255" w:type="dxa"/>
            <w:shd w:val="clear" w:color="auto" w:fill="auto"/>
            <w:noWrap/>
            <w:hideMark/>
          </w:tcPr>
          <w:p w14:paraId="1193128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4A141AB1" w14:textId="77777777" w:rsidTr="00A93316">
        <w:trPr>
          <w:trHeight w:val="300"/>
        </w:trPr>
        <w:tc>
          <w:tcPr>
            <w:tcW w:w="1169" w:type="dxa"/>
            <w:shd w:val="clear" w:color="auto" w:fill="auto"/>
            <w:noWrap/>
          </w:tcPr>
          <w:p w14:paraId="15CFAB91" w14:textId="13EC8716"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{"citationID":"a2c2n03ao24","properties":{"formattedCitation":"(Gao {\\i{}et al.} 2017)","plainCitation":"(Gao et al. 2017)","noteIndex":0},"citationItems":[{"id":"P6k4PRMa/CDgAkE8g","uris":["http://zotero.org/users/local/3ur7oWQd/items/22BKN65C"],"uri":["http://zotero.org/users/local/3ur7oWQd/items/22BKN65C"],"itemData":{"id":30,"type":"article-journal","title":"Meteorological conditions and land cover as predictors for the prevalence of Bluetongue virus in the Inner Mongolia Autonomous Region of Mainland China","container-title":"Preventive Veterinary Medicine","page":"88-93","volume":"138","source":"Crossref","DOI":"10.1016/j.prevetmed.2017.01.012","ISSN":"01675877","language":"en","author":[{"family":"Gao","given":"Xiang"},{"family":"Qin","given":"Hongyu"},{"family":"Xiao","given":"Jianhua"},{"family":"Wang","given":"Hongbin"}],"issued":{"date-parts":[["2017",3]]}}}],"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(Gao </w:t>
            </w:r>
            <w:r w:rsidR="00EA4D79" w:rsidRPr="00EA4D79">
              <w:rPr>
                <w:i/>
                <w:iCs/>
                <w:sz w:val="20"/>
              </w:rPr>
              <w:t>et al.</w:t>
            </w:r>
            <w:r w:rsidR="00EA4D79" w:rsidRPr="00EA4D79">
              <w:rPr>
                <w:sz w:val="20"/>
              </w:rPr>
              <w:t xml:space="preserve"> 2017)</w:t>
            </w:r>
            <w:r w:rsidRPr="006D3EC4">
              <w:rPr>
                <w:rFonts w:eastAsia="Times New Roman"/>
                <w:color w:val="000000"/>
                <w:sz w:val="20"/>
                <w:szCs w:val="20"/>
              </w:rPr>
              <w:fldChar w:fldCharType="end"/>
            </w:r>
          </w:p>
        </w:tc>
        <w:tc>
          <w:tcPr>
            <w:tcW w:w="1350" w:type="dxa"/>
            <w:shd w:val="clear" w:color="auto" w:fill="auto"/>
            <w:noWrap/>
          </w:tcPr>
          <w:p w14:paraId="5AF5A92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tcPr>
          <w:p w14:paraId="1D67F27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Sheep</w:t>
            </w:r>
          </w:p>
        </w:tc>
        <w:tc>
          <w:tcPr>
            <w:tcW w:w="1085" w:type="dxa"/>
            <w:shd w:val="clear" w:color="auto" w:fill="auto"/>
            <w:noWrap/>
          </w:tcPr>
          <w:p w14:paraId="37CDDE9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6FE1A13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tcPr>
          <w:p w14:paraId="3DF1E08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Monthly mean temperature, monthly max temperature, monthly min temperature, monthly temperature range</w:t>
            </w:r>
          </w:p>
        </w:tc>
        <w:tc>
          <w:tcPr>
            <w:tcW w:w="2255" w:type="dxa"/>
            <w:shd w:val="clear" w:color="auto" w:fill="auto"/>
            <w:noWrap/>
          </w:tcPr>
          <w:p w14:paraId="0340053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502B3923" w14:textId="77777777" w:rsidTr="00A93316">
        <w:trPr>
          <w:trHeight w:val="300"/>
        </w:trPr>
        <w:tc>
          <w:tcPr>
            <w:tcW w:w="1169" w:type="dxa"/>
            <w:shd w:val="clear" w:color="auto" w:fill="auto"/>
            <w:noWrap/>
            <w:hideMark/>
          </w:tcPr>
          <w:p w14:paraId="0050D5BE" w14:textId="38C8EAFA"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{"citationID":"HEeBmb5E","properties":{"formattedCitation":"(Mukhopadhyay {\\i{}et al.} 2017)","plainCitation":"(Mukhopadhyay et al. 2017)","noteIndex":0},"citationItems":[{"id":7798,"uris":["http://zotero.org/users/275805/items/RZTVNNI7"],"uri":["http://zotero.org/users/275805/items/RZTVNNI7"],"itemData":{"id":7798,"type":"article-journal","title":"Altitudinal variation and bio-climatic variables influencing the potential distribution of Culicoides orientalis Macfie, 1932, suspected vector of Bluetongue virus across the North Eastern Himalayan belt of Sikkim","container-title":"Acta Tropica","page":"402-411","volume":"176","source":"ScienceDirect","abstract":"Culicoides orientalis was first recorded from Sikkim, in the year 1963, but no evidence based disease outbreak were available. In the last 50 years, 260 Bluetongue disease outbreaks caused by Culicoides species have been evidenced from India. Moreover, in recent years with increase of average temperature worldwide and increase in longevity of arthropod vectors like Culicoides along with a geographical range shift to new suitable warmer regions has increased the potentiality of vector borne disease outbreak throughout the world. The Himalayan range of Sikkim in India is a biodiversity hotspot and is extremely sensitive to such global climate changes. An attempt has been made to evaluate the altitude, climate and environmental data on selected study sites of Sikkim for a period of two years (2014–2015) for discerning potential distribution of C.orientalis in this region. The altitude, temperature, precipitation and potential distribution range maps of C. orientalis showed the areas of highest species abundance within the altitudinal range of 550–1830m, with some species extending its range up to 3750m, with average precipitation of 2010–2590mm and mean temperature of 11–18°C. The Maximum Entropy Modelling (MaxEnt) and the Jackknife test of the MaxEnt model further revealed that the major contributing factors governing C. orientalis distribution are annual precipitation (78.8%), followed by precipitation of driest quarter (8.3%) and mean temperature of the warmest quarter (3.3%). Accuracy of the study was evaluated by the area under the curve (AUC=0.860). The Biplot on F1–F2 axes (N=16, α=0.05) in the PCA showed the linear depiction of all the variables considered in our study, major contributors were annual precipitation, precipitation of driest quarter and mean temperature of warmest quarter being the primary factors governing species distribution, as analogous to results of the MaxEnt model. This study would help in developing strategies for monitoring and managing surveillance programmes to control the chances of disease spread to livestock animals and also validate the predictions on the eventual spread of the vector midges to higher altitudes of Sikkim.","DOI":"10.1016/j.actatropica.2017.09.008","ISSN":"0001-706X","journalAbbreviation":"Acta Tropica","author":[{"family":"Mukhopadhyay","given":"Emon"},{"family":"Hazra","given":"Surajit"},{"family":"Saha","given":"Goutam Kumar"},{"family":"Banerjee","given":"Dhriti"}],"issued":{"date-parts":[["2017",12,1]]}}}],"schema":"https://github.com/citation-style-language/schema/raw/master/csl-citation.json"}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(Mukhopadhyay </w:t>
            </w:r>
            <w:r w:rsidR="00EA4D79" w:rsidRPr="00EA4D79">
              <w:rPr>
                <w:i/>
                <w:iCs/>
                <w:sz w:val="20"/>
              </w:rPr>
              <w:t>et al.</w:t>
            </w:r>
            <w:r w:rsidR="00EA4D79" w:rsidRPr="00EA4D79">
              <w:rPr>
                <w:sz w:val="20"/>
              </w:rPr>
              <w:t xml:space="preserve"> 2017)</w:t>
            </w:r>
            <w:r w:rsidRPr="006D3EC4">
              <w:rPr>
                <w:rFonts w:eastAsia="Times New Roman"/>
                <w:color w:val="000000"/>
                <w:sz w:val="20"/>
                <w:szCs w:val="20"/>
              </w:rPr>
              <w:fldChar w:fldCharType="end"/>
            </w:r>
          </w:p>
        </w:tc>
        <w:tc>
          <w:tcPr>
            <w:tcW w:w="1350" w:type="dxa"/>
            <w:shd w:val="clear" w:color="auto" w:fill="auto"/>
            <w:noWrap/>
            <w:hideMark/>
          </w:tcPr>
          <w:p w14:paraId="3824918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6DF07230"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 orientalis</w:t>
            </w:r>
          </w:p>
        </w:tc>
        <w:tc>
          <w:tcPr>
            <w:tcW w:w="1085" w:type="dxa"/>
            <w:shd w:val="clear" w:color="auto" w:fill="auto"/>
            <w:noWrap/>
            <w:hideMark/>
          </w:tcPr>
          <w:p w14:paraId="3C598AD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5230D14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35DA0D0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(annual mean temperature, mean temperature of coldest quarter, mean temperature of warmest quarterly)</w:t>
            </w:r>
          </w:p>
        </w:tc>
        <w:tc>
          <w:tcPr>
            <w:tcW w:w="2255" w:type="dxa"/>
            <w:shd w:val="clear" w:color="auto" w:fill="auto"/>
            <w:noWrap/>
            <w:hideMark/>
          </w:tcPr>
          <w:p w14:paraId="0931A24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3D7A341E" w14:textId="77777777" w:rsidTr="00A93316">
        <w:trPr>
          <w:trHeight w:val="300"/>
        </w:trPr>
        <w:tc>
          <w:tcPr>
            <w:tcW w:w="1169" w:type="dxa"/>
            <w:shd w:val="clear" w:color="auto" w:fill="auto"/>
            <w:noWrap/>
            <w:hideMark/>
          </w:tcPr>
          <w:p w14:paraId="253BC829" w14:textId="5EDB1E79"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{"citationID":"pVhBaNMm","properties":{"formattedCitation":"(Purse {\\i{}et al.} 2004)","plainCitation":"(Purse et al. 2004)","noteIndex":0},"citationItems":[{"id":7804,"uris":["http://zotero.org/users/275805/items/YVTLHF7G"],"uri":["http://zotero.org/users/275805/items/YVTLHF7G"],"itemData":{"id":7804,"type":"article-journal","title":"Modelling the distribution of outbreaks and Culicoides vectors in Sicily: towards predictive risk maps for Italy","container-title":"Veterinaria Italiana","page":"303-310","volume":"40","issue":"3","source":"PubMed","abstract":"Vector (911 light-trap catches from 269 sites) and serological surveillance data were obtained during recent bluetongue (BT) outbreaks in Sicily. The distributions of Culicoides vectors are compared with that of bluetongue virus (BTV) to determine the relative role of different vectors in BTV transmission in Sicily. The 'best' climatic predictors of distribution for each vector species were selected from 40 remotely-sensed variables and altitude at a 1 km spatial resolution using discriminant analysis. These models were used to predict species presence in unsampled pixels across Italy. Although Culicoides imicola, the main European vector, was found in only 12% of sites, there was close correspondence between its spatial distribution and that of the 2000 and 2001 outbreaks. All three candidate vectors C. pulicaris, C. newsteadi and C. obsoletus group were widespread across 2002 outbreak sites but C. newsteadi was significantly less prevalent in outbreak versus non-outbreak sites in Messina and BTV has been isolated from wild-caught adults of both C. pulicaris and C. obsoletus in Italy. The yearly distribution and intensity of outbreaks is attributable to the distribution and abundance of the vectors operating in each year. Outbreaks were few and coastal in 2000 and 2001 due to the low abundance and prevalence of the vector, C. imicola. They were numerous and widespread in 2002, following hand-over of the virus to more prevalent and abundant novel vector species, C. pulicaris and C. obsoletus. Climatic determinants of distribution were species-specific, with those of C. obsoletus group and C. newsteadi predicted by temperature variables, and those of C. pulicaris and C. imicola determined mainly by normalised difference vegetation index (NDVI), a variable correlated with soil moisture, vegetation biomass and productivity. The predicted continuous presence of C. pulicaris along the Appenine mountains, from north to south Italy, suggests BTV transmission may be possible in a large proportion of this region and that seasonal transhumance between C. imicola-free areas should not generally be considered safe. Future distribution models for C. imicola in Sicily should include non-climatic environmental variables that may influence breeding site suitability such as soil type.","ISSN":"1828-1427","note":"PMID: 20419683","shortTitle":"Modelling the distribution of outbreaks and Culicoides vectors in Sicily","journalAbbreviation":"Vet. Ital.","language":"eng","author":[{"family":"Purse","given":"B. V."},{"family":"Caracappa","given":"S."},{"family":"Marino","given":"A. M. F."},{"family":"Tatem","given":"A. J."},{"family":"Rogers","given":"D. J."},{"family":"Mellor","given":"P. S."},{"family":"Baylis","given":"M."},{"family":"Torina","given":"A."}],"issued":{"date-parts":[["2004",9]]}}}],"schema":"https://github.com/citation-style-language/schema/raw/master/csl-citation.json"}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(Purse </w:t>
            </w:r>
            <w:r w:rsidR="00EA4D79" w:rsidRPr="00EA4D79">
              <w:rPr>
                <w:i/>
                <w:iCs/>
                <w:sz w:val="20"/>
              </w:rPr>
              <w:t>et al.</w:t>
            </w:r>
            <w:r w:rsidR="00EA4D79" w:rsidRPr="00EA4D79">
              <w:rPr>
                <w:sz w:val="20"/>
              </w:rPr>
              <w:t xml:space="preserve"> 2004)</w:t>
            </w:r>
            <w:r w:rsidRPr="006D3EC4">
              <w:rPr>
                <w:rFonts w:eastAsia="Times New Roman"/>
                <w:color w:val="000000"/>
                <w:sz w:val="20"/>
                <w:szCs w:val="20"/>
              </w:rPr>
              <w:fldChar w:fldCharType="end"/>
            </w:r>
          </w:p>
        </w:tc>
        <w:tc>
          <w:tcPr>
            <w:tcW w:w="1350" w:type="dxa"/>
            <w:shd w:val="clear" w:color="auto" w:fill="auto"/>
            <w:noWrap/>
            <w:hideMark/>
          </w:tcPr>
          <w:p w14:paraId="017A9B9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57AEFF3D"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 pulicaris, Cu. newsteadi, Cu. obsoletus, Cu. imicola</w:t>
            </w:r>
          </w:p>
        </w:tc>
        <w:tc>
          <w:tcPr>
            <w:tcW w:w="1085" w:type="dxa"/>
            <w:shd w:val="clear" w:color="auto" w:fill="auto"/>
            <w:noWrap/>
            <w:hideMark/>
          </w:tcPr>
          <w:p w14:paraId="6F82A0C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015EBA8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Stepwise discriminant analysis</w:t>
            </w:r>
          </w:p>
        </w:tc>
        <w:tc>
          <w:tcPr>
            <w:tcW w:w="3143" w:type="dxa"/>
            <w:shd w:val="clear" w:color="auto" w:fill="auto"/>
            <w:noWrap/>
            <w:hideMark/>
          </w:tcPr>
          <w:p w14:paraId="2A26846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Mean, variance, and minimum land surface temperature, minimum air temperature</w:t>
            </w:r>
          </w:p>
        </w:tc>
        <w:tc>
          <w:tcPr>
            <w:tcW w:w="2255" w:type="dxa"/>
            <w:shd w:val="clear" w:color="auto" w:fill="auto"/>
            <w:noWrap/>
            <w:hideMark/>
          </w:tcPr>
          <w:p w14:paraId="22B2B94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68FBBEAB" w14:textId="77777777" w:rsidTr="00A93316">
        <w:trPr>
          <w:trHeight w:val="300"/>
        </w:trPr>
        <w:tc>
          <w:tcPr>
            <w:tcW w:w="1169" w:type="dxa"/>
            <w:shd w:val="clear" w:color="auto" w:fill="auto"/>
            <w:noWrap/>
            <w:hideMark/>
          </w:tcPr>
          <w:p w14:paraId="142E2CE5" w14:textId="5C7F88A0"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{"citationID":"L2rveDYC","properties":{"formattedCitation":"(Rigot {\\i{}et al.} 2012)","plainCitation":"(Rigot et al. 2012)","noteIndex":0},"citationItems":[{"id":7806,"uris":["http://zotero.org/users/275805/items/7QW3EFL8"],"uri":["http://zotero.org/users/275805/items/7QW3EFL8"],"itemData":{"id":7806,"type":"article-journal","title":"Predicting the spatio-temporal distribution of Culicoides imicola in Sardinia using a discrete-time population model","container-title":"Parasites &amp; Vectors","page":"270","volume":"5","issue":"1","source":"BioMed Central","abstract":"Culicoides imicola KIEFFER, 1913 (Diptera: Ceratopogonidae) is the principal vector of Bluetongue disease in the Mediterranean basin, Africa and Asia. Previous studies have identified a range of eco-climatic variables associated with the distribution of C. imicola, and these relationships have been used to predict the large-scale distribution of the vector. However, these studies are not temporally-explicit and can not be used to predict the seasonality in C. imicola abundances. Between 2001 and 2006, longitudinal entomological surveillance was carried out throughout Italy, and provided a comprehensive spatio-temporal dataset of C. imicola catches in Onderstepoort-type black-light traps, in particular in Sardinia where the species is considered endemic.","DOI":"10.1186/1756-3305-5-270","ISSN":"1756-3305","journalAbbreviation":"Parasites &amp; Vectors","author":[{"family":"Rigot","given":"Thibaud"},{"family":"Conte","given":"Annamaria"},{"family":"Goffredo","given":"Maria"},{"family":"Ducheyne","given":"Els"},{"family":"Hendrickx","given":"Guy"},{"family":"Gilbert","given":"Marius"}],"issued":{"date-parts":[["2012",11,22]]}}}],"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(Rigot </w:t>
            </w:r>
            <w:r w:rsidR="00EA4D79" w:rsidRPr="00EA4D79">
              <w:rPr>
                <w:i/>
                <w:iCs/>
                <w:sz w:val="20"/>
              </w:rPr>
              <w:t>et al.</w:t>
            </w:r>
            <w:r w:rsidR="00EA4D79" w:rsidRPr="00EA4D79">
              <w:rPr>
                <w:sz w:val="20"/>
              </w:rPr>
              <w:t xml:space="preserve"> 2012)</w:t>
            </w:r>
            <w:r w:rsidRPr="006D3EC4">
              <w:rPr>
                <w:rFonts w:eastAsia="Times New Roman"/>
                <w:color w:val="000000"/>
                <w:sz w:val="20"/>
                <w:szCs w:val="20"/>
              </w:rPr>
              <w:fldChar w:fldCharType="end"/>
            </w:r>
          </w:p>
        </w:tc>
        <w:tc>
          <w:tcPr>
            <w:tcW w:w="1350" w:type="dxa"/>
            <w:shd w:val="clear" w:color="auto" w:fill="auto"/>
            <w:noWrap/>
            <w:hideMark/>
          </w:tcPr>
          <w:p w14:paraId="4A7CFBA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37CEDA75"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 imicola</w:t>
            </w:r>
          </w:p>
        </w:tc>
        <w:tc>
          <w:tcPr>
            <w:tcW w:w="1085" w:type="dxa"/>
            <w:shd w:val="clear" w:color="auto" w:fill="auto"/>
            <w:noWrap/>
            <w:hideMark/>
          </w:tcPr>
          <w:p w14:paraId="159F9B7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271BD95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GLM</w:t>
            </w:r>
          </w:p>
        </w:tc>
        <w:tc>
          <w:tcPr>
            <w:tcW w:w="3143" w:type="dxa"/>
            <w:shd w:val="clear" w:color="auto" w:fill="auto"/>
            <w:noWrap/>
            <w:hideMark/>
          </w:tcPr>
          <w:p w14:paraId="726E499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Daily minimum and maximum temp, monthly mean, minimum, and maximum land surface temperature</w:t>
            </w:r>
          </w:p>
        </w:tc>
        <w:tc>
          <w:tcPr>
            <w:tcW w:w="2255" w:type="dxa"/>
            <w:shd w:val="clear" w:color="auto" w:fill="auto"/>
            <w:noWrap/>
            <w:hideMark/>
          </w:tcPr>
          <w:p w14:paraId="0C09A49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Parameters</w:t>
            </w:r>
          </w:p>
        </w:tc>
      </w:tr>
      <w:tr w:rsidR="00AE7B15" w:rsidRPr="006D3EC4" w14:paraId="7DA53573" w14:textId="77777777" w:rsidTr="00A93316">
        <w:trPr>
          <w:trHeight w:val="300"/>
        </w:trPr>
        <w:tc>
          <w:tcPr>
            <w:tcW w:w="1169" w:type="dxa"/>
            <w:shd w:val="clear" w:color="auto" w:fill="auto"/>
            <w:noWrap/>
            <w:hideMark/>
          </w:tcPr>
          <w:p w14:paraId="1CCE9E75" w14:textId="00AE140E"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{"citationID":"P7M8sSGU","properties":{"formattedCitation":"(Tatem {\\i{}et al.} 2003)","plainCitation":"(Tatem et al. 2003)","noteIndex":0},"citationItems":[{"id":7812,"uris":["http://zotero.org/users/275805/items/E64TQRNL"],"uri":["http://zotero.org/users/275805/items/E64TQRNL"],"itemData":{"id":7812,"type":"article-journal","title":"Prediction of bluetongue vector distribution in Europe and north Africa using satellite imagery","container-title":"Veterinary Microbiology","page":"13-29","volume":"97","issue":"1","source":"ScienceDirect","abstract":"Bluetongue is an infectious, non-contagious arboviral disease thought to infect all known ruminant species. Since 1998, an unprecedented epizootic of the disease has occurred in the Mediterranean region, resulting in the deaths of over 800,000 sheep to date. Bluetongue virus (BTV) is transmitted by biting midges of which one species, Culicoides imicola, is the major vector in the old world. C. imicola was trapped for 2 years at 87 sites across Portugal and models were developed for predicting the presence and abundance of the midge at these sites. Discriminant analysis was used to identify the best models from 40 temporally Fourier-processed 1km spatial resolution remotely-sensed variables. The best models correctly predicted presence and absence at 83 of the 87 sites, and abundance at 76 sites. The models were then used to predict C. imicola presence and abundance elsewhere across Europe and north Africa. C. imicola was predicted to be present and in high abundance at the majority of areas affected in the recent bluetongue epizootic, including the Balearics, Sardinia, Corsica, Sicily, areas of mainland Italy, large areas of Greece, western Turkey and northern Algeria and Tunisia.","DOI":"10.1016/j.vetmic.2003.08.009","ISSN":"0378-1135","journalAbbreviation":"Veterinary Microbiology","author":[{"family":"Tatem","given":"A. J"},{"family":"Baylis","given":"M"},{"family":"Mellor","given":"P. S"},{"family":"Purse","given":"B. V"},{"family":"Capela","given":"R"},{"family":"Pena","given":"I"},{"family":"Rogers","given":"D. J"}],"issued":{"date-parts":[["2003",12,2]]}}}],"schema":"https://github.com/citation-style-language/schema/raw/master/csl-citation.json"}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(Tatem </w:t>
            </w:r>
            <w:r w:rsidR="00EA4D79" w:rsidRPr="00EA4D79">
              <w:rPr>
                <w:i/>
                <w:iCs/>
                <w:sz w:val="20"/>
              </w:rPr>
              <w:t>et al.</w:t>
            </w:r>
            <w:r w:rsidR="00EA4D79" w:rsidRPr="00EA4D79">
              <w:rPr>
                <w:sz w:val="20"/>
              </w:rPr>
              <w:t xml:space="preserve"> 2003)</w:t>
            </w:r>
            <w:r w:rsidRPr="006D3EC4">
              <w:rPr>
                <w:rFonts w:eastAsia="Times New Roman"/>
                <w:color w:val="000000"/>
                <w:sz w:val="20"/>
                <w:szCs w:val="20"/>
              </w:rPr>
              <w:fldChar w:fldCharType="end"/>
            </w:r>
          </w:p>
        </w:tc>
        <w:tc>
          <w:tcPr>
            <w:tcW w:w="1350" w:type="dxa"/>
            <w:shd w:val="clear" w:color="auto" w:fill="auto"/>
            <w:noWrap/>
            <w:hideMark/>
          </w:tcPr>
          <w:p w14:paraId="3DA1BD6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Bluetongue</w:t>
            </w:r>
          </w:p>
        </w:tc>
        <w:tc>
          <w:tcPr>
            <w:tcW w:w="1979" w:type="dxa"/>
            <w:shd w:val="clear" w:color="auto" w:fill="auto"/>
            <w:noWrap/>
            <w:hideMark/>
          </w:tcPr>
          <w:p w14:paraId="00EBFC87"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Cu. imicola</w:t>
            </w:r>
          </w:p>
        </w:tc>
        <w:tc>
          <w:tcPr>
            <w:tcW w:w="1085" w:type="dxa"/>
            <w:shd w:val="clear" w:color="auto" w:fill="auto"/>
            <w:noWrap/>
            <w:hideMark/>
          </w:tcPr>
          <w:p w14:paraId="78436DE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4DDD27B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Stepwise discriminant analysis</w:t>
            </w:r>
          </w:p>
        </w:tc>
        <w:tc>
          <w:tcPr>
            <w:tcW w:w="3143" w:type="dxa"/>
            <w:shd w:val="clear" w:color="auto" w:fill="auto"/>
            <w:noWrap/>
            <w:hideMark/>
          </w:tcPr>
          <w:p w14:paraId="38497E3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Monthly maximum land surface temperature, monthly mean air temperature, monthly variance land surface temperature</w:t>
            </w:r>
          </w:p>
        </w:tc>
        <w:tc>
          <w:tcPr>
            <w:tcW w:w="2255" w:type="dxa"/>
            <w:shd w:val="clear" w:color="auto" w:fill="auto"/>
            <w:noWrap/>
            <w:hideMark/>
          </w:tcPr>
          <w:p w14:paraId="767B923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2CA7D59B" w14:textId="77777777" w:rsidTr="00A93316">
        <w:trPr>
          <w:trHeight w:val="300"/>
        </w:trPr>
        <w:tc>
          <w:tcPr>
            <w:tcW w:w="1169" w:type="dxa"/>
            <w:shd w:val="clear" w:color="auto" w:fill="auto"/>
            <w:noWrap/>
            <w:hideMark/>
          </w:tcPr>
          <w:p w14:paraId="46006527" w14:textId="33E784F7"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{"citationID":"kUUUiBDU","properties":{"formattedCitation":"(Escobar {\\i{}et al.} 2016a)","plainCitation":"(Escobar et al. 2016a)","noteIndex":0},"citationItems":[{"id":7767,"uris":["http://zotero.org/users/275805/items/GJEDQG7I"],"uri":["http://zotero.org/users/275805/items/GJEDQG7I"],"itemData":{"id":7767,"type":"article-journal","title":"Forecasting Chikungunya spread in the Americas via data-driven empirical approaches","container-title":"Parasites &amp; Vectors","page":"112","volume":"9","issue":"1","source":"BioMed Central","abstract":"Chikungunya virus (CHIKV) is endemic to Africa and Asia, but the Asian genotype invaded the Americas in 2013. The fast increase of human infections in the American epidemic emphasized the urgency of developing detailed predictions of case numbers and the potential geographic spread of this disease.","DOI":"10.1186/s13071-016-1403-y","ISSN":"1756-3305","journalAbbreviation":"Parasites &amp; Vectors","author":[{"family":"Escobar","given":"Luis E."},{"family":"Qiao","given":"Huijie"},{"family":"Peterson","given":"A. Townsend"}],"issued":{"date-parts":[["2016",2,29]]}}}],"schema":"https://github.com/citation-style-language/schema/raw/master/csl-citation.json"}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(Escobar </w:t>
            </w:r>
            <w:r w:rsidR="00EA4D79" w:rsidRPr="00EA4D79">
              <w:rPr>
                <w:i/>
                <w:iCs/>
                <w:sz w:val="20"/>
              </w:rPr>
              <w:t>et al.</w:t>
            </w:r>
            <w:r w:rsidR="00EA4D79" w:rsidRPr="00EA4D79">
              <w:rPr>
                <w:sz w:val="20"/>
              </w:rPr>
              <w:t xml:space="preserve"> 2016a)</w:t>
            </w:r>
            <w:r w:rsidRPr="006D3EC4">
              <w:rPr>
                <w:rFonts w:eastAsia="Times New Roman"/>
                <w:color w:val="000000"/>
                <w:sz w:val="20"/>
                <w:szCs w:val="20"/>
              </w:rPr>
              <w:fldChar w:fldCharType="end"/>
            </w:r>
          </w:p>
        </w:tc>
        <w:tc>
          <w:tcPr>
            <w:tcW w:w="1350" w:type="dxa"/>
            <w:shd w:val="clear" w:color="auto" w:fill="auto"/>
            <w:noWrap/>
            <w:hideMark/>
          </w:tcPr>
          <w:p w14:paraId="1835640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CHIKV</w:t>
            </w:r>
          </w:p>
        </w:tc>
        <w:tc>
          <w:tcPr>
            <w:tcW w:w="1979" w:type="dxa"/>
            <w:shd w:val="clear" w:color="auto" w:fill="auto"/>
            <w:noWrap/>
            <w:hideMark/>
          </w:tcPr>
          <w:p w14:paraId="534C5396"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322F8DE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65641D7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NicheA</w:t>
            </w:r>
          </w:p>
        </w:tc>
        <w:tc>
          <w:tcPr>
            <w:tcW w:w="3143" w:type="dxa"/>
            <w:shd w:val="clear" w:color="auto" w:fill="auto"/>
            <w:noWrap/>
            <w:hideMark/>
          </w:tcPr>
          <w:p w14:paraId="4CCBB87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 xml:space="preserve">WorldClim (annual mean temperature, mean diurnal temperature range, isothermality, temperature seasonality, maximum temperature of the warmest month, minimum temperature of the coldest month, temperature annual range, </w:t>
            </w:r>
            <w:r w:rsidRPr="006D3EC4">
              <w:rPr>
                <w:rFonts w:eastAsia="Times New Roman"/>
                <w:color w:val="000000"/>
                <w:sz w:val="20"/>
                <w:szCs w:val="20"/>
              </w:rPr>
              <w:lastRenderedPageBreak/>
              <w:t>mean temperature of warmest quarter, mean temperature of coldest quarter)</w:t>
            </w:r>
          </w:p>
        </w:tc>
        <w:tc>
          <w:tcPr>
            <w:tcW w:w="2255" w:type="dxa"/>
            <w:shd w:val="clear" w:color="auto" w:fill="auto"/>
            <w:noWrap/>
            <w:hideMark/>
          </w:tcPr>
          <w:p w14:paraId="3E71BE8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lastRenderedPageBreak/>
              <w:t>Central values of climate conditions studied were around 25°C, the temperature corresponding to high reported CHIKV R</w:t>
            </w:r>
            <w:r w:rsidRPr="006D3EC4">
              <w:rPr>
                <w:rFonts w:eastAsia="Times New Roman"/>
                <w:color w:val="000000"/>
                <w:sz w:val="20"/>
                <w:szCs w:val="20"/>
                <w:vertAlign w:val="subscript"/>
              </w:rPr>
              <w:t>o</w:t>
            </w:r>
          </w:p>
        </w:tc>
      </w:tr>
      <w:tr w:rsidR="00AE7B15" w:rsidRPr="006D3EC4" w14:paraId="60B04CBF" w14:textId="77777777" w:rsidTr="00A93316">
        <w:trPr>
          <w:trHeight w:val="300"/>
        </w:trPr>
        <w:tc>
          <w:tcPr>
            <w:tcW w:w="1169" w:type="dxa"/>
            <w:shd w:val="clear" w:color="auto" w:fill="auto"/>
            <w:noWrap/>
            <w:hideMark/>
          </w:tcPr>
          <w:p w14:paraId="3DBA5F7E" w14:textId="02B36CF0"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{"citationID":"KQFxswh1","properties":{"formattedCitation":"(Nsoesie {\\i{}et al.} 2016)","plainCitation":"(Nsoesie et al. 2016)","noteIndex":0},"citationItems":[{"id":7714,"uris":["http://zotero.org/users/275805/items/9WJQW5ZK"],"uri":["http://zotero.org/users/275805/items/9WJQW5ZK"],"itemData":{"id":7714,"type":"article-journal","title":"Global distribution and environmental suitability for chikungunya virus, 1952 to 2015","container-title":"Euro surveillance : bulletin Europeen sur les maladies transmissibles = European communicable disease bulletin","volume":"21","issue":"20","source":"PubMed Central","abstract":"Chikungunya fever is an acute febrile illness caused by the chikungunya virus (CHIKV), which is transmitted to humans by Aedes mosquitoes. Although chikungunya fever is rarely fatal, patients can experience debilitating symptoms that last from months to years. Here we comprehensively assess the global distribution of chikungunya and produce high-resolution maps, using an established modelling framework that combines a comprehensive occurrence database with bespoke environmental correlates, including up-to-date Aedes distribution maps. This enables estimation of the current total population-at-risk of CHIKV transmission and identification of areas where the virus may spread to in the future. We identified 94 countries with good evidence for current CHIKV presence and a set of countries in the New and Old World with potential for future CHIKV establishment, demonstrated by high environmental suitability for transmission and in some cases previous sporadic reports. Aedes aegypti presence was identified as one of the major contributing factors to CHIKV transmission but significant geographical heterogeneity exists. We estimated 1.3 billion people are living in areas at-risk of CHIKV transmission. These maps provide a baseline for identifying areas where prevention and control efforts should be prioritised and can be used to guide estimation of the global burden of CHIKV.","URL":"https://www.ncbi.nlm.nih.gov/pmc/articles/PMC4902126/","DOI":"10.2807/1560-7917.ES.2016.21.20.30234","ISSN":"1025-496X","note":"PMID: 27239817\nPMCID: PMC4902126","journalAbbreviation":"Euro Surveill","author":[{"family":"Nsoesie","given":"EO"},{"family":"Kraemer","given":"MU"},{"family":"Golding","given":"N"},{"family":"Pigott","given":"DM"},{"family":"Brady","given":"OJ"},{"family":"Moyes","given":"CL"},{"family":"Johansson","given":"MA"},{"family":"Gething","given":"PW"},{"family":"Velayudhan","given":"R"},{"family":"Khan","given":"K"},{"family":"Hay","given":"SI"},{"family":"Brownstein","given":"JS"}],"issued":{"date-parts":[["2016",5,19]]},"accessed":{"date-parts":[["2019",3,4]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(Nsoesie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31EE49D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CHIKV</w:t>
            </w:r>
          </w:p>
        </w:tc>
        <w:tc>
          <w:tcPr>
            <w:tcW w:w="1979" w:type="dxa"/>
            <w:shd w:val="clear" w:color="auto" w:fill="auto"/>
            <w:noWrap/>
            <w:hideMark/>
          </w:tcPr>
          <w:p w14:paraId="1D940B4F"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5382AAB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56DD1B1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7B64C93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Land surface temperature</w:t>
            </w:r>
          </w:p>
        </w:tc>
        <w:tc>
          <w:tcPr>
            <w:tcW w:w="2255" w:type="dxa"/>
            <w:shd w:val="clear" w:color="auto" w:fill="auto"/>
            <w:noWrap/>
            <w:hideMark/>
          </w:tcPr>
          <w:p w14:paraId="64886C5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502DA2A1" w14:textId="77777777" w:rsidTr="00A93316">
        <w:trPr>
          <w:trHeight w:val="300"/>
        </w:trPr>
        <w:tc>
          <w:tcPr>
            <w:tcW w:w="1169" w:type="dxa"/>
            <w:shd w:val="clear" w:color="auto" w:fill="auto"/>
            <w:noWrap/>
            <w:hideMark/>
          </w:tcPr>
          <w:p w14:paraId="667D15C0" w14:textId="2EC780A7"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{"citationID":"eJinv4I8","properties":{"formattedCitation":"(Bhatt {\\i{}et al.} 2013)","plainCitation":"(Bhatt et al. 2013)","noteIndex":0},"citationItems":[{"id":4623,"uris":["http://zotero.org/groups/362967/items/JBTF545X"],"uri":["http://zotero.org/groups/362967/items/JBTF545X"],"itemData":{"id":4623,"type":"article-journal","title":"The global distribution and burden of dengue","container-title":"Nature","page":"504-507","volume":"496","issue":"7446","source":"www.nature.com","abstract":"Dengue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evaluation.","DOI":"10.1038/nature12060","ISSN":"0028-0836","journalAbbreviation":"Nature","language":"en","author":[{"family":"Bhatt","given":"Samir"},{"family":"Gething","given":"Peter W."},{"family":"Brady","given":"Oliver J."},{"family":"Messina","given":"Jane P."},{"family":"Farlow","given":"Andrew W."},{"family":"Moyes","given":"Catherine L."},{"family":"Drake","given":"John M."},{"family":"Brownstein","given":"John S."},{"family":"Hoen","given":"Anne G."},{"family":"Sankoh","given":"Osman"},{"family":"Myers","given":"Monica F."},{"family":"George","given":"Dylan B."},{"family":"Jaenisch","given":"Thomas"},{"family":"Wint","given":"G. R. William"},{"family":"Simmons","given":"Cameron P."},{"family":"Scott","given":"Thomas W."},{"family":"Farrar","given":"Jeremy J."},{"family":"Hay","given":"Simon I."}],"issued":{"date-parts":[["2013",4,25]]}}}],"schema":"https://github.com/citation-style-language/schema/raw/master/csl-citation.json"}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(Bhatt </w:t>
            </w:r>
            <w:r w:rsidR="00EA4D79" w:rsidRPr="00EA4D79">
              <w:rPr>
                <w:i/>
                <w:iCs/>
                <w:sz w:val="20"/>
              </w:rPr>
              <w:t>et al.</w:t>
            </w:r>
            <w:r w:rsidR="00EA4D79" w:rsidRPr="00EA4D79">
              <w:rPr>
                <w:sz w:val="20"/>
              </w:rPr>
              <w:t xml:space="preserve"> 2013)</w:t>
            </w:r>
            <w:r w:rsidRPr="006D3EC4">
              <w:rPr>
                <w:rFonts w:eastAsia="Times New Roman"/>
                <w:color w:val="000000"/>
                <w:sz w:val="20"/>
                <w:szCs w:val="20"/>
              </w:rPr>
              <w:fldChar w:fldCharType="end"/>
            </w:r>
          </w:p>
        </w:tc>
        <w:tc>
          <w:tcPr>
            <w:tcW w:w="1350" w:type="dxa"/>
            <w:shd w:val="clear" w:color="auto" w:fill="auto"/>
            <w:noWrap/>
            <w:hideMark/>
          </w:tcPr>
          <w:p w14:paraId="67B842D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DENV</w:t>
            </w:r>
          </w:p>
        </w:tc>
        <w:tc>
          <w:tcPr>
            <w:tcW w:w="1979" w:type="dxa"/>
            <w:shd w:val="clear" w:color="auto" w:fill="auto"/>
            <w:noWrap/>
            <w:hideMark/>
          </w:tcPr>
          <w:p w14:paraId="22E8EEA6"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 xml:space="preserve">Aedes aegypti </w:t>
            </w:r>
          </w:p>
        </w:tc>
        <w:tc>
          <w:tcPr>
            <w:tcW w:w="1085" w:type="dxa"/>
            <w:shd w:val="clear" w:color="auto" w:fill="auto"/>
            <w:noWrap/>
            <w:hideMark/>
          </w:tcPr>
          <w:p w14:paraId="5D18272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02A2DCA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3CF7080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Monthly minimum, maximum, and mean temperature restricted by DENV transmission suitability</w:t>
            </w:r>
          </w:p>
        </w:tc>
        <w:tc>
          <w:tcPr>
            <w:tcW w:w="2255" w:type="dxa"/>
            <w:shd w:val="clear" w:color="auto" w:fill="auto"/>
            <w:noWrap/>
            <w:hideMark/>
          </w:tcPr>
          <w:p w14:paraId="6BFC7BF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311807FD" w14:textId="77777777" w:rsidTr="00A93316">
        <w:trPr>
          <w:trHeight w:val="300"/>
        </w:trPr>
        <w:tc>
          <w:tcPr>
            <w:tcW w:w="1169" w:type="dxa"/>
            <w:shd w:val="clear" w:color="auto" w:fill="auto"/>
            <w:noWrap/>
            <w:hideMark/>
          </w:tcPr>
          <w:p w14:paraId="01C4CEF0" w14:textId="7D467DA7"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{"citationID":"qxdDuWv8","properties":{"formattedCitation":"(Mweya {\\i{}et al.} 2016)","plainCitation":"(Mweya et al. 2016)","noteIndex":0},"citationItems":[{"id":7752,"uris":["http://zotero.org/users/275805/items/YGIXIY5J"],"uri":["http://zotero.org/users/275805/items/YGIXIY5J"],"itemData":{"id":7752,"type":"article-journal","title":"Climate Change Influences Potential Distribution of Infected Aedes aegypti Co-Occurrence with Dengue Epidemics Risk Areas in Tanzania","container-title":"PLOS ONE","page":"e0162649","volume":"11","issue":"9","source":"PLoS Journals","abstract":"Background Dengue is the second most important vector-borne disease of humans globally after malaria. Incidence of dengue infections has dramatically increased recently, potentially due to changing climate. Climate projections models predict increases in average annual temperature, precipitation and extreme events in the future. The objective of this study was to assess the effect of changing climate on distribution of dengue vectors in relation to epidemic risk areas in Tanzania. Methods/Findings We used ecological niche models that incorporated presence-only infected Aedes aegypti data co-occurrence with dengue virus to estimate potential distribution of epidemic risk areas. Model input data on infected Ae. aegypti was collected during the May to June 2014 epidemic in Dar es Salaam. Bioclimatic predictors for current and future projections were also used as model inputs. Model predictions indicated that habitat suitability for infected Ae. aegypti co-occurrence with dengue virus in current scenarios is highly localized in the coastal areas, including Dar es Salaam, Pwani, Morogoro, Tanga and Zanzibar. Models indicate that areas of Kigoma, Ruvuma, Lindi, and those around Lake Victoria are also at risk. Projecting to 2020, we show that risk emerges in Mara, Arusha, Kagera and Manyara regions, but disappears in parts of Morogoro, Ruvuma and near Lake Nyasa. In 2050 climate scenario, the predicted habitat suitability of infected Ae. aegypti co-occurrence with dengue shifted towards the central and north-eastern parts with intensification in areas around all major lakes. Generally, model findings indicated that the coastal regions would remain at high risk for dengue epidemic through 2050. Conclusion/Significance Models incorporating climate change scenarios to predict emerging risk areas for dengue epidemics in Tanzania show that the anticipated risk is immense and results help guiding public health policy decisions on surveillance and control of dengue epidemics. A collaborative approach is recommended to develop and adapt control and prevention strategies.","DOI":"10.1371/journal.pone.0162649","ISSN":"1932-6203","journalAbbreviation":"PLOS ONE","language":"en","author":[{"family":"Mweya","given":"Clement N."},{"family":"Kimera","given":"Sharadhuli I."},{"family":"Stanley","given":"Grades"},{"family":"Misinzo","given":"Gerald"},{"family":"Mboera","given":"Leonard E. G."}],"issued":{"date-parts":[["2016",9,28]]}}}],"schema":"https://github.com/citation-style-language/schema/raw/master/csl-citation.json"}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(Mweya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7643757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DENV</w:t>
            </w:r>
          </w:p>
        </w:tc>
        <w:tc>
          <w:tcPr>
            <w:tcW w:w="1979" w:type="dxa"/>
            <w:shd w:val="clear" w:color="auto" w:fill="auto"/>
            <w:noWrap/>
            <w:hideMark/>
          </w:tcPr>
          <w:p w14:paraId="14FF7EB4"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w:t>
            </w:r>
          </w:p>
        </w:tc>
        <w:tc>
          <w:tcPr>
            <w:tcW w:w="1085" w:type="dxa"/>
            <w:shd w:val="clear" w:color="auto" w:fill="auto"/>
            <w:noWrap/>
            <w:hideMark/>
          </w:tcPr>
          <w:p w14:paraId="28AC89A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 pupae, adults</w:t>
            </w:r>
          </w:p>
        </w:tc>
        <w:tc>
          <w:tcPr>
            <w:tcW w:w="1979" w:type="dxa"/>
            <w:shd w:val="clear" w:color="auto" w:fill="auto"/>
            <w:noWrap/>
            <w:hideMark/>
          </w:tcPr>
          <w:p w14:paraId="7E29590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134861F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(annual temperature range, mean temperature of warmest quarter, temperature seasonality, minimum temperature of coldest month, maximum temperature of warmest month, mean diurnal range)</w:t>
            </w:r>
          </w:p>
        </w:tc>
        <w:tc>
          <w:tcPr>
            <w:tcW w:w="2255" w:type="dxa"/>
            <w:shd w:val="clear" w:color="auto" w:fill="auto"/>
          </w:tcPr>
          <w:p w14:paraId="5AE227A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07B07E81" w14:textId="77777777" w:rsidTr="00A93316">
        <w:trPr>
          <w:trHeight w:val="300"/>
        </w:trPr>
        <w:tc>
          <w:tcPr>
            <w:tcW w:w="1169" w:type="dxa"/>
            <w:shd w:val="clear" w:color="auto" w:fill="auto"/>
            <w:noWrap/>
          </w:tcPr>
          <w:p w14:paraId="01F731FB" w14:textId="737BF514"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{"citationID":"a1ef1t48rf6","properties":{"formattedCitation":"(Alegana {\\i{}et al.} 2014)","plainCitation":"(Alegana et al. 2014)","noteIndex":0},"citationItems":[{"id":"P6k4PRMa/IJwRqjej","uris":["http://zotero.org/users/local/3ur7oWQd/items/64SLALHG"],"uri":["http://zotero.org/users/local/3ur7oWQd/items/64SLALHG"],"itemData":{"id":47,"type":"article-journal","title":"Modelling the Incidence of Plasmodium vivax and Plasmodium falciparum Malaria in Afghanistan 2006–2009","container-title":"PLoS ONE","page":"e102304","volume":"9","issue":"7","source":"Crossref","DOI":"10.1371/journal.pone.0102304","ISSN":"1932-6203","language":"en","author":[{"family":"Alegana","given":"Victor A."},{"family":"Wright","given":"Jim A."},{"family":"Nahzat","given":"Sami M."},{"family":"Butt","given":"Waqar"},{"family":"Sediqi","given":"Amad W."},{"family":"Habib","given":"Naeem"},{"family":"Snow","given":"Robert W."},{"family":"Atkinson","given":"Peter M."},{"family":"Noor","given":"Abdisalan M."}],"editor":[{"family":"Carvalho","given":"Luzia H."}],"issued":{"date-parts":[["2014",7,17]]}}}],"schema":"https://github.com/citation-style-language/schema/raw/master/csl-citation.json"}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(Alegana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tcPr>
          <w:p w14:paraId="03451F1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Malaria</w:t>
            </w:r>
          </w:p>
        </w:tc>
        <w:tc>
          <w:tcPr>
            <w:tcW w:w="1979" w:type="dxa"/>
            <w:shd w:val="clear" w:color="auto" w:fill="auto"/>
            <w:noWrap/>
          </w:tcPr>
          <w:p w14:paraId="0DC64B9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Human</w:t>
            </w:r>
          </w:p>
        </w:tc>
        <w:tc>
          <w:tcPr>
            <w:tcW w:w="1085" w:type="dxa"/>
            <w:shd w:val="clear" w:color="auto" w:fill="auto"/>
            <w:noWrap/>
          </w:tcPr>
          <w:p w14:paraId="0B4F8E7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61A161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Bayesian conditional autoregressive model</w:t>
            </w:r>
          </w:p>
        </w:tc>
        <w:tc>
          <w:tcPr>
            <w:tcW w:w="3143" w:type="dxa"/>
            <w:shd w:val="clear" w:color="auto" w:fill="auto"/>
            <w:noWrap/>
          </w:tcPr>
          <w:p w14:paraId="31CD447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Temperature suitability index</w:t>
            </w:r>
          </w:p>
        </w:tc>
        <w:tc>
          <w:tcPr>
            <w:tcW w:w="2255" w:type="dxa"/>
            <w:shd w:val="clear" w:color="auto" w:fill="auto"/>
            <w:noWrap/>
          </w:tcPr>
          <w:p w14:paraId="2AC94D8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Parameters</w:t>
            </w:r>
          </w:p>
        </w:tc>
      </w:tr>
      <w:tr w:rsidR="00AE7B15" w:rsidRPr="006D3EC4" w14:paraId="110DFA1A" w14:textId="77777777" w:rsidTr="00A93316">
        <w:trPr>
          <w:trHeight w:val="300"/>
        </w:trPr>
        <w:tc>
          <w:tcPr>
            <w:tcW w:w="1169" w:type="dxa"/>
            <w:shd w:val="clear" w:color="auto" w:fill="auto"/>
            <w:noWrap/>
            <w:hideMark/>
          </w:tcPr>
          <w:p w14:paraId="18F1C666" w14:textId="383E6941"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{"citationID":"CMDg8EGw","properties":{"formattedCitation":"(Foley {\\i{}et al.} 2014)","plainCitation":"(Foley et al. 2014)","noteIndex":0},"citationItems":[{"id":7792,"uris":["http://zotero.org/users/275805/items/9LN9GNDI"],"uri":["http://zotero.org/users/275805/items/9LN9GNDI"],"itemData":{"id":7792,"type":"article-journal","title":"Geographic distribution, evolution, and disease importance of species within the Neotropical Anopheles albitarsis Group (Diptera, Culicidae)","container-title":"Journal of Vector Ecology","page":"168-181","volume":"39","issue":"1","source":"Wiley Online Library","abstract":"The Anopheles albitarsis group of mosquitoes comprises eight recognized species and one mitochondrial lineage. Our knowledge of malaria vectorial importance and the distribution and evolution of these taxa is incomplete. We constructed ecological niche models (ENMs) for these taxa and used hypothesized phylogenetic relationships and ENMs to investigate environmental and ecological divergence associated with speciation events. Two major clades were identified, one north (Clade 1) and one south (Clade 2) of the Amazon River that likely is or was a barrier to mosquito movement. Clade 1 species occur more often in higher average temperature locations than Clade 2 species, and taxon splits within Clade 1 corresponded with a greater divergence of variables related to precipitation than was the case within Clade 2. Comparison of the ecological profiles of sympatric species and sister species support the idea that phylogenetic proximity is related to ecological similarity. Anopheles albitarsis I, An. janconnae, and An. marajoara ENMs had the highest percentage of their predicted suitable habitat overlapping distribution models of Plasmodium falciparum and P. vivax, and warrant additional studies of the transmission potential of these species. Phylogenetic proximity may be related to malaria vectorial importance within the Albitarsis Group.","DOI":"10.1111/j.1948-7134.2014.12084.x","ISSN":"1948-7134","language":"en","author":[{"family":"Foley","given":"Desmond H."},{"family":"Linton","given":"Yvonne-Marie"},{"family":"Ruiz‐Lopez","given":"J. Freddy"},{"family":"Conn","given":"Jan E."},{"family":"Sallum","given":"Maria Anice M."},{"family":"Póvoa","given":"Marinete M."},{"family":"Bergo","given":"Eduardo S."},{"family":"Oliveira","given":"Tatiane M. P."},{"family":"Sucupira","given":"Izis"},{"family":"Wilkerson","given":"Richard C."}],"issued":{"date-parts":[["2014"]]}}}],"schema":"https://github.com/citation-style-language/schema/raw/master/csl-citation.json"}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(Foley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0E54FEF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Malaria</w:t>
            </w:r>
          </w:p>
        </w:tc>
        <w:tc>
          <w:tcPr>
            <w:tcW w:w="1979" w:type="dxa"/>
            <w:shd w:val="clear" w:color="auto" w:fill="auto"/>
            <w:noWrap/>
            <w:hideMark/>
          </w:tcPr>
          <w:p w14:paraId="6DC6F1C5"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Anopheles albitarsis, An. deaneorum, An. janconnae,  An. marajoara, An. oryzalimnetes, An. albitarsis F, An. albitarsis G, An. albitarsis I, An. albitarsis</w:t>
            </w:r>
          </w:p>
        </w:tc>
        <w:tc>
          <w:tcPr>
            <w:tcW w:w="1085" w:type="dxa"/>
            <w:shd w:val="clear" w:color="auto" w:fill="auto"/>
            <w:noWrap/>
            <w:hideMark/>
          </w:tcPr>
          <w:p w14:paraId="043605C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278997C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648FEB3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 xml:space="preserve">Bioclim (mean diurnal range, minimum temperature of coldest month, annual temperature range, mean temperature of wettest quarter, mean temperature of driest quarter, mean temperature of warmest quarter, mean temperature of coldest quarter) </w:t>
            </w:r>
          </w:p>
        </w:tc>
        <w:tc>
          <w:tcPr>
            <w:tcW w:w="2255" w:type="dxa"/>
            <w:shd w:val="clear" w:color="auto" w:fill="auto"/>
            <w:noWrap/>
            <w:hideMark/>
          </w:tcPr>
          <w:p w14:paraId="003F222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30DE0400" w14:textId="77777777" w:rsidTr="00A93316">
        <w:trPr>
          <w:trHeight w:val="300"/>
        </w:trPr>
        <w:tc>
          <w:tcPr>
            <w:tcW w:w="1169" w:type="dxa"/>
            <w:shd w:val="clear" w:color="auto" w:fill="auto"/>
            <w:noWrap/>
          </w:tcPr>
          <w:p w14:paraId="6040794F" w14:textId="7A8879CA"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{"citationID":"avd0nsgiji","properties":{"formattedCitation":"(Hundessa {\\i{}et al.} 2018)","plainCitation":"(Hundessa et al. 2018)","noteIndex":0},"citationItems":[{"id":"P6k4PRMa/2tfdgw9R","uris":["http://zotero.org/users/local/3ur7oWQd/items/UWYPQVKP"],"uri":["http://zotero.org/users/local/3ur7oWQd/items/UWYPQVKP"],"itemData":{"id":43,"type":"article-journal","title":"Projecting potential spatial and temporal changes in the distribution of Plasmodium vivax and Plasmodium falciparum malaria in China with climate change","container-title":"Science of The Total Environment","page":"1285-1293","volume":"627","source":"Crossref","DOI":"10.1016/j.scitotenv.2018.01.300","ISSN":"00489697","language":"en","author":[{"family":"Hundessa","given":"Samuel"},{"family":"Williams","given":"Gail"},{"family":"Li","given":"Shanshan"},{"family":"Liu","given":"De Li"},{"family":"Cao","given":"Wei"},{"family":"Ren","given":"Hongyan"},{"family":"Guo","given":"Jinpeng"},{"family":"Gasparrini","given":"Antonio"},{"family":"Ebi","given":"Kristie"},{"family":"Zhang","given":"Wenyi"},{"family":"Guo","given":"Yuming"}],"issued":{"date-parts":[["2018",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(Hundessa </w:t>
            </w:r>
            <w:r w:rsidR="00EA4D79" w:rsidRPr="00EA4D79">
              <w:rPr>
                <w:i/>
                <w:iCs/>
                <w:sz w:val="20"/>
              </w:rPr>
              <w:t>et al.</w:t>
            </w:r>
            <w:r w:rsidR="00EA4D79" w:rsidRPr="00EA4D79">
              <w:rPr>
                <w:sz w:val="20"/>
              </w:rPr>
              <w:t xml:space="preserve"> 2018)</w:t>
            </w:r>
            <w:r w:rsidRPr="006D3EC4">
              <w:rPr>
                <w:rFonts w:eastAsia="Times New Roman"/>
                <w:color w:val="000000"/>
                <w:sz w:val="20"/>
                <w:szCs w:val="20"/>
              </w:rPr>
              <w:fldChar w:fldCharType="end"/>
            </w:r>
          </w:p>
        </w:tc>
        <w:tc>
          <w:tcPr>
            <w:tcW w:w="1350" w:type="dxa"/>
            <w:shd w:val="clear" w:color="auto" w:fill="auto"/>
            <w:noWrap/>
          </w:tcPr>
          <w:p w14:paraId="247AA6F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Malaria</w:t>
            </w:r>
          </w:p>
        </w:tc>
        <w:tc>
          <w:tcPr>
            <w:tcW w:w="1979" w:type="dxa"/>
            <w:shd w:val="clear" w:color="auto" w:fill="auto"/>
            <w:noWrap/>
          </w:tcPr>
          <w:p w14:paraId="1063566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Human</w:t>
            </w:r>
          </w:p>
        </w:tc>
        <w:tc>
          <w:tcPr>
            <w:tcW w:w="1085" w:type="dxa"/>
            <w:shd w:val="clear" w:color="auto" w:fill="auto"/>
            <w:noWrap/>
          </w:tcPr>
          <w:p w14:paraId="4DF661A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00CC19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GAM</w:t>
            </w:r>
          </w:p>
        </w:tc>
        <w:tc>
          <w:tcPr>
            <w:tcW w:w="3143" w:type="dxa"/>
            <w:shd w:val="clear" w:color="auto" w:fill="auto"/>
            <w:noWrap/>
          </w:tcPr>
          <w:p w14:paraId="046AD49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Annual mean temperature</w:t>
            </w:r>
          </w:p>
        </w:tc>
        <w:tc>
          <w:tcPr>
            <w:tcW w:w="2255" w:type="dxa"/>
            <w:shd w:val="clear" w:color="auto" w:fill="auto"/>
            <w:noWrap/>
          </w:tcPr>
          <w:p w14:paraId="116A2A1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Effect size</w:t>
            </w:r>
          </w:p>
        </w:tc>
      </w:tr>
      <w:tr w:rsidR="00AE7B15" w:rsidRPr="006D3EC4" w14:paraId="58856556" w14:textId="77777777" w:rsidTr="00A93316">
        <w:trPr>
          <w:trHeight w:val="300"/>
        </w:trPr>
        <w:tc>
          <w:tcPr>
            <w:tcW w:w="1169" w:type="dxa"/>
            <w:shd w:val="clear" w:color="auto" w:fill="auto"/>
            <w:noWrap/>
            <w:hideMark/>
          </w:tcPr>
          <w:p w14:paraId="504C5281" w14:textId="4093770C"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{"citationID":"jBs0fZtu","properties":{"formattedCitation":"(Arsevska {\\i{}et al.} 2016)","plainCitation":"(Arsevska et al. 2016)","noteIndex":0},"citationItems":[{"id":7781,"uris":["http://zotero.org/users/275805/items/NQX98A72"],"uri":["http://zotero.org/users/275805/items/NQX98A72"],"itemData":{"id":7781,"type":"article-journal","title":"Identifying Areas Suitable for the Occurrence of Rift Valley Fever in North Africa: Implications for Surveillance","container-title":"Transboundary and Emerging Diseases","page":"658-674","volume":"63","issue":"6","source":"Wiley Online Library","abstract":"Rift Valley fever (RVF) is a vector-borne zoonotic disease that has caused widespread outbreaks throughout Africa and the Arabian Peninsula, with serious consequences for livestock-based economies and public health. Although there have never been any reports of RVF in Morocco, Algeria, Tunisia and Libya, it is a priority disease in the Maghreb, due to the threat of introduction of the virus through transboundary livestock movements or infected mosquito vectors. However, the implementation of surveillance activities and early warning contingency plans requires better knowledge of the epidemiological situation. We conducted a multicriteria decision analysis, integrating host distribution with a combination of important ecological factors that drive mosquito abundance, to identify hotspots and suitable time periods for RVF enzootic circulation (i.e. stable transmission at a low to moderate level for an extended period of time) and an RVF epizootic event (i.e. a sudden occurrence of a large number of infected animals over a large geographic area) in the Maghreb. We also modelled vector species distribution using available information on vector presence and habitat preference. We found that the northern regions of the Maghreb were moderately suitable for RVF enzootics, but highly suitable for RVF epizootics. The vector species distribution model identified these regions as the most favourable mosquito habitats. Due to the low density of animal hosts and arid conditions, the desert region showed low RVF suitability, except in oases. However, the presence of competent vectors in putative unsuitable areas underlines the need for further assessments of mosquito habitat preference. This study produced monthly RVF suitability maps useful for animal health managers and veterinary services involved in designing risk-based surveillance programmes. The suitability maps can be further enhanced using existing country-specific sources of information and by incorporating knowledge – as it becomes available – on the epidemiology of the disease and distribution of vectors in the Maghreb.","DOI":"10.1111/tbed.12331","ISSN":"1865-1682","shortTitle":"Identifying Areas Suitable for the Occurrence of Rift Valley Fever in North Africa","language":"en","author":[{"family":"Arsevska","given":"E."},{"family":"Hellal","given":"J."},{"family":"Mejri","given":"S."},{"family":"Hammami","given":"S."},{"family":"Marianneau","given":"P."},{"family":"Calavas","given":"D."},{"family":"Hénaux","given":"V."}],"issued":{"date-parts":[["2016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(Arsevska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1B05F2B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4E3CED68"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vexans, Anopheles multicolor, Culex perexiguus,</w:t>
            </w:r>
          </w:p>
        </w:tc>
        <w:tc>
          <w:tcPr>
            <w:tcW w:w="1085" w:type="dxa"/>
            <w:shd w:val="clear" w:color="auto" w:fill="auto"/>
            <w:noWrap/>
            <w:hideMark/>
          </w:tcPr>
          <w:p w14:paraId="126C9EF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6C1AA6E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Multiple criteria decision making with weighted linear combination</w:t>
            </w:r>
          </w:p>
        </w:tc>
        <w:tc>
          <w:tcPr>
            <w:tcW w:w="3143" w:type="dxa"/>
            <w:shd w:val="clear" w:color="auto" w:fill="auto"/>
            <w:noWrap/>
            <w:hideMark/>
          </w:tcPr>
          <w:p w14:paraId="5581782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Monthly mean temperature</w:t>
            </w:r>
          </w:p>
        </w:tc>
        <w:tc>
          <w:tcPr>
            <w:tcW w:w="2255" w:type="dxa"/>
            <w:shd w:val="clear" w:color="auto" w:fill="auto"/>
            <w:noWrap/>
            <w:hideMark/>
          </w:tcPr>
          <w:p w14:paraId="62EA7B3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Description and range of function</w:t>
            </w:r>
          </w:p>
        </w:tc>
      </w:tr>
      <w:tr w:rsidR="00AE7B15" w:rsidRPr="006D3EC4" w14:paraId="251A916A" w14:textId="77777777" w:rsidTr="00A93316">
        <w:trPr>
          <w:trHeight w:val="300"/>
        </w:trPr>
        <w:tc>
          <w:tcPr>
            <w:tcW w:w="1169" w:type="dxa"/>
            <w:shd w:val="clear" w:color="auto" w:fill="auto"/>
            <w:noWrap/>
          </w:tcPr>
          <w:p w14:paraId="108D8038" w14:textId="7B7AC883"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{"citationID":"a1p8lp2qitn","properties":{"formattedCitation":"(Clements {\\i{}et al.} 2006)","plainCitation":"(Clements et al. 2006)","noteIndex":0},"citationItems":[{"id":"P6k4PRMa/CTWh4Wf7","uris":["http://zotero.org/users/local/3ur7oWQd/items/MJV5UF4Y"],"uri":["http://zotero.org/users/local/3ur7oWQd/items/MJV5UF4Y"],"itemData":{"id":37,"type":"article-journal","title":"Application of knowledge-driven spatial modelling approaches and uncertainty management to a study of Rift Valley fever in Africa","container-title":"International Journal of Health Geographics","page":"57","volume":"5","issue":"1","source":"Google Scholar","author":[{"family":"Clements","given":"Archie CA"},{"family":"Pfeiffer","given":"Dirk U."},{"family":"Martin","given":"Vincent"}],"issued":{"date-parts":[["2006"]]}}}],"schema":"https://github.com/citation-style-language/schema/raw/master/csl-citation.json"}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(Clements </w:t>
            </w:r>
            <w:r w:rsidR="00EA4D79" w:rsidRPr="00EA4D79">
              <w:rPr>
                <w:i/>
                <w:iCs/>
                <w:sz w:val="20"/>
              </w:rPr>
              <w:t>et al.</w:t>
            </w:r>
            <w:r w:rsidR="00EA4D79" w:rsidRPr="00EA4D79">
              <w:rPr>
                <w:sz w:val="20"/>
              </w:rPr>
              <w:t xml:space="preserve"> 2006)</w:t>
            </w:r>
            <w:r w:rsidRPr="006D3EC4">
              <w:rPr>
                <w:rFonts w:eastAsia="Times New Roman"/>
                <w:color w:val="000000"/>
                <w:sz w:val="20"/>
                <w:szCs w:val="20"/>
              </w:rPr>
              <w:fldChar w:fldCharType="end"/>
            </w:r>
          </w:p>
        </w:tc>
        <w:tc>
          <w:tcPr>
            <w:tcW w:w="1350" w:type="dxa"/>
            <w:shd w:val="clear" w:color="auto" w:fill="auto"/>
            <w:noWrap/>
          </w:tcPr>
          <w:p w14:paraId="1F7C8E0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tcPr>
          <w:p w14:paraId="086095E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Human, animal</w:t>
            </w:r>
          </w:p>
        </w:tc>
        <w:tc>
          <w:tcPr>
            <w:tcW w:w="1085" w:type="dxa"/>
            <w:shd w:val="clear" w:color="auto" w:fill="auto"/>
            <w:noWrap/>
          </w:tcPr>
          <w:p w14:paraId="7C639B1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1441382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Multiple criteria decision making with weighted linear combination</w:t>
            </w:r>
          </w:p>
        </w:tc>
        <w:tc>
          <w:tcPr>
            <w:tcW w:w="3143" w:type="dxa"/>
            <w:shd w:val="clear" w:color="auto" w:fill="auto"/>
            <w:noWrap/>
          </w:tcPr>
          <w:p w14:paraId="251389E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Land surface temperature</w:t>
            </w:r>
          </w:p>
        </w:tc>
        <w:tc>
          <w:tcPr>
            <w:tcW w:w="2255" w:type="dxa"/>
            <w:shd w:val="clear" w:color="auto" w:fill="auto"/>
            <w:noWrap/>
          </w:tcPr>
          <w:p w14:paraId="799D5D8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Description and range of function</w:t>
            </w:r>
          </w:p>
        </w:tc>
      </w:tr>
      <w:tr w:rsidR="00AE7B15" w:rsidRPr="006D3EC4" w14:paraId="689E7027" w14:textId="77777777" w:rsidTr="00A93316">
        <w:trPr>
          <w:trHeight w:val="300"/>
        </w:trPr>
        <w:tc>
          <w:tcPr>
            <w:tcW w:w="1169" w:type="dxa"/>
            <w:shd w:val="clear" w:color="auto" w:fill="auto"/>
            <w:noWrap/>
          </w:tcPr>
          <w:p w14:paraId="074942FD" w14:textId="578CA874"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{"citationID":"a23js78k4j2","properties":{"formattedCitation":"(Clements {\\i{}et al.} 2007)","plainCitation":"(Clements et al. 2007)","noteIndex":0},"citationItems":[{"id":"P6k4PRMa/oRMkc5l6","uris":["http://zotero.org/users/local/3ur7oWQd/items/357YX2UU"],"uri":["http://zotero.org/users/local/3ur7oWQd/items/357YX2UU"],"itemData":{"id":50,"type":"article-journal","title":"Spatial Risk Assessment of Rift Valley Fever in Senegal","container-title":"Vector-Borne and Zoonotic Diseases","page":"203-216","volume":"7","issue":"2","source":"Crossref","DOI":"10.1089/vbz.2006.0600","ISSN":"1530-3667, 1557-7759","language":"en","author":[{"family":"Clements","given":"Archie C.A."},{"family":"Pfeiffer","given":"Dirk U."},{"family":"Martin","given":"Vincent"},{"family":"Pittiglio","given":"Claudia"},{"family":"Best","given":"Nicky"},{"family":"Thiongane","given":"Yaya"}],"issued":{"date-parts":[["2007",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(Clements </w:t>
            </w:r>
            <w:r w:rsidR="00EA4D79" w:rsidRPr="00EA4D79">
              <w:rPr>
                <w:i/>
                <w:iCs/>
                <w:sz w:val="20"/>
              </w:rPr>
              <w:t>et al.</w:t>
            </w:r>
            <w:r w:rsidR="00EA4D79" w:rsidRPr="00EA4D79">
              <w:rPr>
                <w:sz w:val="20"/>
              </w:rPr>
              <w:t xml:space="preserve"> 2007)</w:t>
            </w:r>
            <w:r w:rsidRPr="006D3EC4">
              <w:rPr>
                <w:rFonts w:eastAsia="Times New Roman"/>
                <w:color w:val="000000"/>
                <w:sz w:val="20"/>
                <w:szCs w:val="20"/>
              </w:rPr>
              <w:fldChar w:fldCharType="end"/>
            </w:r>
          </w:p>
        </w:tc>
        <w:tc>
          <w:tcPr>
            <w:tcW w:w="1350" w:type="dxa"/>
            <w:shd w:val="clear" w:color="auto" w:fill="auto"/>
            <w:noWrap/>
          </w:tcPr>
          <w:p w14:paraId="209B8F3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tcPr>
          <w:p w14:paraId="0AD230B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Cattle, goat, sheep</w:t>
            </w:r>
          </w:p>
        </w:tc>
        <w:tc>
          <w:tcPr>
            <w:tcW w:w="1085" w:type="dxa"/>
            <w:shd w:val="clear" w:color="auto" w:fill="auto"/>
            <w:noWrap/>
          </w:tcPr>
          <w:p w14:paraId="3CA46A8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A97627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Bayesian spatial model</w:t>
            </w:r>
          </w:p>
        </w:tc>
        <w:tc>
          <w:tcPr>
            <w:tcW w:w="3143" w:type="dxa"/>
            <w:shd w:val="clear" w:color="auto" w:fill="auto"/>
            <w:noWrap/>
          </w:tcPr>
          <w:p w14:paraId="6CA8084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Mean land surface temperature</w:t>
            </w:r>
          </w:p>
        </w:tc>
        <w:tc>
          <w:tcPr>
            <w:tcW w:w="2255" w:type="dxa"/>
            <w:shd w:val="clear" w:color="auto" w:fill="auto"/>
            <w:noWrap/>
          </w:tcPr>
          <w:p w14:paraId="055352D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Coefficients and odds ratios</w:t>
            </w:r>
          </w:p>
        </w:tc>
      </w:tr>
      <w:tr w:rsidR="00AE7B15" w:rsidRPr="006D3EC4" w14:paraId="6DD2B398" w14:textId="77777777" w:rsidTr="00A93316">
        <w:trPr>
          <w:trHeight w:val="300"/>
        </w:trPr>
        <w:tc>
          <w:tcPr>
            <w:tcW w:w="1169" w:type="dxa"/>
            <w:shd w:val="clear" w:color="auto" w:fill="auto"/>
            <w:noWrap/>
            <w:hideMark/>
          </w:tcPr>
          <w:p w14:paraId="214164C8" w14:textId="3F288915"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{"citationID":"FyyGwfPz","properties":{"formattedCitation":"(Conley {\\i{}et al.} 2014)","plainCitation":"(Conley et al. 2014)","noteIndex":0},"citationItems":[{"id":7787,"uris":["http://zotero.org/users/275805/items/6AVGMYJ4"],"uri":["http://zotero.org/users/275805/items/6AVGMYJ4"],"itemData":{"id":7787,"type":"article-journal","title":"Modeling the distribution of the West Nile and Rift Valley Fever vector Culex pipiens in arid and semi-arid regions of the Middle East and North Africa","container-title":"Parasites &amp; Vectors","page":"289","volume":"7","issue":"1","source":"BioMed Central","abstract":"The Middle East North Africa (MENA) region is under continuous threat of the re-emergence of West Nile virus (WNV) and Rift Valley Fever virus (RVF), two pathogens transmitted by the vector species Culex pipiens. Predicting areas at high risk for disease transmission requires an accurate model of vector distribution, however, most Cx. pipiens distribution modeling has been confined to temperate, forested habitats. Modeling species distributions across a heterogeneous landscape structure requires a flexible modeling method to capture variation in mosquito response to predictors as well as occurrence data points taken from a sufficient range of habitat types.","DOI":"10.1186/1756-3305-7-289","ISSN":"1756-3305","journalAbbreviation":"Parasites &amp; Vectors","author":[{"family":"Conley","given":"Amy K."},{"family":"Fuller","given":"Douglas O."},{"family":"Haddad","given":"Nabil"},{"family":"Hassan","given":"Ali N."},{"family":"Gad","given":"Adel M."},{"family":"Beier","given":"John C."}],"issued":{"date-parts":[["2014",6,24]]}}}],"schema":"https://github.com/citation-style-language/schema/raw/master/csl-citation.json"}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(Conley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64C4139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51314866"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6AB34D2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 adult</w:t>
            </w:r>
          </w:p>
        </w:tc>
        <w:tc>
          <w:tcPr>
            <w:tcW w:w="1979" w:type="dxa"/>
            <w:shd w:val="clear" w:color="auto" w:fill="auto"/>
            <w:noWrap/>
            <w:hideMark/>
          </w:tcPr>
          <w:p w14:paraId="7BA340F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4100D46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 xml:space="preserve">Bioclim (mean diurnal range, maximum temperature of warmest </w:t>
            </w:r>
            <w:r w:rsidRPr="006D3EC4">
              <w:rPr>
                <w:rFonts w:eastAsia="Times New Roman"/>
                <w:color w:val="000000"/>
                <w:sz w:val="20"/>
                <w:szCs w:val="20"/>
              </w:rPr>
              <w:lastRenderedPageBreak/>
              <w:t>month, minimum temperature of coldest month, annual temperature range, mean temperature of wettest/direst/warmest quarter)</w:t>
            </w:r>
          </w:p>
        </w:tc>
        <w:tc>
          <w:tcPr>
            <w:tcW w:w="2255" w:type="dxa"/>
            <w:shd w:val="clear" w:color="auto" w:fill="auto"/>
            <w:noWrap/>
            <w:hideMark/>
          </w:tcPr>
          <w:p w14:paraId="57E1003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lastRenderedPageBreak/>
              <w:t>Not given</w:t>
            </w:r>
          </w:p>
        </w:tc>
      </w:tr>
      <w:tr w:rsidR="00AE7B15" w:rsidRPr="006D3EC4" w14:paraId="4EC9E556" w14:textId="77777777" w:rsidTr="00A93316">
        <w:trPr>
          <w:trHeight w:val="300"/>
        </w:trPr>
        <w:tc>
          <w:tcPr>
            <w:tcW w:w="1169" w:type="dxa"/>
            <w:shd w:val="clear" w:color="auto" w:fill="auto"/>
            <w:noWrap/>
            <w:hideMark/>
          </w:tcPr>
          <w:p w14:paraId="4740B818" w14:textId="32236ACA"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{"citationID":"wyBm5ITN","properties":{"formattedCitation":"(Conley {\\i{}et al.} 2014)","plainCitation":"(Conley et al. 2014)","noteIndex":0},"citationItems":[{"id":7787,"uris":["http://zotero.org/users/275805/items/6AVGMYJ4"],"uri":["http://zotero.org/users/275805/items/6AVGMYJ4"],"itemData":{"id":7787,"type":"article-journal","title":"Modeling the distribution of the West Nile and Rift Valley Fever vector Culex pipiens in arid and semi-arid regions of the Middle East and North Africa","container-title":"Parasites &amp; Vectors","page":"289","volume":"7","issue":"1","source":"BioMed Central","abstract":"The Middle East North Africa (MENA) region is under continuous threat of the re-emergence of West Nile virus (WNV) and Rift Valley Fever virus (RVF), two pathogens transmitted by the vector species Culex pipiens. Predicting areas at high risk for disease transmission requires an accurate model of vector distribution, however, most Cx. pipiens distribution modeling has been confined to temperate, forested habitats. Modeling species distributions across a heterogeneous landscape structure requires a flexible modeling method to capture variation in mosquito response to predictors as well as occurrence data points taken from a sufficient range of habitat types.","DOI":"10.1186/1756-3305-7-289","ISSN":"1756-3305","journalAbbreviation":"Parasites &amp; Vectors","author":[{"family":"Conley","given":"Amy K."},{"family":"Fuller","given":"Douglas O."},{"family":"Haddad","given":"Nabil"},{"family":"Hassan","given":"Ali N."},{"family":"Gad","given":"Adel M."},{"family":"Beier","given":"John C."}],"issued":{"date-parts":[["2014",6,24]]}}}],"schema":"https://github.com/citation-style-language/schema/raw/master/csl-citation.json"}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(Conley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18E33D8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60BBF81F"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262AB12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 adult</w:t>
            </w:r>
          </w:p>
        </w:tc>
        <w:tc>
          <w:tcPr>
            <w:tcW w:w="1979" w:type="dxa"/>
            <w:shd w:val="clear" w:color="auto" w:fill="auto"/>
            <w:noWrap/>
            <w:hideMark/>
          </w:tcPr>
          <w:p w14:paraId="4EDBE51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64F1543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(mean diurnal range, maximum temperature of warmest month, minimum temperature of coldest month, annual temperature range, mean temperature of wettest/direst/warmest quarter)</w:t>
            </w:r>
          </w:p>
        </w:tc>
        <w:tc>
          <w:tcPr>
            <w:tcW w:w="2255" w:type="dxa"/>
            <w:shd w:val="clear" w:color="auto" w:fill="auto"/>
            <w:noWrap/>
            <w:hideMark/>
          </w:tcPr>
          <w:p w14:paraId="193985A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777D1D8" w14:textId="77777777" w:rsidTr="00A93316">
        <w:trPr>
          <w:trHeight w:val="300"/>
        </w:trPr>
        <w:tc>
          <w:tcPr>
            <w:tcW w:w="1169" w:type="dxa"/>
            <w:shd w:val="clear" w:color="auto" w:fill="auto"/>
            <w:noWrap/>
            <w:hideMark/>
          </w:tcPr>
          <w:p w14:paraId="326FE384" w14:textId="65EC921C"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{"citationID":"n57Qq0PB","properties":{"formattedCitation":"(Mweya {\\i{}et al.} 2013)","plainCitation":"(Mweya et al. 2013)","noteIndex":0},"citationItems":[{"id":8059,"uris":["http://zotero.org/users/275805/items/VFEJ5Q42"],"uri":["http://zotero.org/users/275805/items/VFEJ5Q42"],"itemData":{"id":8059,"type":"article-journal","title":"Predicting distribution of Aedes aegypti and Culex pipiens complex, potential vectors of Rift Valley fever virus in relation to disease epidemics in East Africa","container-title":"Infection Ecology &amp; Epidemiology","page":"21748","volume":"3","issue":"1","source":"Taylor and Francis+NEJM","abstract":"BackgroundThe East African region has experienced several Rift Valley fever (RVF) outbreaks since the 1930s. The objective of this study was to identify distributions of potential disease vectors in relation to disease epidemics. Understanding disease vector potential distributions is a major concern for disease transmission dynamics.MethodsDiverse ecological niche modelling techniques have been developed for this purpose: we present a maximum entropy (Maxent) approach for estimating distributions of potential RVF vectors in un-sampled areas in East Africa. We modelled the distribution of two species of mosquitoes (Aedes aegypti and Culex pipiens complex) responsible for potential maintenance and amplification of the virus, respectively. Predicted distributions of environmentally suitable areas in East Africa were based on the presence-only occurrence data derived from our entomological study in Ngorongoro District in northern Tanzania.ResultsOur model predicted potential suitable areas with high success rates of 90.9% for A. aegypti and 91.6% for C. pipiens complex. Model performance was statistically significantly better than random for both species. Most suitable sites for the two vectors were predicted in central and northwestern Tanzania with previous disease epidemics. Other important risk areas include western Lake Victoria, northern parts of Lake Malawi, and the Rift Valley region of Kenya.ConclusionFindings from this study show distributions of vectors had biological and epidemiological significance in relation to disease outbreak hotspots, and hence provide guidance for the selection of sampling areas for RVF vectors during inter-epidemic periods.","DOI":"10.3402/iee.v3i0.21748","ISSN":"null","author":[{"family":"Mweya","given":"Clement Nyamunura"},{"family":"Kimera","given":"Sharadhuli Iddi"},{"family":"Kija","given":"John Bukombe"},{"family":"Mboera","given":"Leonard E. G."}],"issued":{"date-parts":[["2013",1,1]]}}}],"schema":"https://github.com/citation-style-language/schema/raw/master/csl-citation.json"}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(Mweya </w:t>
            </w:r>
            <w:r w:rsidR="00EA4D79" w:rsidRPr="00EA4D79">
              <w:rPr>
                <w:i/>
                <w:iCs/>
                <w:sz w:val="20"/>
              </w:rPr>
              <w:t>et al.</w:t>
            </w:r>
            <w:r w:rsidR="00EA4D79" w:rsidRPr="00EA4D79">
              <w:rPr>
                <w:sz w:val="20"/>
              </w:rPr>
              <w:t xml:space="preserve"> 2013)</w:t>
            </w:r>
            <w:r w:rsidRPr="006D3EC4">
              <w:rPr>
                <w:rFonts w:eastAsia="Times New Roman"/>
                <w:color w:val="000000"/>
                <w:sz w:val="20"/>
                <w:szCs w:val="20"/>
              </w:rPr>
              <w:fldChar w:fldCharType="end"/>
            </w:r>
          </w:p>
        </w:tc>
        <w:tc>
          <w:tcPr>
            <w:tcW w:w="1350" w:type="dxa"/>
            <w:shd w:val="clear" w:color="auto" w:fill="auto"/>
            <w:noWrap/>
            <w:hideMark/>
          </w:tcPr>
          <w:p w14:paraId="09781F8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605EA9C7"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2AA41D6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750981D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08C5F0A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(isothermality, annual temperature range, mean temperature of warmest quarter, mean temperature of coolest quarter)</w:t>
            </w:r>
          </w:p>
        </w:tc>
        <w:tc>
          <w:tcPr>
            <w:tcW w:w="2255" w:type="dxa"/>
            <w:shd w:val="clear" w:color="auto" w:fill="auto"/>
            <w:noWrap/>
            <w:hideMark/>
          </w:tcPr>
          <w:p w14:paraId="2CAD829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C759F19" w14:textId="77777777" w:rsidTr="00A93316">
        <w:trPr>
          <w:trHeight w:val="300"/>
        </w:trPr>
        <w:tc>
          <w:tcPr>
            <w:tcW w:w="1169" w:type="dxa"/>
            <w:shd w:val="clear" w:color="auto" w:fill="auto"/>
            <w:noWrap/>
            <w:hideMark/>
          </w:tcPr>
          <w:p w14:paraId="6ABA1007" w14:textId="37017EB3"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{"citationID":"3omZAiXm","properties":{"formattedCitation":"(Mweya {\\i{}et al.} 2017)","plainCitation":"(Mweya et al. 2017)","noteIndex":0},"citationItems":[{"id":7801,"uris":["http://zotero.org/users/275805/items/QSIIDNRS"],"uri":["http://zotero.org/users/275805/items/QSIIDNRS"],"itemData":{"id":7801,"type":"article-journal","title":"Climate Influence on Emerging Risk Areas for Rift Valley Fever Epidemics in Tanzania","container-title":"The American Journal of Tropical Medicine and Hygiene","page":"109-114","volume":"97","issue":"1","source":"www.ajtmh.org","abstract":"Abstract. Rift Valley Fever (RVF) is a climate-related arboviral infection of animals and humans. Climate is thought to represent a threat toward emerging risk areas for RVF epidemics globally. The objective of this study was to evaluate influence of climate on distribution of suitable breeding habitats for Culex pipiens complex, potential mosquito vector responsible for transmission and distribution of disease epidemics risk areas in Tanzania. We used ecological niche models to estimate potential distribution of disease risk areas based on vectors and disease co-occurrence data approach. Climatic variables for the current and future scenarios were used as model inputs. Changes in mosquito vectors’ habitat suitability in relation to disease risk areas were estimated. We used partial receiver operating characteristic and the area under the curves approach to evaluate model predictive performance and significance. Habitat suitability for Cx. pipiens complex indicated broad-scale potential for change and shift in the distribution of the vectors and disease for both 2020 and 2050 climatic scenarios. Risk areas indicated more intensification in the areas surrounding Lake Victoria and northeastern part of the country through 2050 climate scenario. Models show higher probability of emerging risk areas spreading toward the western parts of Tanzania from northeastern areas and decrease in the southern part of the country. Results presented here identified sites for consideration to guide surveillance and control interventions to reduce risk of RVF disease epidemics in Tanzania. A collaborative approach is recommended to develop and adapt climate-related disease control and prevention strategies.","DOI":"10.4269/ajtmh.16-0444","ISSN":"0002-9637, 1476-1645","language":"en","author":[{"family":"Mweya","given":"Clement N."},{"family":"Mboera","given":"Leonard E. G."},{"family":"Kimera","given":"Sharadhuli I."}],"issued":{"date-parts":[["2017",7,12]]}}}],"schema":"https://github.com/citation-style-language/schema/raw/master/csl-citation.json"}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(Mweya </w:t>
            </w:r>
            <w:r w:rsidR="00EA4D79" w:rsidRPr="00EA4D79">
              <w:rPr>
                <w:i/>
                <w:iCs/>
                <w:sz w:val="20"/>
              </w:rPr>
              <w:t>et al.</w:t>
            </w:r>
            <w:r w:rsidR="00EA4D79" w:rsidRPr="00EA4D79">
              <w:rPr>
                <w:sz w:val="20"/>
              </w:rPr>
              <w:t xml:space="preserve"> 2017)</w:t>
            </w:r>
            <w:r w:rsidRPr="006D3EC4">
              <w:rPr>
                <w:rFonts w:eastAsia="Times New Roman"/>
                <w:color w:val="000000"/>
                <w:sz w:val="20"/>
                <w:szCs w:val="20"/>
              </w:rPr>
              <w:fldChar w:fldCharType="end"/>
            </w:r>
          </w:p>
        </w:tc>
        <w:tc>
          <w:tcPr>
            <w:tcW w:w="1350" w:type="dxa"/>
            <w:shd w:val="clear" w:color="auto" w:fill="auto"/>
            <w:noWrap/>
            <w:hideMark/>
          </w:tcPr>
          <w:p w14:paraId="7F05BE1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1A5AB1F5"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2469B4A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0643804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669CB39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(mean temperature of warmest quarter, isothermality)</w:t>
            </w:r>
          </w:p>
        </w:tc>
        <w:tc>
          <w:tcPr>
            <w:tcW w:w="2255" w:type="dxa"/>
            <w:shd w:val="clear" w:color="auto" w:fill="auto"/>
            <w:noWrap/>
            <w:hideMark/>
          </w:tcPr>
          <w:p w14:paraId="24A3014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3CC9638" w14:textId="77777777" w:rsidTr="00A93316">
        <w:trPr>
          <w:trHeight w:val="300"/>
        </w:trPr>
        <w:tc>
          <w:tcPr>
            <w:tcW w:w="1169" w:type="dxa"/>
            <w:shd w:val="clear" w:color="auto" w:fill="auto"/>
            <w:noWrap/>
            <w:hideMark/>
          </w:tcPr>
          <w:p w14:paraId="6765376E" w14:textId="66BB26E1"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{"citationID":"GMs44Grz","properties":{"formattedCitation":"(Sallam {\\i{}et al.} 2013)","plainCitation":"(Sallam et al. 2013)","noteIndex":0},"citationItems":[{"id":7809,"uris":["http://zotero.org/users/275805/items/NCKYLA4H"],"uri":["http://zotero.org/users/275805/items/NCKYLA4H"],"itemData":{"id":7809,"type":"article-journal","title":"Ecological Niche Modeling and Land Cover Risk Areas for Rift Valley Fever Vector, Culex tritaeniorhynchus Giles in Jazan, Saudi Arabia","container-title":"PLOS ONE","page":"e65786","volume":"8","issue":"6","source":"PLoS Journals","abstract":"Background The mosquito, Culex tritaeniorhynchus Giles is a prevalent and confirmed Rift Valley Fever virus (RVFV) vector. This vector, in association with Aedimorphus arabiensis (Patton), was responsible for causing the outbreak of 2000 in Jazan Province, Saudi Arabia. Methodology/Principal Findings Larval occurrence records and a total of 19 bioclimatic and three topographic layers imported from Worldclim Database were used to predict the larval suitable breeding habitats for this vector in Jazan Province using ArcGIS ver.10 and MaxEnt modeling program. Also, a supervised land cover classification from SPOT5 imagery was developed to assess the land cover distribution within the suitable predicted habitats. Eleven bioclimatic and slope attributes were found to be the significant predictors for this larval suitable breeding habitat. Precipitation and temperature were strong predictors of mosquito distribution. Among six land cover classes, the linear regression model (LM) indicated wet muddy substrate is significantly associated with high-very high suitable predicted habitats (R2 = 73.7%, P&lt;0.05). Also, LM indicated that total dissolved salts (TDS) was a significant contributor (R2 = 23.9%, P&lt;0.01) in determining mosquito larval abundance. Conclusion/Significance This model is a first step in understanding the spatial distribution of Cx. tritaeniorhynchus and consequently the risk of RVFV in Saudi Arabia and to assist in planning effective mosquito surveillance and control programs by public health personnel and researchers.","DOI":"10.1371/journal.pone.0065786","ISSN":"1932-6203","journalAbbreviation":"PLOS ONE","language":"en","author":[{"family":"Sallam","given":"Mohamed F."},{"family":"Ahmed","given":"Azzam M. Al"},{"family":"Abdel-Dayem","given":"Mahmoud S."},{"family":"Abdullah","given":"Mohamed A. R."}],"issued":{"date-parts":[["2013",6,6]]}}}],"schema":"https://github.com/citation-style-language/schema/raw/master/csl-citation.json"}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(Sallam </w:t>
            </w:r>
            <w:r w:rsidR="00EA4D79" w:rsidRPr="00EA4D79">
              <w:rPr>
                <w:i/>
                <w:iCs/>
                <w:sz w:val="20"/>
              </w:rPr>
              <w:t>et al.</w:t>
            </w:r>
            <w:r w:rsidR="00EA4D79" w:rsidRPr="00EA4D79">
              <w:rPr>
                <w:sz w:val="20"/>
              </w:rPr>
              <w:t xml:space="preserve"> 2013)</w:t>
            </w:r>
            <w:r w:rsidRPr="006D3EC4">
              <w:rPr>
                <w:rFonts w:eastAsia="Times New Roman"/>
                <w:color w:val="000000"/>
                <w:sz w:val="20"/>
                <w:szCs w:val="20"/>
              </w:rPr>
              <w:fldChar w:fldCharType="end"/>
            </w:r>
          </w:p>
        </w:tc>
        <w:tc>
          <w:tcPr>
            <w:tcW w:w="1350" w:type="dxa"/>
            <w:shd w:val="clear" w:color="auto" w:fill="auto"/>
            <w:noWrap/>
            <w:hideMark/>
          </w:tcPr>
          <w:p w14:paraId="310C5D6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hideMark/>
          </w:tcPr>
          <w:p w14:paraId="4267846B"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tritaeniorhynchus</w:t>
            </w:r>
          </w:p>
        </w:tc>
        <w:tc>
          <w:tcPr>
            <w:tcW w:w="1085" w:type="dxa"/>
            <w:shd w:val="clear" w:color="auto" w:fill="auto"/>
            <w:noWrap/>
            <w:hideMark/>
          </w:tcPr>
          <w:p w14:paraId="184FD47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w:t>
            </w:r>
          </w:p>
        </w:tc>
        <w:tc>
          <w:tcPr>
            <w:tcW w:w="1979" w:type="dxa"/>
            <w:shd w:val="clear" w:color="auto" w:fill="auto"/>
            <w:noWrap/>
            <w:hideMark/>
          </w:tcPr>
          <w:p w14:paraId="499699A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3192170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(mean temperature of wettest quarter, mean temperature of driest quarter, mean diurnal range)</w:t>
            </w:r>
          </w:p>
        </w:tc>
        <w:tc>
          <w:tcPr>
            <w:tcW w:w="2255" w:type="dxa"/>
            <w:shd w:val="clear" w:color="auto" w:fill="auto"/>
            <w:noWrap/>
            <w:hideMark/>
          </w:tcPr>
          <w:p w14:paraId="4C8B371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B787C67" w14:textId="77777777" w:rsidTr="00A93316">
        <w:trPr>
          <w:trHeight w:val="300"/>
        </w:trPr>
        <w:tc>
          <w:tcPr>
            <w:tcW w:w="1169" w:type="dxa"/>
            <w:shd w:val="clear" w:color="auto" w:fill="auto"/>
            <w:noWrap/>
          </w:tcPr>
          <w:p w14:paraId="2AAB8C4E" w14:textId="230F0589"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{"citationID":"as485o96jk","properties":{"formattedCitation":"(S\\uc0\\u225{}nchez-Vizca\\uc0\\u237{}no {\\i{}et al.} 2013)","plainCitation":"(Sánchez-Vizcaíno et al. 2013)","noteIndex":0},"citationItems":[{"id":"P6k4PRMa/VTDs5wP6","uris":["http://zotero.org/users/local/3ur7oWQd/items/EZF6Y9Z4"],"uri":["http://zotero.org/users/local/3ur7oWQd/items/EZF6Y9Z4"],"itemData":{"id":33,"type":"article-journal","title":"Identification of suitable areas for the occurrence of Rift Valley fever outbreaks in Spain using a multiple criteria decision framework","container-title":"Veterinary Microbiology","page":"71-78","volume":"165","issue":"1-2","source":"Crossref","DOI":"10.1016/j.vetmic.2013.03.016","ISSN":"03781135","language":"en","author":[{"family":"Sánchez-Vizcaíno","given":"Fernando"},{"family":"Martínez-López","given":"Beatriz"},{"family":"Sánchez-Vizcaíno","given":"José Manuel"}],"issued":{"date-parts":[["2013",7]]}}}],"schema":"https://github.com/citation-style-language/schema/raw/master/csl-citation.json"}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(Sánchez-Vizcaíno </w:t>
            </w:r>
            <w:r w:rsidR="00EA4D79" w:rsidRPr="00EA4D79">
              <w:rPr>
                <w:i/>
                <w:iCs/>
                <w:sz w:val="20"/>
              </w:rPr>
              <w:t>et al.</w:t>
            </w:r>
            <w:r w:rsidR="00EA4D79" w:rsidRPr="00EA4D79">
              <w:rPr>
                <w:sz w:val="20"/>
              </w:rPr>
              <w:t xml:space="preserve"> 2013)</w:t>
            </w:r>
            <w:r w:rsidRPr="006D3EC4">
              <w:rPr>
                <w:rFonts w:eastAsia="Times New Roman"/>
                <w:color w:val="000000"/>
                <w:sz w:val="20"/>
                <w:szCs w:val="20"/>
              </w:rPr>
              <w:fldChar w:fldCharType="end"/>
            </w:r>
          </w:p>
        </w:tc>
        <w:tc>
          <w:tcPr>
            <w:tcW w:w="1350" w:type="dxa"/>
            <w:shd w:val="clear" w:color="auto" w:fill="auto"/>
            <w:noWrap/>
          </w:tcPr>
          <w:p w14:paraId="12325B6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RVF</w:t>
            </w:r>
          </w:p>
        </w:tc>
        <w:tc>
          <w:tcPr>
            <w:tcW w:w="1979" w:type="dxa"/>
            <w:shd w:val="clear" w:color="auto" w:fill="auto"/>
            <w:noWrap/>
          </w:tcPr>
          <w:p w14:paraId="30E8B0A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Human</w:t>
            </w:r>
          </w:p>
        </w:tc>
        <w:tc>
          <w:tcPr>
            <w:tcW w:w="1085" w:type="dxa"/>
            <w:shd w:val="clear" w:color="auto" w:fill="auto"/>
            <w:noWrap/>
          </w:tcPr>
          <w:p w14:paraId="69CD6EF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926454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Multiple criteria decision making with weighted linear combination</w:t>
            </w:r>
          </w:p>
        </w:tc>
        <w:tc>
          <w:tcPr>
            <w:tcW w:w="3143" w:type="dxa"/>
            <w:shd w:val="clear" w:color="auto" w:fill="auto"/>
            <w:noWrap/>
          </w:tcPr>
          <w:p w14:paraId="1C3CAF4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Monthly mean temperature</w:t>
            </w:r>
          </w:p>
        </w:tc>
        <w:tc>
          <w:tcPr>
            <w:tcW w:w="2255" w:type="dxa"/>
            <w:shd w:val="clear" w:color="auto" w:fill="auto"/>
            <w:noWrap/>
          </w:tcPr>
          <w:p w14:paraId="5F1DF62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Suitability and temperature</w:t>
            </w:r>
          </w:p>
        </w:tc>
      </w:tr>
      <w:tr w:rsidR="00AE7B15" w:rsidRPr="006D3EC4" w14:paraId="652DD4C1" w14:textId="77777777" w:rsidTr="00A93316">
        <w:trPr>
          <w:trHeight w:val="300"/>
        </w:trPr>
        <w:tc>
          <w:tcPr>
            <w:tcW w:w="1169" w:type="dxa"/>
            <w:shd w:val="clear" w:color="auto" w:fill="auto"/>
            <w:noWrap/>
            <w:hideMark/>
          </w:tcPr>
          <w:p w14:paraId="78492D2B" w14:textId="1022A6BF"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{"citationID":"NJJqj1pj","properties":{"formattedCitation":"(Gleiser &amp; Gorla 2007)","plainCitation":"(Gleiser &amp; Gorla 2007)","noteIndex":0},"citationItems":[{"id":7795,"uris":["http://zotero.org/users/275805/items/44LB3GMQ"],"uri":["http://zotero.org/users/275805/items/44LB3GMQ"],"itemData":{"id":7795,"type":"article-journal","title":"Predicting the spatial distribution of Ochlerotatus albifasciatus (Diptera: Culicidae) abundance with NOAA imagery","container-title":"Bulletin of Entomological Research","page":"607-612","volume":"97","issue":"6","source":"Cambridge Core","abstract":"Ochlerotatus albifasciatus is a vector of western equine encephalomyelitis in Argentina and a nuisance mosquito affecting beef and dairy production. The objective of this study was to analyze whether environmental proxy data derived from 1 km resolution NOAA-AVHRR images could be useful as a rapid tool for locating areas with higher potential for Oc. albifasciatus activity at a regional scale. Training sites for mosquito abundance categories were 3.3×3.3 km polygons over sampling sites. Abundance was classified into two categories according to a proposed threshold for economic losses. Data of channels 1, 2, 4 and 5 were used to calculate five biophysical variables: normalized differences vegetation index (NDVI), land surface temperature, total precipitable water, dew point and vapour saturation deficit. A discriminant analysis correctly classified 100% of the areas predicted to be above or below the economic threshold of 2500 mosquitoes per night of capture, respectively. Components of the NDVI, the total precipitable water and the dew point temperature contributed most to the function value. The results suggest that environmental data derived from AVHRR-NOAA could be useful for rapidly identifying adequate areas for mosquito development or activity.","DOI":"10.1017/S0007485307005287","ISSN":"1475-2670, 0007-4853","shortTitle":"Predicting the spatial distribution of Ochlerotatus albifasciatus (Diptera","language":"en","author":[{"family":"Gleiser","given":"R. M."},{"family":"Gorla","given":"D. E."}],"issued":{"date-parts":[["2007",12]]}}}],"schema":"https://github.com/citation-style-language/schema/raw/master/csl-citation.json"} </w:instrText>
            </w:r>
            <w:r w:rsidRPr="006D3EC4">
              <w:rPr>
                <w:rFonts w:eastAsia="Times New Roman"/>
                <w:color w:val="000000"/>
                <w:sz w:val="20"/>
                <w:szCs w:val="20"/>
              </w:rPr>
              <w:fldChar w:fldCharType="separate"/>
            </w:r>
            <w:r w:rsidRPr="006D3EC4">
              <w:rPr>
                <w:sz w:val="20"/>
                <w:szCs w:val="20"/>
              </w:rPr>
              <w:t>(Gleiser &amp; Gorla 2007)</w:t>
            </w:r>
            <w:r w:rsidRPr="006D3EC4">
              <w:rPr>
                <w:rFonts w:eastAsia="Times New Roman"/>
                <w:color w:val="000000"/>
                <w:sz w:val="20"/>
                <w:szCs w:val="20"/>
              </w:rPr>
              <w:fldChar w:fldCharType="end"/>
            </w:r>
          </w:p>
        </w:tc>
        <w:tc>
          <w:tcPr>
            <w:tcW w:w="1350" w:type="dxa"/>
            <w:shd w:val="clear" w:color="auto" w:fill="auto"/>
            <w:noWrap/>
            <w:hideMark/>
          </w:tcPr>
          <w:p w14:paraId="2A56BBD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WEE</w:t>
            </w:r>
          </w:p>
        </w:tc>
        <w:tc>
          <w:tcPr>
            <w:tcW w:w="1979" w:type="dxa"/>
            <w:shd w:val="clear" w:color="auto" w:fill="auto"/>
            <w:noWrap/>
            <w:hideMark/>
          </w:tcPr>
          <w:p w14:paraId="5C70EC43"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Oc. albifasciatus</w:t>
            </w:r>
          </w:p>
        </w:tc>
        <w:tc>
          <w:tcPr>
            <w:tcW w:w="1085" w:type="dxa"/>
            <w:shd w:val="clear" w:color="auto" w:fill="auto"/>
            <w:noWrap/>
            <w:hideMark/>
          </w:tcPr>
          <w:p w14:paraId="7324B94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62E4CB0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Discriminant function analysis</w:t>
            </w:r>
          </w:p>
        </w:tc>
        <w:tc>
          <w:tcPr>
            <w:tcW w:w="3143" w:type="dxa"/>
            <w:shd w:val="clear" w:color="auto" w:fill="auto"/>
            <w:noWrap/>
            <w:hideMark/>
          </w:tcPr>
          <w:p w14:paraId="7E4ED86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Land surface temperature</w:t>
            </w:r>
          </w:p>
        </w:tc>
        <w:tc>
          <w:tcPr>
            <w:tcW w:w="2255" w:type="dxa"/>
            <w:shd w:val="clear" w:color="auto" w:fill="auto"/>
            <w:noWrap/>
            <w:hideMark/>
          </w:tcPr>
          <w:p w14:paraId="31D2204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Standardized coefficients</w:t>
            </w:r>
          </w:p>
        </w:tc>
      </w:tr>
      <w:tr w:rsidR="00AE7B15" w:rsidRPr="006D3EC4" w14:paraId="229EF134" w14:textId="77777777" w:rsidTr="00A93316">
        <w:trPr>
          <w:trHeight w:val="300"/>
        </w:trPr>
        <w:tc>
          <w:tcPr>
            <w:tcW w:w="1169" w:type="dxa"/>
            <w:shd w:val="clear" w:color="auto" w:fill="auto"/>
            <w:noWrap/>
            <w:hideMark/>
          </w:tcPr>
          <w:p w14:paraId="2A47E574" w14:textId="32638B2B"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{"citationID":"D1mTWPCM","properties":{"formattedCitation":"(Conley {\\i{}et al.} 2014)","plainCitation":"(Conley et al. 2014)","noteIndex":0},"citationItems":[{"id":7787,"uris":["http://zotero.org/users/275805/items/6AVGMYJ4"],"uri":["http://zotero.org/users/275805/items/6AVGMYJ4"],"itemData":{"id":7787,"type":"article-journal","title":"Modeling the distribution of the West Nile and Rift Valley Fever vector Culex pipiens in arid and semi-arid regions of the Middle East and North Africa","container-title":"Parasites &amp; Vectors","page":"289","volume":"7","issue":"1","source":"BioMed Central","abstract":"The Middle East North Africa (MENA) region is under continuous threat of the re-emergence of West Nile virus (WNV) and Rift Valley Fever virus (RVF), two pathogens transmitted by the vector species Culex pipiens. Predicting areas at high risk for disease transmission requires an accurate model of vector distribution, however, most Cx. pipiens distribution modeling has been confined to temperate, forested habitats. Modeling species distributions across a heterogeneous landscape structure requires a flexible modeling method to capture variation in mosquito response to predictors as well as occurrence data points taken from a sufficient range of habitat types.","DOI":"10.1186/1756-3305-7-289","ISSN":"1756-3305","journalAbbreviation":"Parasites &amp; Vectors","author":[{"family":"Conley","given":"Amy K."},{"family":"Fuller","given":"Douglas O."},{"family":"Haddad","given":"Nabil"},{"family":"Hassan","given":"Ali N."},{"family":"Gad","given":"Adel M."},{"family":"Beier","given":"John C."}],"issued":{"date-parts":[["2014",6,24]]}}}],"schema":"https://github.com/citation-style-language/schema/raw/master/csl-citation.json"}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(Conley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233A57D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hideMark/>
          </w:tcPr>
          <w:p w14:paraId="10490F54"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5DDDC7C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 adult</w:t>
            </w:r>
          </w:p>
        </w:tc>
        <w:tc>
          <w:tcPr>
            <w:tcW w:w="1979" w:type="dxa"/>
            <w:shd w:val="clear" w:color="auto" w:fill="auto"/>
            <w:noWrap/>
            <w:hideMark/>
          </w:tcPr>
          <w:p w14:paraId="20461B5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3C93068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(mean diurnal range, maximum temperature of warmest month, minimum temperature of coldest month, annual temperature range, mean temperature of wettest/direst/warmest quarter)</w:t>
            </w:r>
          </w:p>
        </w:tc>
        <w:tc>
          <w:tcPr>
            <w:tcW w:w="2255" w:type="dxa"/>
            <w:shd w:val="clear" w:color="auto" w:fill="auto"/>
            <w:noWrap/>
            <w:hideMark/>
          </w:tcPr>
          <w:p w14:paraId="6F6F79C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5E39CA80" w14:textId="77777777" w:rsidTr="00A93316">
        <w:trPr>
          <w:trHeight w:val="300"/>
        </w:trPr>
        <w:tc>
          <w:tcPr>
            <w:tcW w:w="1169" w:type="dxa"/>
            <w:shd w:val="clear" w:color="auto" w:fill="auto"/>
            <w:noWrap/>
            <w:hideMark/>
          </w:tcPr>
          <w:p w14:paraId="469816C1" w14:textId="118BA95A"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{"citationID":"9zjx9hKw","properties":{"formattedCitation":"(Conley {\\i{}et al.} 2014)","plainCitation":"(Conley et al. 2014)","noteIndex":0},"citationItems":[{"id":7787,"uris":["http://zotero.org/users/275805/items/6AVGMYJ4"],"uri":["http://zotero.org/users/275805/items/6AVGMYJ4"],"itemData":{"id":7787,"type":"article-journal","title":"Modeling the distribution of the West Nile and Rift Valley Fever vector Culex pipiens in arid and semi-arid regions of the Middle East and North Africa","container-title":"Parasites &amp; Vectors","page":"289","volume":"7","issue":"1","source":"BioMed Central","abstract":"The Middle East North Africa (MENA) region is under continuous threat of the re-emergence of West Nile virus (WNV) and Rift Valley Fever virus (RVF), two pathogens transmitted by the vector species Culex pipiens. Predicting areas at high risk for disease transmission requires an accurate model of vector distribution, however, most Cx. pipiens distribution modeling has been confined to temperate, forested habitats. Modeling species distributions across a heterogeneous landscape structure requires a flexible modeling method to capture variation in mosquito response to predictors as well as occurrence data points taken from a sufficient range of habitat types.","DOI":"10.1186/1756-3305-7-289","ISSN":"1756-3305","journalAbbreviation":"Parasites &amp; Vectors","author":[{"family":"Conley","given":"Amy K."},{"family":"Fuller","given":"Douglas O."},{"family":"Haddad","given":"Nabil"},{"family":"Hassan","given":"Ali N."},{"family":"Gad","given":"Adel M."},{"family":"Beier","given":"John C."}],"issued":{"date-parts":[["2014",6,24]]}}}],"schema":"https://github.com/citation-style-language/schema/raw/master/csl-citation.json"}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(Conley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53ADD32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hideMark/>
          </w:tcPr>
          <w:p w14:paraId="4E8ABF0F"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Cx. pipiens</w:t>
            </w:r>
          </w:p>
        </w:tc>
        <w:tc>
          <w:tcPr>
            <w:tcW w:w="1085" w:type="dxa"/>
            <w:shd w:val="clear" w:color="auto" w:fill="auto"/>
            <w:noWrap/>
            <w:hideMark/>
          </w:tcPr>
          <w:p w14:paraId="3BD0834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Larvae, adult</w:t>
            </w:r>
          </w:p>
        </w:tc>
        <w:tc>
          <w:tcPr>
            <w:tcW w:w="1979" w:type="dxa"/>
            <w:shd w:val="clear" w:color="auto" w:fill="auto"/>
            <w:noWrap/>
            <w:hideMark/>
          </w:tcPr>
          <w:p w14:paraId="4948488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75133CC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(mean diurnal range, maximum temperature of warmest month, minimum temperature of coldest month, annual temperature range, mean temperature of wettest/direst/warmest quarter)</w:t>
            </w:r>
          </w:p>
        </w:tc>
        <w:tc>
          <w:tcPr>
            <w:tcW w:w="2255" w:type="dxa"/>
            <w:shd w:val="clear" w:color="auto" w:fill="auto"/>
            <w:noWrap/>
            <w:hideMark/>
          </w:tcPr>
          <w:p w14:paraId="7E109BE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4BB0353" w14:textId="77777777" w:rsidTr="00A93316">
        <w:trPr>
          <w:trHeight w:val="300"/>
        </w:trPr>
        <w:tc>
          <w:tcPr>
            <w:tcW w:w="1169" w:type="dxa"/>
            <w:shd w:val="clear" w:color="auto" w:fill="auto"/>
            <w:noWrap/>
          </w:tcPr>
          <w:p w14:paraId="6A1A8BC1" w14:textId="10ADF37B" w:rsidR="00AE7B15" w:rsidRPr="006D3EC4" w:rsidRDefault="00AE7B15" w:rsidP="00A93316">
            <w:pPr>
              <w:rPr>
                <w:rFonts w:eastAsia="Times New Roman"/>
                <w:color w:val="000000"/>
                <w:sz w:val="20"/>
                <w:szCs w:val="20"/>
              </w:rPr>
            </w:pPr>
            <w:r w:rsidRPr="006D3EC4">
              <w:rPr>
                <w:rFonts w:eastAsia="Times New Roman"/>
                <w:color w:val="000000"/>
                <w:sz w:val="20"/>
                <w:szCs w:val="20"/>
              </w:rPr>
              <w:lastRenderedPageBreak/>
              <w:fldChar w:fldCharType="begin"/>
            </w:r>
            <w:r w:rsidR="00EA4D79">
              <w:rPr>
                <w:rFonts w:eastAsia="Times New Roman"/>
                <w:color w:val="000000"/>
                <w:sz w:val="20"/>
                <w:szCs w:val="20"/>
              </w:rPr>
              <w:instrText xml:space="preserve"> ADDIN ZOTERO_ITEM CSL_CITATION {"citationID":"a23hld0oano","properties":{"formattedCitation":"(Mongoh {\\i{}et al.} 2007)","plainCitation":"(Mongoh et al. 2007)","noteIndex":0},"citationItems":[{"id":"P6k4PRMa/LiQ33s0u","uris":["http://zotero.org/users/local/3ur7oWQd/items/GRSUB25U"],"uri":["http://zotero.org/users/local/3ur7oWQd/items/GRSUB25U"],"itemData":{"id":48,"type":"article-journal","title":"Environmental and ecological determinants of West Nile virus occurrence in horses in North Dakota, 2002","container-title":"Epidemiology and Infection","page":"57","volume":"135","issue":"01","source":"Crossref","DOI":"10.1017/S0950268806006662","ISSN":"0950-2688, 1469-4409","language":"en","author":[{"family":"Mongoh","given":"M. Ndiva"},{"family":"Khaitsa","given":"M. L."},{"family":"Dyer","given":"N. W."}],"issued":{"date-parts":[["2007",1]]}}}],"schema":"https://github.com/citation-style-language/schema/raw/master/csl-citation.json"}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(Mongoh </w:t>
            </w:r>
            <w:r w:rsidR="00EA4D79" w:rsidRPr="00EA4D79">
              <w:rPr>
                <w:i/>
                <w:iCs/>
                <w:sz w:val="20"/>
              </w:rPr>
              <w:t>et al.</w:t>
            </w:r>
            <w:r w:rsidR="00EA4D79" w:rsidRPr="00EA4D79">
              <w:rPr>
                <w:sz w:val="20"/>
              </w:rPr>
              <w:t xml:space="preserve"> 2007)</w:t>
            </w:r>
            <w:r w:rsidRPr="006D3EC4">
              <w:rPr>
                <w:rFonts w:eastAsia="Times New Roman"/>
                <w:color w:val="000000"/>
                <w:sz w:val="20"/>
                <w:szCs w:val="20"/>
              </w:rPr>
              <w:fldChar w:fldCharType="end"/>
            </w:r>
          </w:p>
        </w:tc>
        <w:tc>
          <w:tcPr>
            <w:tcW w:w="1350" w:type="dxa"/>
            <w:shd w:val="clear" w:color="auto" w:fill="auto"/>
            <w:noWrap/>
          </w:tcPr>
          <w:p w14:paraId="1770639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tcPr>
          <w:p w14:paraId="4DA9C16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Horse</w:t>
            </w:r>
          </w:p>
        </w:tc>
        <w:tc>
          <w:tcPr>
            <w:tcW w:w="1085" w:type="dxa"/>
            <w:shd w:val="clear" w:color="auto" w:fill="auto"/>
            <w:noWrap/>
          </w:tcPr>
          <w:p w14:paraId="046E01B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0B45574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Principle component analysis</w:t>
            </w:r>
          </w:p>
        </w:tc>
        <w:tc>
          <w:tcPr>
            <w:tcW w:w="3143" w:type="dxa"/>
            <w:shd w:val="clear" w:color="auto" w:fill="auto"/>
            <w:noWrap/>
          </w:tcPr>
          <w:p w14:paraId="7E32DBD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Mean temperature</w:t>
            </w:r>
          </w:p>
        </w:tc>
        <w:tc>
          <w:tcPr>
            <w:tcW w:w="2255" w:type="dxa"/>
            <w:shd w:val="clear" w:color="auto" w:fill="auto"/>
            <w:noWrap/>
          </w:tcPr>
          <w:p w14:paraId="0027DFA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Estimates</w:t>
            </w:r>
          </w:p>
        </w:tc>
      </w:tr>
      <w:tr w:rsidR="00AE7B15" w:rsidRPr="006D3EC4" w14:paraId="1B89043E" w14:textId="77777777" w:rsidTr="00A93316">
        <w:trPr>
          <w:trHeight w:val="300"/>
        </w:trPr>
        <w:tc>
          <w:tcPr>
            <w:tcW w:w="1169" w:type="dxa"/>
            <w:shd w:val="clear" w:color="auto" w:fill="auto"/>
            <w:noWrap/>
          </w:tcPr>
          <w:p w14:paraId="657B46D7" w14:textId="0691FBE6"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{"citationID":"a2lf6sni53","properties":{"formattedCitation":"(Tran {\\i{}et al.} 2014)","plainCitation":"(Tran et al. 2014)","noteIndex":0},"citationItems":[{"id":"P6k4PRMa/JbtAWxoQ","uris":["http://zotero.org/users/local/3ur7oWQd/items/YE3RG335"],"uri":["http://zotero.org/users/local/3ur7oWQd/items/YE3RG335"],"itemData":{"id":38,"type":"article-journal","title":"Environmental predictors of West Nile fever risk in Europe","container-title":"International journal of health geographics","page":"26","volume":"13","issue":"1","source":"Google Scholar","author":[{"family":"Tran","given":"Annelise"},{"family":"Sudre","given":"Bertrand"},{"family":"Paz","given":"Shlomit"},{"family":"Rossi","given":"Massimiliano"},{"family":"Desbrosse","given":"Annie"},{"family":"Chevalier","given":"Véronique"},{"family":"Semenza","given":"Jan C."}],"issued":{"date-parts":[["2014"]]}}}],"schema":"https://github.com/citation-style-language/schema/raw/master/csl-citation.json"}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(Tran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tcPr>
          <w:p w14:paraId="45599D7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tcPr>
          <w:p w14:paraId="19FA0DA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Human</w:t>
            </w:r>
          </w:p>
        </w:tc>
        <w:tc>
          <w:tcPr>
            <w:tcW w:w="1085" w:type="dxa"/>
            <w:shd w:val="clear" w:color="auto" w:fill="auto"/>
            <w:noWrap/>
          </w:tcPr>
          <w:p w14:paraId="28EBC24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7789C1A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Logistic regression model</w:t>
            </w:r>
          </w:p>
        </w:tc>
        <w:tc>
          <w:tcPr>
            <w:tcW w:w="3143" w:type="dxa"/>
            <w:shd w:val="clear" w:color="auto" w:fill="auto"/>
            <w:noWrap/>
          </w:tcPr>
          <w:p w14:paraId="7AD676D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Temperature anomalies</w:t>
            </w:r>
          </w:p>
        </w:tc>
        <w:tc>
          <w:tcPr>
            <w:tcW w:w="2255" w:type="dxa"/>
            <w:shd w:val="clear" w:color="auto" w:fill="auto"/>
            <w:noWrap/>
          </w:tcPr>
          <w:p w14:paraId="109ABE7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Parameters</w:t>
            </w:r>
          </w:p>
        </w:tc>
      </w:tr>
      <w:tr w:rsidR="00AE7B15" w:rsidRPr="006D3EC4" w14:paraId="484F7C4B" w14:textId="77777777" w:rsidTr="00A93316">
        <w:trPr>
          <w:trHeight w:val="300"/>
        </w:trPr>
        <w:tc>
          <w:tcPr>
            <w:tcW w:w="1169" w:type="dxa"/>
            <w:shd w:val="clear" w:color="auto" w:fill="auto"/>
            <w:noWrap/>
          </w:tcPr>
          <w:p w14:paraId="7274766B" w14:textId="276890D5"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{"citationID":"a1uhlhr7hou","properties":{"formattedCitation":"(Ward 2005)","plainCitation":"(Ward 2005)","noteIndex":0},"citationItems":[{"id":"P6k4PRMa/xy1VBZEs","uris":["http://zotero.org/users/local/3ur7oWQd/items/ZMPPCDNC"],"uri":["http://zotero.org/users/local/3ur7oWQd/items/ZMPPCDNC"],"itemData":{"id":28,"type":"article-journal","title":"Epidemic West Nile virus encephalomyelitis: A temperature-dependent, spatial model of disease dynamics","container-title":"Preventive Veterinary Medicine","page":"253-264","volume":"71","issue":"3-4","source":"Crossref","DOI":"10.1016/j.prevetmed.2005.07.008","ISSN":"01675877","shortTitle":"Epidemic West Nile virus encephalomyelitis","language":"en","author":[{"family":"Ward","given":"Michael P."}],"issued":{"date-parts":[["2005",10]]}}}],"schema":"https://github.com/citation-style-language/schema/raw/master/csl-citation.json"} </w:instrText>
            </w:r>
            <w:r w:rsidRPr="006D3EC4">
              <w:rPr>
                <w:rFonts w:eastAsia="Times New Roman"/>
                <w:color w:val="000000"/>
                <w:sz w:val="20"/>
                <w:szCs w:val="20"/>
              </w:rPr>
              <w:fldChar w:fldCharType="separate"/>
            </w:r>
            <w:r w:rsidRPr="006D3EC4">
              <w:rPr>
                <w:sz w:val="20"/>
                <w:szCs w:val="20"/>
              </w:rPr>
              <w:t>(Ward 2005)</w:t>
            </w:r>
            <w:r w:rsidRPr="006D3EC4">
              <w:rPr>
                <w:rFonts w:eastAsia="Times New Roman"/>
                <w:color w:val="000000"/>
                <w:sz w:val="20"/>
                <w:szCs w:val="20"/>
              </w:rPr>
              <w:fldChar w:fldCharType="end"/>
            </w:r>
          </w:p>
        </w:tc>
        <w:tc>
          <w:tcPr>
            <w:tcW w:w="1350" w:type="dxa"/>
            <w:shd w:val="clear" w:color="auto" w:fill="auto"/>
            <w:noWrap/>
          </w:tcPr>
          <w:p w14:paraId="78EFD40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tcPr>
          <w:p w14:paraId="23A6768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Horse</w:t>
            </w:r>
          </w:p>
        </w:tc>
        <w:tc>
          <w:tcPr>
            <w:tcW w:w="1085" w:type="dxa"/>
            <w:shd w:val="clear" w:color="auto" w:fill="auto"/>
            <w:noWrap/>
          </w:tcPr>
          <w:p w14:paraId="441CD18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209E4D3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Probability distribution model</w:t>
            </w:r>
          </w:p>
        </w:tc>
        <w:tc>
          <w:tcPr>
            <w:tcW w:w="3143" w:type="dxa"/>
            <w:shd w:val="clear" w:color="auto" w:fill="auto"/>
            <w:noWrap/>
          </w:tcPr>
          <w:p w14:paraId="7405A49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Daily maximum temperature</w:t>
            </w:r>
          </w:p>
        </w:tc>
        <w:tc>
          <w:tcPr>
            <w:tcW w:w="2255" w:type="dxa"/>
            <w:shd w:val="clear" w:color="auto" w:fill="auto"/>
            <w:noWrap/>
          </w:tcPr>
          <w:p w14:paraId="17879AE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Cumulative probabilities</w:t>
            </w:r>
          </w:p>
        </w:tc>
      </w:tr>
      <w:tr w:rsidR="00AE7B15" w:rsidRPr="006D3EC4" w14:paraId="03D6821C" w14:textId="77777777" w:rsidTr="00A93316">
        <w:trPr>
          <w:trHeight w:val="300"/>
        </w:trPr>
        <w:tc>
          <w:tcPr>
            <w:tcW w:w="1169" w:type="dxa"/>
            <w:shd w:val="clear" w:color="auto" w:fill="auto"/>
            <w:noWrap/>
          </w:tcPr>
          <w:p w14:paraId="2C602F4D" w14:textId="353AD07E"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{"citationID":"aurhrjlmd9","properties":{"formattedCitation":"(Ward {\\i{}et al.} 2009)","plainCitation":"(Ward et al. 2009)","noteIndex":0},"citationItems":[{"id":"P6k4PRMa/zEqqnYwX","uris":["http://zotero.org/users/local/3ur7oWQd/items/LPUZHYRV"],"uri":["http://zotero.org/users/local/3ur7oWQd/items/LPUZHYRV"],"itemData":{"id":51,"type":"article-journal","title":"Environmental risk factors for equine West Nile virus disease cases in Texas","container-title":"Veterinary Research Communications","page":"461-471","volume":"33","issue":"5","source":"Crossref","DOI":"10.1007/s11259-008-9192-1","ISSN":"0165-7380, 1573-7446","language":"en","author":[{"family":"Ward","given":"Michael P."},{"family":"Wittich","given":"Courtney A."},{"family":"Fosgate","given":"Geoffrey"},{"family":"Srinivasan","given":"Raghavan"}],"issued":{"date-parts":[["2009",6]]}}}],"schema":"https://github.com/citation-style-language/schema/raw/master/csl-citation.json"}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(Ward </w:t>
            </w:r>
            <w:r w:rsidR="00EA4D79" w:rsidRPr="00EA4D79">
              <w:rPr>
                <w:i/>
                <w:iCs/>
                <w:sz w:val="20"/>
              </w:rPr>
              <w:t>et al.</w:t>
            </w:r>
            <w:r w:rsidR="00EA4D79" w:rsidRPr="00EA4D79">
              <w:rPr>
                <w:sz w:val="20"/>
              </w:rPr>
              <w:t xml:space="preserve"> 2009)</w:t>
            </w:r>
            <w:r w:rsidRPr="006D3EC4">
              <w:rPr>
                <w:rFonts w:eastAsia="Times New Roman"/>
                <w:color w:val="000000"/>
                <w:sz w:val="20"/>
                <w:szCs w:val="20"/>
              </w:rPr>
              <w:fldChar w:fldCharType="end"/>
            </w:r>
          </w:p>
        </w:tc>
        <w:tc>
          <w:tcPr>
            <w:tcW w:w="1350" w:type="dxa"/>
            <w:shd w:val="clear" w:color="auto" w:fill="auto"/>
            <w:noWrap/>
          </w:tcPr>
          <w:p w14:paraId="01035F9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WNV</w:t>
            </w:r>
          </w:p>
        </w:tc>
        <w:tc>
          <w:tcPr>
            <w:tcW w:w="1979" w:type="dxa"/>
            <w:shd w:val="clear" w:color="auto" w:fill="auto"/>
            <w:noWrap/>
          </w:tcPr>
          <w:p w14:paraId="7976C35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Horse</w:t>
            </w:r>
          </w:p>
        </w:tc>
        <w:tc>
          <w:tcPr>
            <w:tcW w:w="1085" w:type="dxa"/>
            <w:shd w:val="clear" w:color="auto" w:fill="auto"/>
            <w:noWrap/>
          </w:tcPr>
          <w:p w14:paraId="5C302C1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tcPr>
          <w:p w14:paraId="3F17FA6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Bayesian spatial lag model</w:t>
            </w:r>
          </w:p>
        </w:tc>
        <w:tc>
          <w:tcPr>
            <w:tcW w:w="3143" w:type="dxa"/>
            <w:shd w:val="clear" w:color="auto" w:fill="auto"/>
            <w:noWrap/>
          </w:tcPr>
          <w:p w14:paraId="15EEBE1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Mean temperature</w:t>
            </w:r>
          </w:p>
        </w:tc>
        <w:tc>
          <w:tcPr>
            <w:tcW w:w="2255" w:type="dxa"/>
            <w:shd w:val="clear" w:color="auto" w:fill="auto"/>
            <w:noWrap/>
          </w:tcPr>
          <w:p w14:paraId="02FECBA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Coefficient</w:t>
            </w:r>
          </w:p>
        </w:tc>
      </w:tr>
      <w:tr w:rsidR="00AE7B15" w:rsidRPr="006D3EC4" w14:paraId="4A92FF6F" w14:textId="77777777" w:rsidTr="00A93316">
        <w:trPr>
          <w:trHeight w:val="300"/>
        </w:trPr>
        <w:tc>
          <w:tcPr>
            <w:tcW w:w="1169" w:type="dxa"/>
            <w:shd w:val="clear" w:color="auto" w:fill="auto"/>
            <w:noWrap/>
            <w:hideMark/>
          </w:tcPr>
          <w:p w14:paraId="574A1C80" w14:textId="2FC7C77E"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{"citationID":"di7L5ozQ","properties":{"formattedCitation":"(Messina {\\i{}et al.} 2016)","plainCitation":"(Messina et al. 2016)","noteIndex":0},"citationItems":[{"id":7717,"uris":["http://zotero.org/users/275805/items/XZQ5NC6M"],"uri":["http://zotero.org/users/275805/items/XZQ5NC6M"],"itemData":{"id":7717,"type":"article-journal","title":"Mapping global environmental suitability for Zika virus.","container-title":"eLife","volume":"5","source":"europepmc.org","abstract":"Zika virus was discovered in Uganda in 1947 and is transmitted by Aedes mosquitoes, which also act as vectors for dengue and chikungunya viruses throughout much of the tropical world. In 2007, an outbreak in the Federated States of Micronesia sparked ...","URL":"https://europepmc.org/articles/PMC4889326/","DOI":"10.7554/eLife.15272","ISSN":"2050-084X","note":"PMID: 27090089","journalAbbreviation":"Elife","language":"eng","author":[{"family":"Messina","given":"J. P."},{"family":"Kraemer","given":"M. U."},{"family":"Brady","given":"O. J."},{"family":"Pigott","given":"D. M."},{"family":"Shearer","given":"F. M."},{"family":"Weiss","given":"D. J."},{"family":"Golding","given":"N."},{"family":"Ruktanonchai","given":"C. W."},{"family":"Gething","given":"P. W."},{"family":"Cohn","given":"E."},{"family":"Brownstein","given":"J. S."},{"family":"Khan","given":"K."},{"family":"Tatem","given":"A. J."},{"family":"Jaenisch","given":"T."},{"family":"Murray","given":"C. J."},{"family":"Marinho","given":"F."},{"family":"Scott","given":"T. W."},{"family":"Hay","given":"S. I."}],"issued":{"date-parts":[["2016"]]},"accessed":{"date-parts":[["2019",3,4]]}}}],"schema":"https://github.com/citation-style-language/schema/raw/master/csl-citation.json"}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(Messina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5134516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ZIKV</w:t>
            </w:r>
          </w:p>
        </w:tc>
        <w:tc>
          <w:tcPr>
            <w:tcW w:w="1979" w:type="dxa"/>
            <w:shd w:val="clear" w:color="auto" w:fill="auto"/>
            <w:noWrap/>
            <w:hideMark/>
          </w:tcPr>
          <w:p w14:paraId="5F23B116"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774D7C9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72B0D63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0517BCE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WorldClim restricted by DENV transmission suitability</w:t>
            </w:r>
          </w:p>
        </w:tc>
        <w:tc>
          <w:tcPr>
            <w:tcW w:w="2255" w:type="dxa"/>
            <w:shd w:val="clear" w:color="auto" w:fill="auto"/>
          </w:tcPr>
          <w:p w14:paraId="7AB69C3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2B36B93C" w14:textId="77777777" w:rsidTr="00A93316">
        <w:trPr>
          <w:trHeight w:val="300"/>
        </w:trPr>
        <w:tc>
          <w:tcPr>
            <w:tcW w:w="1169" w:type="dxa"/>
            <w:shd w:val="clear" w:color="auto" w:fill="auto"/>
            <w:noWrap/>
            <w:hideMark/>
          </w:tcPr>
          <w:p w14:paraId="045E1414" w14:textId="2D9E3592"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{"citationID":"OFxZbBVh","properties":{"formattedCitation":"(Samy {\\i{}et al.} 2016)","plainCitation":"(Samy et al. 2016)","noteIndex":0},"citationItems":[{"id":6210,"uris":["http://zotero.org/users/275805/items/WHEZNGFX"],"uri":["http://zotero.org/users/275805/items/WHEZNGFX"],"itemData":{"id":6210,"type":"article-journal","title":"Mapping the global geographic potential of Zika virus spread","container-title":"Memórias do Instituto Oswaldo Cruz","page":"559-560","volume":"111","issue":"9","source":"SciELO","abstract":"The Americas are presently experiencing the most serious known outbreak of Zika virus (ZIKV). Here, we present a novel set of analyses using environmental characteristics, vector mosquito distributions, and socioeconomic risk factors to develop the first map to detail global ZIKV transmission risk in multiple dimensions based on ecological niche models. Our model predictions were tested against independent evaluation data sets, and all models had predictive ability significantly better than random expectations. The study addresses urgent knowledge gaps regarding (1) the potential geographic scope of the current ZIKV epidemic, (2) the global potential for spread of ZIKV, and (3) drivers of ZIKV transmission. Our analysis of potential drivers of ZIKV distributions globally identified areas vulnerable in terms of some drivers, but not for others. The results of these analyses can guide regional education and preparedness efforts, such that medical personnel will be better prepared for diagnosis of potential ZIKV cases as they appear.Key words: Zika virus; global distribution; risk; Aedes; Brazil; climate; socioeconomic; accessibility","DOI":"10.1590/0074-02760160149","ISSN":"0074-0276","author":[{"family":"Samy","given":"Abdallah M."},{"family":"Thomas","given":"Stephanie M."},{"family":"Wahed","given":"Ahmed Abd El"},{"family":"Cohoon","given":"Kevin P."},{"family":"Peterson","given":"A. Townsend"},{"family":"Samy","given":"Abdallah M."},{"family":"Thomas","given":"Stephanie M."},{"family":"Wahed","given":"Ahmed Abd El"},{"family":"Cohoon","given":"Kevin P."},{"family":"Peterson","given":"A. Townsend"}],"issued":{"date-parts":[["2016",9]]}}}],"schema":"https://github.com/citation-style-language/schema/raw/master/csl-citation.json"}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(Samy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2834F31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ZIKV</w:t>
            </w:r>
          </w:p>
        </w:tc>
        <w:tc>
          <w:tcPr>
            <w:tcW w:w="1979" w:type="dxa"/>
            <w:shd w:val="clear" w:color="auto" w:fill="auto"/>
            <w:noWrap/>
            <w:hideMark/>
          </w:tcPr>
          <w:p w14:paraId="125DCF09"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33DC496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24F9236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04CEF8B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Land surface temperature</w:t>
            </w:r>
          </w:p>
        </w:tc>
        <w:tc>
          <w:tcPr>
            <w:tcW w:w="2255" w:type="dxa"/>
            <w:shd w:val="clear" w:color="auto" w:fill="auto"/>
            <w:noWrap/>
            <w:hideMark/>
          </w:tcPr>
          <w:p w14:paraId="13291C7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0E073103" w14:textId="77777777" w:rsidTr="00A93316">
        <w:trPr>
          <w:trHeight w:val="300"/>
        </w:trPr>
        <w:tc>
          <w:tcPr>
            <w:tcW w:w="1169" w:type="dxa"/>
            <w:shd w:val="clear" w:color="auto" w:fill="auto"/>
            <w:noWrap/>
            <w:hideMark/>
          </w:tcPr>
          <w:p w14:paraId="6D6CF3C2" w14:textId="2FA9A99B"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{"citationID":"2WdDSaXM","properties":{"formattedCitation":"(Beebe {\\i{}et al.} 2009)","plainCitation":"(Beebe et al. 2009)","noteIndex":0},"citationItems":[{"id":7729,"uris":["http://zotero.org/users/275805/items/JHIYI6A9"],"uri":["http://zotero.org/users/275805/items/JHIYI6A9"],"itemData":{"id":7729,"type":"article-journal","title":"Australia's Dengue Risk Driven by Human Adaptation to Climate Change","container-title":"PLOS Neglected Tropical Diseases","page":"e429","volume":"3","issue":"5","source":"PLoS Journals","abstract":"Background The reduced rainfall in southeast Australia has placed this region's urban and rural communities on escalating water restrictions, with anthropogenic climate change forecasts suggesting that this drying trend will continue. To mitigate the stress this may place on domestic water supply, governments have encouraged the installation of large domestic water tanks in towns and cities throughout this region. These prospective stable mosquito larval sites create the possibility of the reintroduction of Ae. aegypti from Queensland, where it remains endemic, back into New South Wales and other populated centres in Australia, along with the associated emerging and re-emerging dengue risk if the virus was to be introduced. Methodology/Principal Findings Having collated the known distribution of Ae. aegypti in Australia, we built distributional models using a genetic algorithm to project Ae. aegypti's distribution under today's climate and under climate change scenarios for 2030 and 2050 and compared the outputs to published theoretical temperature limits. Incongruence identified between the models and theoretical temperature limits highlighted the difficulty of using point occurrence data to study a species whose distribution is mediated more by human activity than by climate. Synthesis of this data with dengue transmission climate limits in Australia derived from historical dengue epidemics suggested that a proliferation of domestic water storage tanks in Australia could result in another range expansion of Ae. aegypti which would present a risk of dengue transmission in most major cities during their warm summer months. Conclusions/Significance In the debate of the role climate change will play in the future range of dengue in Australia, we conclude that the increased risk of an Ae. aegypti range expansion in Australia would be due not directly to climate change but rather to human adaptation to the current and forecasted regional drying through the installation of large domestic water storing containers. The expansion of this efficient dengue vector presents both an emerging and re-emerging disease risk to Australia. Therefore, if the installation and maintenance of domestic water storage tanks is not tightly controlled, Ae. aegypti could expand its range again and cohabit with the majority of Australia's population, presenting a high potential dengue transmission risk during our warm summers.","DOI":"10.1371/journal.pntd.0000429","ISSN":"1935-2735","journalAbbreviation":"PLOS Neglected Tropical Diseases","language":"en","author":[{"family":"Beebe","given":"Nigel W."},{"family":"Cooper","given":"Robert D."},{"family":"Mottram","given":"Pipi"},{"family":"Sweeney","given":"Anthony W."}],"issued":{"date-parts":[["2009",5,5]]}}}],"schema":"https://github.com/citation-style-language/schema/raw/master/csl-citation.json"}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(Beebe </w:t>
            </w:r>
            <w:r w:rsidR="00EA4D79" w:rsidRPr="00EA4D79">
              <w:rPr>
                <w:i/>
                <w:iCs/>
                <w:sz w:val="20"/>
              </w:rPr>
              <w:t>et al.</w:t>
            </w:r>
            <w:r w:rsidR="00EA4D79" w:rsidRPr="00EA4D79">
              <w:rPr>
                <w:sz w:val="20"/>
              </w:rPr>
              <w:t xml:space="preserve"> 2009)</w:t>
            </w:r>
            <w:r w:rsidRPr="006D3EC4">
              <w:rPr>
                <w:rFonts w:eastAsia="Times New Roman"/>
                <w:color w:val="000000"/>
                <w:sz w:val="20"/>
                <w:szCs w:val="20"/>
              </w:rPr>
              <w:fldChar w:fldCharType="end"/>
            </w:r>
          </w:p>
        </w:tc>
        <w:tc>
          <w:tcPr>
            <w:tcW w:w="1350" w:type="dxa"/>
            <w:shd w:val="clear" w:color="auto" w:fill="auto"/>
            <w:noWrap/>
            <w:hideMark/>
          </w:tcPr>
          <w:p w14:paraId="07D045D4"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5C137C4D"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w:t>
            </w:r>
          </w:p>
        </w:tc>
        <w:tc>
          <w:tcPr>
            <w:tcW w:w="1085" w:type="dxa"/>
            <w:shd w:val="clear" w:color="auto" w:fill="auto"/>
            <w:noWrap/>
            <w:hideMark/>
          </w:tcPr>
          <w:p w14:paraId="72948F3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4846BA0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GARP</w:t>
            </w:r>
          </w:p>
        </w:tc>
        <w:tc>
          <w:tcPr>
            <w:tcW w:w="3143" w:type="dxa"/>
            <w:shd w:val="clear" w:color="auto" w:fill="auto"/>
            <w:noWrap/>
            <w:hideMark/>
          </w:tcPr>
          <w:p w14:paraId="5C5C377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Annual mean temperature, mean maximum and minimum temperatures for months of Jan and July</w:t>
            </w:r>
          </w:p>
        </w:tc>
        <w:tc>
          <w:tcPr>
            <w:tcW w:w="2255" w:type="dxa"/>
            <w:shd w:val="clear" w:color="auto" w:fill="auto"/>
          </w:tcPr>
          <w:p w14:paraId="58C80F7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31546B2" w14:textId="77777777" w:rsidTr="00A93316">
        <w:trPr>
          <w:trHeight w:val="300"/>
        </w:trPr>
        <w:tc>
          <w:tcPr>
            <w:tcW w:w="1169" w:type="dxa"/>
            <w:shd w:val="clear" w:color="auto" w:fill="auto"/>
            <w:noWrap/>
            <w:hideMark/>
          </w:tcPr>
          <w:p w14:paraId="44F00A92" w14:textId="0EA4A9E0"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{"citationID":"DaaPw74U","properties":{"formattedCitation":"(Benedict {\\i{}et al.} 2007)","plainCitation":"(Benedict et al. 2007)","noteIndex":0},"citationItems":[{"id":6866,"uris":["http://zotero.org/users/275805/items/8BZXETBM"],"uri":["http://zotero.org/users/275805/items/8BZXETBM"],"itemData":{"id":6866,"type":"article-journal","title":"Spread of The Tiger: Global Risk of Invasion by The Mosquito Aedes albopictus","container-title":"Vector-Borne and Zoonotic Diseases","page":"76-85","volume":"7","issue":"1","source":"liebertpub.com (Atypon)","abstract":"Aedes albopictus, commonly known as the Asian tiger mosquito, is currently the most invasive mosquito in the world. It is of medical importance due to its aggressive daytime human-biting behavior and ability to vector many viruses, including dengue, LaCrosse, and West Nile. Invasions into new areas of its potential range are often initiated through the transportation of eggs via the international trade in used tires. We use a genetic algorithm, Genetic Algorithm for Rule Set Production (GARP), to determine the ecological niche of Ae. albopictus and predict a global ecological risk map for the continued spread of the species. We combine this analysis with risk due to importation of tires from infested countries and their proximity to countries that have already been invaded to develop a list of countries most at risk for future introductions and establishments. Methods used here have potential for predicting risks of future invasions of vectors or pathogens. Key Words: Insect vectors—Biodiversity— Public health—Forecasting—Risk factors—Computer simulation. Vector-Borne Zoonotic Dis. 7, 76–85.","DOI":"10.1089/vbz.2006.0562","ISSN":"1530-3667","shortTitle":"Spread of The Tiger","journalAbbreviation":"Vector-Borne and Zoonotic Diseases","author":[{"family":"Benedict","given":"Mark Q."},{"family":"Levine","given":"Rebecca S."},{"family":"Hawley","given":"William A."},{"family":"Lounibos","given":"L. Philip"}],"issued":{"date-parts":[["2007",3,1]]}}}],"schema":"https://github.com/citation-style-language/schema/raw/master/csl-citation.json"}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(Benedict </w:t>
            </w:r>
            <w:r w:rsidR="00EA4D79" w:rsidRPr="00EA4D79">
              <w:rPr>
                <w:i/>
                <w:iCs/>
                <w:sz w:val="20"/>
              </w:rPr>
              <w:t>et al.</w:t>
            </w:r>
            <w:r w:rsidR="00EA4D79" w:rsidRPr="00EA4D79">
              <w:rPr>
                <w:sz w:val="20"/>
              </w:rPr>
              <w:t xml:space="preserve"> 2007)</w:t>
            </w:r>
            <w:r w:rsidRPr="006D3EC4">
              <w:rPr>
                <w:rFonts w:eastAsia="Times New Roman"/>
                <w:color w:val="000000"/>
                <w:sz w:val="20"/>
                <w:szCs w:val="20"/>
              </w:rPr>
              <w:fldChar w:fldCharType="end"/>
            </w:r>
          </w:p>
        </w:tc>
        <w:tc>
          <w:tcPr>
            <w:tcW w:w="1350" w:type="dxa"/>
            <w:shd w:val="clear" w:color="auto" w:fill="auto"/>
            <w:noWrap/>
            <w:hideMark/>
          </w:tcPr>
          <w:p w14:paraId="47D24BA5"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69ACD327"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albopictus</w:t>
            </w:r>
          </w:p>
        </w:tc>
        <w:tc>
          <w:tcPr>
            <w:tcW w:w="1085" w:type="dxa"/>
            <w:shd w:val="clear" w:color="auto" w:fill="auto"/>
            <w:noWrap/>
            <w:hideMark/>
          </w:tcPr>
          <w:p w14:paraId="262D73AF"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38BBC55C"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GARP</w:t>
            </w:r>
          </w:p>
        </w:tc>
        <w:tc>
          <w:tcPr>
            <w:tcW w:w="3143" w:type="dxa"/>
            <w:shd w:val="clear" w:color="auto" w:fill="auto"/>
            <w:noWrap/>
            <w:hideMark/>
          </w:tcPr>
          <w:p w14:paraId="168F2A8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Annual mean temperature, annual mean maximum temperature, annual mean minimum temperature, average DTR</w:t>
            </w:r>
          </w:p>
        </w:tc>
        <w:tc>
          <w:tcPr>
            <w:tcW w:w="2255" w:type="dxa"/>
            <w:shd w:val="clear" w:color="auto" w:fill="auto"/>
            <w:noWrap/>
            <w:hideMark/>
          </w:tcPr>
          <w:p w14:paraId="0D5F10D4"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Annual values for climatic environmental variables reported for georeferenced points</w:t>
            </w:r>
          </w:p>
        </w:tc>
      </w:tr>
      <w:tr w:rsidR="00AE7B15" w:rsidRPr="006D3EC4" w14:paraId="10B02086" w14:textId="77777777" w:rsidTr="00A93316">
        <w:trPr>
          <w:trHeight w:val="300"/>
        </w:trPr>
        <w:tc>
          <w:tcPr>
            <w:tcW w:w="1169" w:type="dxa"/>
            <w:shd w:val="clear" w:color="auto" w:fill="auto"/>
            <w:noWrap/>
            <w:hideMark/>
          </w:tcPr>
          <w:p w14:paraId="3245DE8D" w14:textId="17AE3C7D"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{"citationID":"WjefhBkY","properties":{"formattedCitation":"(Bogoch {\\i{}et al.} 2016)","plainCitation":"(Bogoch et al. 2016)","noteIndex":0},"citationItems":[{"id":7738,"uris":["http://zotero.org/users/275805/items/7JI7YL3I"],"uri":["http://zotero.org/users/275805/items/7JI7YL3I"],"itemData":{"id":7738,"type":"article-journal","title":"Anticipating the international spread of Zika virus from Brazil","container-title":"The Lancet","page":"335-336","volume":"387","issue":"10016","source":"www.thelancet.com","abstract":"In May, 2015, locally acquired cases of Zika virus—an arbovirus found in Africa and\nAsia-Pacific and transmitted via Aedes mosquitoes—were confirmed in Brazil. The presence\nof Aedes mosquitoes across Latin America, coupled with suitable climatic conditions,\nhave triggered a Zika virus epidemic in Brazil, currently estimated at 440 000–1 300 000\ncases.1 Viraemic travellers have now introduced Zika virus into at least 13 additional\ncountries, where susceptible Aedes mosquitoes have become infected and perpetuated\nlocal transmission cycles.","DOI":"10.1016/S0140-6736(16)00080-5","ISSN":"0140-6736, 1474-547X","note":"PMID: 26777915","journalAbbreviation":"The Lancet","language":"English","author":[{"family":"Bogoch","given":"Isaac I."},{"family":"Brady","given":"Oliver J."},{"family":"Kraemer","given":"Moritz U. G."},{"family":"German","given":"Matthew"},{"family":"Creatore","given":"Marisa I."},{"family":"Kulkarni","given":"Manisha A."},{"family":"Brownstein","given":"John S."},{"family":"Mekaru","given":"Sumiko R."},{"family":"Hay","given":"Simon I."},{"family":"Groot","given":"Emily"},{"family":"Watts","given":"Alexander"},{"family":"Khan","given":"Kamran"}],"issued":{"date-parts":[["2016",1,23]]}}}],"schema":"https://github.com/citation-style-language/schema/raw/master/csl-citation.json"}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(Bogoch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3D77906E"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2EEC9132"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noWrap/>
            <w:hideMark/>
          </w:tcPr>
          <w:p w14:paraId="448AFEB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Eggs, larvae, pupae, adults</w:t>
            </w:r>
          </w:p>
        </w:tc>
        <w:tc>
          <w:tcPr>
            <w:tcW w:w="1979" w:type="dxa"/>
            <w:shd w:val="clear" w:color="auto" w:fill="auto"/>
            <w:noWrap/>
            <w:hideMark/>
          </w:tcPr>
          <w:p w14:paraId="235A53E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5B5178D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Masked temperature suitability determined by dynamic population-level simulation</w:t>
            </w:r>
          </w:p>
        </w:tc>
        <w:tc>
          <w:tcPr>
            <w:tcW w:w="2255" w:type="dxa"/>
            <w:shd w:val="clear" w:color="auto" w:fill="auto"/>
          </w:tcPr>
          <w:p w14:paraId="5F95CB9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4081A14D" w14:textId="77777777" w:rsidTr="00A93316">
        <w:trPr>
          <w:trHeight w:val="300"/>
        </w:trPr>
        <w:tc>
          <w:tcPr>
            <w:tcW w:w="1169" w:type="dxa"/>
            <w:shd w:val="clear" w:color="auto" w:fill="auto"/>
            <w:noWrap/>
            <w:hideMark/>
          </w:tcPr>
          <w:p w14:paraId="4FDC5ECA" w14:textId="136BA3C6"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{"citationID":"yRJyCFiD","properties":{"formattedCitation":"(Campbell {\\i{}et al.} 2015)","plainCitation":"(Campbell et al. 2015)","noteIndex":0},"citationItems":[{"id":7732,"uris":["http://zotero.org/users/275805/items/4Z5K4L8M"],"uri":["http://zotero.org/users/275805/items/4Z5K4L8M"],"itemData":{"id":7732,"type":"article-journal","title":"Climate change influences on global distributions of dengue and chikungunya virus vectors","container-title":"Philosophical Transactions of the Royal Society B: Biological Sciences","page":"20140135","volume":"370","issue":"1665","source":"royalsocietypublishing.org (Atypon)","abstract":"Numerous recent studies have illuminated global distributions of human cases of dengue and other mosquito-transmitted diseases, yet the potential distributions of key vector species have not been incorporated integrally into those mapping efforts. Projections onto future conditions to illuminate potential distributional shifts in coming decades are similarly lacking, at least outside Europe. This study examined the global potential distributions of Aedes aegypti and Aedes albopictus in relation to climatic variation worldwide to develop ecological niche models that, in turn, allowed anticipation of possible changes in distributional patterns into the future. Results indicated complex global rearrangements of potential distributional areas, which—given the impressive dispersal abilities of these two species—are likely to translate into actual distributional shifts. This exercise also signalled a crucial priority: digitization and sharing of existing distributional data so that models of this sort can be developed more rigorously, as present availability of such data is fragmentary and woefully incomplete.","DOI":"10.1098/rstb.2014.0135","journalAbbreviation":"Philosophical Transactions of the Royal Society B: Biological Sciences","author":[{"family":"Campbell","given":"Lindsay P."},{"family":"Luther","given":"Caylor"},{"family":"Moo-Llanes","given":"David"},{"family":"Ramsey","given":"Janine M."},{"family":"Danis-Lozano","given":"Rogelio"},{"family":"Peterson","given":"A. Townsend"}],"issued":{"date-parts":[["2015",4,5]]}}}],"schema":"https://github.com/citation-style-language/schema/raw/master/csl-citation.json"}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(Campbell </w:t>
            </w:r>
            <w:r w:rsidR="00EA4D79" w:rsidRPr="00EA4D79">
              <w:rPr>
                <w:i/>
                <w:iCs/>
                <w:sz w:val="20"/>
              </w:rPr>
              <w:t>et al.</w:t>
            </w:r>
            <w:r w:rsidR="00EA4D79" w:rsidRPr="00EA4D79">
              <w:rPr>
                <w:sz w:val="20"/>
              </w:rPr>
              <w:t xml:space="preserve"> 2015)</w:t>
            </w:r>
            <w:r w:rsidRPr="006D3EC4">
              <w:rPr>
                <w:rFonts w:eastAsia="Times New Roman"/>
                <w:color w:val="000000"/>
                <w:sz w:val="20"/>
                <w:szCs w:val="20"/>
              </w:rPr>
              <w:fldChar w:fldCharType="end"/>
            </w:r>
          </w:p>
        </w:tc>
        <w:tc>
          <w:tcPr>
            <w:tcW w:w="1350" w:type="dxa"/>
            <w:shd w:val="clear" w:color="auto" w:fill="auto"/>
            <w:noWrap/>
            <w:hideMark/>
          </w:tcPr>
          <w:p w14:paraId="542D485E"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683E27F2"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338F5B0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1DA4463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422716B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WorldClim (monthly average maximum temperature, monthly average minimum temperature)</w:t>
            </w:r>
          </w:p>
        </w:tc>
        <w:tc>
          <w:tcPr>
            <w:tcW w:w="2255" w:type="dxa"/>
            <w:shd w:val="clear" w:color="auto" w:fill="auto"/>
          </w:tcPr>
          <w:p w14:paraId="709FE0D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13209AC6" w14:textId="77777777" w:rsidTr="00A93316">
        <w:trPr>
          <w:trHeight w:val="300"/>
        </w:trPr>
        <w:tc>
          <w:tcPr>
            <w:tcW w:w="1169" w:type="dxa"/>
            <w:shd w:val="clear" w:color="auto" w:fill="auto"/>
            <w:noWrap/>
            <w:hideMark/>
          </w:tcPr>
          <w:p w14:paraId="4815D0ED" w14:textId="053A302C"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{"citationID":"dCzpY1V7","properties":{"formattedCitation":"(Cardoso-Leite {\\i{}et al.} 2014)","plainCitation":"(Cardoso-Leite et al. 2014)","noteIndex":0},"citationItems":[{"id":7761,"uris":["http://zotero.org/users/275805/items/EFJXYHWE"],"uri":["http://zotero.org/users/275805/items/EFJXYHWE"],"itemData":{"id":7761,"type":"article-journal","title":"Recent and future environmental suitability to dengue fever in Brazil using species distribution model","container-title":"Transactions of The Royal Society of Tropical Medicine and Hygiene","page":"99-104","volume":"108","issue":"2","source":"academic.oup.com","abstract":"AbstractBackground.  Dengue fever is a mosquito-borne disease that affects more than 2.5 billion people worldwide. Here, we used the dataset of municipality inf","DOI":"10.1093/trstmh/trt115","ISSN":"0035-9203","journalAbbreviation":"Trans R Soc Trop Med Hyg","language":"en","author":[{"family":"Cardoso-Leite","given":"Ricardo"},{"family":"Vilarinho","given":"Ana Carolina"},{"family":"Novaes","given":"Marcos Carneiro"},{"family":"Tonetto","given":"Aurélio Fajar"},{"family":"Vilardi","given":"Gabriel Cestari"},{"family":"Guillermo-Ferreira","given":"Rhainer"}],"issued":{"date-parts":[["2014",2,1]]}}}],"schema":"https://github.com/citation-style-language/schema/raw/master/csl-citation.json"}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(Cardoso-Leite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07FCF8A8"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0EDBEF5E"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w:t>
            </w:r>
          </w:p>
        </w:tc>
        <w:tc>
          <w:tcPr>
            <w:tcW w:w="1085" w:type="dxa"/>
            <w:shd w:val="clear" w:color="auto" w:fill="auto"/>
            <w:noWrap/>
            <w:hideMark/>
          </w:tcPr>
          <w:p w14:paraId="267AB4A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4C722E4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53666D6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(annual mean temperature, mean diurnal range, isothermality, temperature seasonality, maximum temperature of warmest month, minimum temperature of coldest month, temperature annual range, mean temperature of wettest quarter, mean temperature of driest quarter, mean temperature of warmest quarter, mean temperature of coldest quarter)</w:t>
            </w:r>
          </w:p>
        </w:tc>
        <w:tc>
          <w:tcPr>
            <w:tcW w:w="2255" w:type="dxa"/>
            <w:shd w:val="clear" w:color="auto" w:fill="auto"/>
          </w:tcPr>
          <w:p w14:paraId="1B7FDBD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08ACB7E9" w14:textId="77777777" w:rsidTr="00A93316">
        <w:trPr>
          <w:trHeight w:val="300"/>
        </w:trPr>
        <w:tc>
          <w:tcPr>
            <w:tcW w:w="1169" w:type="dxa"/>
            <w:shd w:val="clear" w:color="auto" w:fill="auto"/>
            <w:noWrap/>
            <w:hideMark/>
          </w:tcPr>
          <w:p w14:paraId="64DE5A18" w14:textId="0FE48520"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{"citationID":"4Ff1ENK7","properties":{"formattedCitation":"(Cunze {\\i{}et al.} 2016)","plainCitation":"(Cunze et al. 2016)","noteIndex":0},"citationItems":[{"id":7726,"uris":["http://zotero.org/users/275805/items/SA5QKSXG"],"uri":["http://zotero.org/users/275805/items/SA5QKSXG"],"itemData":{"id":7726,"type":"article-journal","title":"Aedes albopictus and Aedes japonicus - two invasive mosquito species with different temperature niches in Europe","container-title":"Parasites &amp; Vectors","page":"573","volume":"9","issue":"1","source":"BioMed Central","abstract":"Aedes albopictus and Ae. japonicus are two of the most widespread invasive mosquito species that have recently become established in western Europe. Both species are associated with the transmission of a number of serious diseases and are projected to continue their spread in Europe.","DOI":"10.1186/s13071-016-1853-2","ISSN":"1756-3305","journalAbbreviation":"Parasites &amp; Vectors","author":[{"family":"Cunze","given":"Sarah"},{"family":"Koch","given":"Lisa K."},{"family":"Kochmann","given":"Judith"},{"family":"Klimpel","given":"Sven"}],"issued":{"date-parts":[["2016",11,4]]}}}],"schema":"https://github.com/citation-style-language/schema/raw/master/csl-citation.json"}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(Cunze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41334574"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66FC3AD8"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albopictus, Aedes japonicus</w:t>
            </w:r>
          </w:p>
        </w:tc>
        <w:tc>
          <w:tcPr>
            <w:tcW w:w="1085" w:type="dxa"/>
            <w:shd w:val="clear" w:color="auto" w:fill="auto"/>
          </w:tcPr>
          <w:p w14:paraId="756A6A26"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0E77336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 and ensemble forecasting</w:t>
            </w:r>
          </w:p>
        </w:tc>
        <w:tc>
          <w:tcPr>
            <w:tcW w:w="3143" w:type="dxa"/>
            <w:shd w:val="clear" w:color="auto" w:fill="auto"/>
            <w:noWrap/>
            <w:hideMark/>
          </w:tcPr>
          <w:p w14:paraId="0DFC038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 xml:space="preserve">WorldClim (mean temperature of coldest quarter, mean temperature </w:t>
            </w:r>
            <w:r w:rsidRPr="006D3EC4">
              <w:rPr>
                <w:rFonts w:eastAsia="Times New Roman"/>
                <w:color w:val="000000"/>
                <w:sz w:val="20"/>
                <w:szCs w:val="20"/>
              </w:rPr>
              <w:lastRenderedPageBreak/>
              <w:t>of warmest quarter, temperature annual range)</w:t>
            </w:r>
          </w:p>
        </w:tc>
        <w:tc>
          <w:tcPr>
            <w:tcW w:w="2255" w:type="dxa"/>
            <w:shd w:val="clear" w:color="auto" w:fill="auto"/>
          </w:tcPr>
          <w:p w14:paraId="181F6D3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lastRenderedPageBreak/>
              <w:t>Not given</w:t>
            </w:r>
          </w:p>
        </w:tc>
      </w:tr>
      <w:tr w:rsidR="00AE7B15" w:rsidRPr="006D3EC4" w14:paraId="35487C50" w14:textId="77777777" w:rsidTr="00A93316">
        <w:trPr>
          <w:trHeight w:val="300"/>
        </w:trPr>
        <w:tc>
          <w:tcPr>
            <w:tcW w:w="1169" w:type="dxa"/>
            <w:shd w:val="clear" w:color="auto" w:fill="auto"/>
            <w:noWrap/>
            <w:hideMark/>
          </w:tcPr>
          <w:p w14:paraId="65182794" w14:textId="33B85F58"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{"citationID":"NTvPSIKo","properties":{"formattedCitation":"(Escobar {\\i{}et al.} 2016b)","plainCitation":"(Escobar et al. 2016b)","noteIndex":0},"citationItems":[{"id":7756,"uris":["http://zotero.org/users/275805/items/6J36YUP6"],"uri":["http://zotero.org/users/275805/items/6J36YUP6"],"itemData":{"id":7756,"type":"article-journal","title":"Declining Prevalence of Disease Vectors Under Climate Change","container-title":"Scientific Reports","page":"39150","volume":"6","source":"www.nature.com","abstract":"More than half of the world population is at risk of vector-borne diseases including dengue fever, chikungunya, zika, yellow fever, leishmaniasis, chagas disease, and malaria, with highest incidences in tropical regions. In Ecuador, vector-borne diseases are present from coastal and Amazonian regions to the Andes Mountains; however, a detailed characterization of the distribution of their vectors has never been carried out. We estimate the distribution of 14 vectors of the above vector-borne diseases under present-day and future climates. Our results consistently suggest that climate warming is likely threatening some vector species with extinction, locally or completely. These results suggest that climate change could reduce the burden of specific vector species. Other vector species are likely to shift and constrain their geographic range to the highlands in Ecuador potentially affecting novel areas and populations. These forecasts show the need for development of early prevention strategies for vector species currently absent in areas projected as suitable under future climate conditions. Informed interventions could reduce the risk of human exposure to vector species with distributional shifts, in response to current and future climate changes. Based on the mixed effects of future climate on human exposure to disease vectors, we argue that research on vector-borne diseases should be cross-scale and include climatic, demographic, and landscape factors, as well as forces facilitating disease transmission at fine scales.","DOI":"10.1038/srep39150","ISSN":"2045-2322","language":"en","author":[{"family":"Escobar","given":"Luis E."},{"family":"Romero-Alvarez","given":"Daniel"},{"family":"Leon","given":"Renato"},{"family":"Lepe-Lopez","given":"Manuel A."},{"family":"Craft","given":"Meggan E."},{"family":"Borbor-Cordova","given":"Mercy J."},{"family":"Svenning","given":"Jens-Christian"}],"issued":{"date-parts":[["2016",12,16]]}}}],"schema":"https://github.com/citation-style-language/schema/raw/master/csl-citation.json"}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(Escobar </w:t>
            </w:r>
            <w:r w:rsidR="00EA4D79" w:rsidRPr="00EA4D79">
              <w:rPr>
                <w:i/>
                <w:iCs/>
                <w:sz w:val="20"/>
              </w:rPr>
              <w:t>et al.</w:t>
            </w:r>
            <w:r w:rsidR="00EA4D79" w:rsidRPr="00EA4D79">
              <w:rPr>
                <w:sz w:val="20"/>
              </w:rPr>
              <w:t xml:space="preserve"> 2016b)</w:t>
            </w:r>
            <w:r w:rsidRPr="006D3EC4">
              <w:rPr>
                <w:rFonts w:eastAsia="Times New Roman"/>
                <w:color w:val="000000"/>
                <w:sz w:val="20"/>
                <w:szCs w:val="20"/>
              </w:rPr>
              <w:fldChar w:fldCharType="end"/>
            </w:r>
          </w:p>
        </w:tc>
        <w:tc>
          <w:tcPr>
            <w:tcW w:w="1350" w:type="dxa"/>
            <w:shd w:val="clear" w:color="auto" w:fill="auto"/>
            <w:noWrap/>
            <w:hideMark/>
          </w:tcPr>
          <w:p w14:paraId="6AB352F9"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7C82FE1C"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tcPr>
          <w:p w14:paraId="485B685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75BEA84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2E4B4B8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Land surface temperature</w:t>
            </w:r>
          </w:p>
        </w:tc>
        <w:tc>
          <w:tcPr>
            <w:tcW w:w="2255" w:type="dxa"/>
            <w:shd w:val="clear" w:color="auto" w:fill="auto"/>
            <w:noWrap/>
            <w:hideMark/>
          </w:tcPr>
          <w:p w14:paraId="199CF3FA"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2B96F0DF" w14:textId="77777777" w:rsidTr="00A93316">
        <w:trPr>
          <w:trHeight w:val="300"/>
        </w:trPr>
        <w:tc>
          <w:tcPr>
            <w:tcW w:w="1169" w:type="dxa"/>
            <w:shd w:val="clear" w:color="auto" w:fill="auto"/>
            <w:noWrap/>
            <w:hideMark/>
          </w:tcPr>
          <w:p w14:paraId="38D5CF45" w14:textId="6D3E8DBC"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{"citationID":"R1Kwnl0w","properties":{"formattedCitation":"(Koch {\\i{}et al.} 2016)","plainCitation":"(Koch et al. 2016)","noteIndex":0},"citationItems":[{"id":7758,"uris":["http://zotero.org/users/275805/items/CQT54FFT"],"uri":["http://zotero.org/users/275805/items/CQT54FFT"],"itemData":{"id":7758,"type":"article-journal","title":"Modeling the habitat suitability for the arbovirus vector Aedes albopictus (Diptera: Culicidae) in Germany","container-title":"Parasitology Research","page":"957-964","volume":"115","issue":"3","source":"Springer Link","abstract":"Climatic changes raise the risk of re-emergence of arthropod-borne virus outbreaks globally. These viruses are transmitted by arthropod vectors, often mosquitoes. Due to increasing worldwide trade and tourism, these vector species are often accidentally introduced into many countries beyond their former distribution range. Aedes albopictus, a well-known disease vector, was detected for the first time in Germany in 2007, but seems to have failed establishment until today. However, the species is known to occur in other temperate regions and a risk for establishment in Germany remains, especially in the face of predicted climate change. Thus, the goal of the study was to estimate the potential distribution of Ae. albopictus in Germany. We used ecological niche modeling in order to estimate the potential habitat suitability for this species under current and projected future climatic conditions. According to our model, there are already two areas in western and southern Germany that appear suitable for Ae. albopictus under current climatic conditions. One of these areas lies in Baden-Wuerttemberg, the other in North-Rhine Westphalia in the Ruhr region. Furthermore, projections under future climatic conditions show an increase of the modeled habitat suitability throughout Germany. Ae. albopictus is supposed to be better acclimated to colder temperatures than other tropical vectors and thus, might become, triggered by climate change, a serious threat to public health in Germany. Our modeling results can help optimizing the design of monitoring programs currently in place in Germany.","DOI":"10.1007/s00436-015-4822-3","ISSN":"1432-1955","shortTitle":"Modeling the habitat suitability for the arbovirus vector Aedes albopictus (Diptera","journalAbbreviation":"Parasitol Res","language":"en","author":[{"family":"Koch","given":"Lisa K."},{"family":"Cunze","given":"Sarah"},{"family":"Werblow","given":"Antje"},{"family":"Kochmann","given":"Judith"},{"family":"Dörge","given":"Dorian D."},{"family":"Mehlhorn","given":"Heinz"},{"family":"Klimpel","given":"Sven"}],"issued":{"date-parts":[["2016",3,1]]}}}],"schema":"https://github.com/citation-style-language/schema/raw/master/csl-citation.json"}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(Koch </w:t>
            </w:r>
            <w:r w:rsidR="00EA4D79" w:rsidRPr="00EA4D79">
              <w:rPr>
                <w:i/>
                <w:iCs/>
                <w:sz w:val="20"/>
              </w:rPr>
              <w:t>et al.</w:t>
            </w:r>
            <w:r w:rsidR="00EA4D79" w:rsidRPr="00EA4D79">
              <w:rPr>
                <w:sz w:val="20"/>
              </w:rPr>
              <w:t xml:space="preserve"> 2016)</w:t>
            </w:r>
            <w:r w:rsidRPr="006D3EC4">
              <w:rPr>
                <w:rFonts w:eastAsia="Times New Roman"/>
                <w:color w:val="000000"/>
                <w:sz w:val="20"/>
                <w:szCs w:val="20"/>
              </w:rPr>
              <w:fldChar w:fldCharType="end"/>
            </w:r>
          </w:p>
        </w:tc>
        <w:tc>
          <w:tcPr>
            <w:tcW w:w="1350" w:type="dxa"/>
            <w:shd w:val="clear" w:color="auto" w:fill="auto"/>
            <w:noWrap/>
            <w:hideMark/>
          </w:tcPr>
          <w:p w14:paraId="7D7D6B78"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4F90DFE4"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 xml:space="preserve">Aedes albopictus </w:t>
            </w:r>
          </w:p>
        </w:tc>
        <w:tc>
          <w:tcPr>
            <w:tcW w:w="1085" w:type="dxa"/>
            <w:shd w:val="clear" w:color="auto" w:fill="auto"/>
            <w:noWrap/>
            <w:hideMark/>
          </w:tcPr>
          <w:p w14:paraId="03EA0D1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4503F37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43A09943"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WorldClim (annual mean temperature, mean temperature of warmest quarter, mean temperature of coldest quarter)</w:t>
            </w:r>
          </w:p>
        </w:tc>
        <w:tc>
          <w:tcPr>
            <w:tcW w:w="2255" w:type="dxa"/>
            <w:shd w:val="clear" w:color="auto" w:fill="auto"/>
            <w:noWrap/>
            <w:hideMark/>
          </w:tcPr>
          <w:p w14:paraId="0324888B"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One variable response curves of modeled habitat suitability and temperate measures</w:t>
            </w:r>
          </w:p>
        </w:tc>
      </w:tr>
      <w:tr w:rsidR="00AE7B15" w:rsidRPr="006D3EC4" w14:paraId="053FFD05" w14:textId="77777777" w:rsidTr="00A93316">
        <w:trPr>
          <w:trHeight w:val="300"/>
        </w:trPr>
        <w:tc>
          <w:tcPr>
            <w:tcW w:w="1169" w:type="dxa"/>
            <w:shd w:val="clear" w:color="auto" w:fill="auto"/>
            <w:noWrap/>
            <w:hideMark/>
          </w:tcPr>
          <w:p w14:paraId="58A37394" w14:textId="5F0C5DF7"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{"citationID":"5JOX0Yd0","properties":{"formattedCitation":"(Kraemer {\\i{}et al.} 2015)","plainCitation":"(Kraemer et al. 2015)","noteIndex":0},"citationItems":[{"id":4970,"uris":["http://zotero.org/groups/362967/items/9QBGS6E3"],"uri":["http://zotero.org/groups/362967/items/9QBGS6E3"],"itemData":{"id":4970,"type":"article-journal","title":"The global distribution of the arbovirus vectors Aedes aegypti and Ae. albopictus","container-title":"eLife","page":"e08347","volume":"4","source":"elifesciences.org","abstract":"Mosquitoes spread many disease-causing viruses and parasites between people and other animals, including viral infections such as dengue and chikungunya. Both infections cause high fevers often accompanied with excruciating joint pain or other flu-like symptoms. Dengue and chikungunya have become growing public health problems over the last fifty years. Today about half of the world's population is at risk of dengue infection, while chikungunya outbreaks, which were previously limited to Africa and Asia, have recently been reported in the Caribbean, South America and Europe. The dengue and chikungunya viruses are transmitted between people by two species of mosquitoes called Aedes aegypti and Ae. albopictus. Therefore it is important to work out where these mosquito species are found around the globe to identify the areas at risk. It is also important to predict where these species could become established if they were introduced, in order to identify areas that could become at risk in the future. Kraemer et al. now provide updated predictions about the distribution of these two mosquito species around the globe. These predictions are based upon the most up-to-date data on the known locations of the species combined with information on environmental conditions across the globe. The updated maps show that these Aedes mosquitoes are now found across all continents, including North America and Europe. Aedes albopictus mosquitoes in particular are rapidly expanding their territory around the globe. Kraemer et al. used their new maps to show that, unlike in the United States, many of the areas in Europe and China that could support this mosquito species do not yet appear to have been colonized. These findings provide a map of the distribution of both species as it stands at the moment. Further work is now needed to better understand which factors are contributing to the rapid expansion of these mosquitoes' range and what might be done to control this spread.","DOI":"10.7554/eLife.08347","ISSN":"2050-084X","note":"PMID: 26126267","language":"en","author":[{"family":"Kraemer","given":"Moritz UG"},{"family":"Sinka","given":"Marianne E."},{"family":"Duda","given":"Kirsten A."},{"family":"Mylne","given":"Adrian QN"},{"family":"Shearer","given":"Freya M."},{"family":"Barker","given":"Christopher M."},{"family":"Moore","given":"Chester G."},{"family":"Carvalho","given":"Roberta G."},{"family":"Coelho","given":"Giovanini E."},{"family":"Bortel","given":"Wim Van"},{"family":"Hendrickx","given":"Guy"},{"family":"Schaffner","given":"Francis"},{"family":"Elyazar","given":"Iqbal RF"},{"family":"Teng","given":"Hwa-Jen"},{"family":"Brady","given":"Oliver J."},{"family":"Messina","given":"Jane P."},{"family":"Pigott","given":"David M."},{"family":"Scott","given":"Thomas W."},{"family":"Smith","given":"David L."},{"family":"Wint","given":"GR William"},{"family":"Golding","given":"Nick"},{"family":"Hay","given":"Simon I."}],"issued":{"date-parts":[["2015",6,30]]}}}],"schema":"https://github.com/citation-style-language/schema/raw/master/csl-citation.json"}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(Kraemer </w:t>
            </w:r>
            <w:r w:rsidR="00EA4D79" w:rsidRPr="00EA4D79">
              <w:rPr>
                <w:i/>
                <w:iCs/>
                <w:sz w:val="20"/>
              </w:rPr>
              <w:t>et al.</w:t>
            </w:r>
            <w:r w:rsidR="00EA4D79" w:rsidRPr="00EA4D79">
              <w:rPr>
                <w:sz w:val="20"/>
              </w:rPr>
              <w:t xml:space="preserve"> 2015)</w:t>
            </w:r>
            <w:r w:rsidRPr="006D3EC4">
              <w:rPr>
                <w:rFonts w:eastAsia="Times New Roman"/>
                <w:color w:val="000000"/>
                <w:sz w:val="20"/>
                <w:szCs w:val="20"/>
              </w:rPr>
              <w:fldChar w:fldCharType="end"/>
            </w:r>
          </w:p>
        </w:tc>
        <w:tc>
          <w:tcPr>
            <w:tcW w:w="1350" w:type="dxa"/>
            <w:shd w:val="clear" w:color="auto" w:fill="auto"/>
            <w:noWrap/>
            <w:hideMark/>
          </w:tcPr>
          <w:p w14:paraId="1195DA12"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3CDBAE32"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aegypti, Aedes albopictus</w:t>
            </w:r>
          </w:p>
        </w:tc>
        <w:tc>
          <w:tcPr>
            <w:tcW w:w="1085" w:type="dxa"/>
            <w:shd w:val="clear" w:color="auto" w:fill="auto"/>
            <w:noWrap/>
            <w:hideMark/>
          </w:tcPr>
          <w:p w14:paraId="52B67CD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Eggs, larvae, pupae, adults</w:t>
            </w:r>
          </w:p>
        </w:tc>
        <w:tc>
          <w:tcPr>
            <w:tcW w:w="1979" w:type="dxa"/>
            <w:shd w:val="clear" w:color="auto" w:fill="auto"/>
            <w:noWrap/>
            <w:hideMark/>
          </w:tcPr>
          <w:p w14:paraId="3DE04BA7"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Boosted regression trees</w:t>
            </w:r>
          </w:p>
        </w:tc>
        <w:tc>
          <w:tcPr>
            <w:tcW w:w="3143" w:type="dxa"/>
            <w:shd w:val="clear" w:color="auto" w:fill="auto"/>
            <w:noWrap/>
            <w:hideMark/>
          </w:tcPr>
          <w:p w14:paraId="60C30FB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Temperature suitability based on previously published index</w:t>
            </w:r>
          </w:p>
        </w:tc>
        <w:tc>
          <w:tcPr>
            <w:tcW w:w="2255" w:type="dxa"/>
            <w:shd w:val="clear" w:color="auto" w:fill="auto"/>
          </w:tcPr>
          <w:p w14:paraId="363E0B3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3B8F1E59" w14:textId="77777777" w:rsidTr="00A93316">
        <w:trPr>
          <w:trHeight w:val="300"/>
        </w:trPr>
        <w:tc>
          <w:tcPr>
            <w:tcW w:w="1169" w:type="dxa"/>
            <w:shd w:val="clear" w:color="auto" w:fill="auto"/>
            <w:noWrap/>
            <w:hideMark/>
          </w:tcPr>
          <w:p w14:paraId="02DA4E5C" w14:textId="3BF31A9C"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{"citationID":"nCT4PU3i","properties":{"formattedCitation":"(Ogden {\\i{}et al.} 2014)","plainCitation":"(Ogden et al. 2014)","noteIndex":0},"citationItems":[{"id":3601,"uris":["http://zotero.org/users/275805/items/SBAJ5R3X"],"uri":["http://zotero.org/users/275805/items/SBAJ5R3X"],"itemData":{"id":3601,"type":"article-journal","title":"Recent and projected future climatic suitability of North America for the Asian tiger mosquito Aedes albopictus","container-title":"Parasites &amp; Vectors","page":"532","volume":"7","issue":"1","source":"www.parasitesandvectors.com","abstract":"Since the 1980s, populations of the Asian tiger mosquito Aedes albopictus have become established in south-eastern, eastern and central United States, extending to approximately 40°N. Ae. albopictus is a vector of a wide range of human pathogens including dengue and chikungunya viruses, which are currently emerging in the Caribbean and Central America and posing a threat to North America.","DOI":"10.1186/PREACCEPT-1602596875143833","ISSN":"1756-3305","language":"en","author":[{"family":"Ogden","given":"Nicholas H."},{"family":"Milka","given":"Radojevic"},{"family":"Caminade","given":"Cyril"},{"family":"Gachon","given":"Philippe"}],"issued":{"date-parts":[["2014",12,2]]}}}],"schema":"https://github.com/citation-style-language/schema/raw/master/csl-citation.json"}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(Ogden </w:t>
            </w:r>
            <w:r w:rsidR="00EA4D79" w:rsidRPr="00EA4D79">
              <w:rPr>
                <w:i/>
                <w:iCs/>
                <w:sz w:val="20"/>
              </w:rPr>
              <w:t>et al.</w:t>
            </w:r>
            <w:r w:rsidR="00EA4D79" w:rsidRPr="00EA4D79">
              <w:rPr>
                <w:sz w:val="20"/>
              </w:rPr>
              <w:t xml:space="preserve"> 2014)</w:t>
            </w:r>
            <w:r w:rsidRPr="006D3EC4">
              <w:rPr>
                <w:rFonts w:eastAsia="Times New Roman"/>
                <w:color w:val="000000"/>
                <w:sz w:val="20"/>
                <w:szCs w:val="20"/>
              </w:rPr>
              <w:fldChar w:fldCharType="end"/>
            </w:r>
          </w:p>
        </w:tc>
        <w:tc>
          <w:tcPr>
            <w:tcW w:w="1350" w:type="dxa"/>
            <w:shd w:val="clear" w:color="auto" w:fill="auto"/>
            <w:noWrap/>
            <w:hideMark/>
          </w:tcPr>
          <w:p w14:paraId="0BFCD2FA"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7D367319"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albopictus</w:t>
            </w:r>
          </w:p>
        </w:tc>
        <w:tc>
          <w:tcPr>
            <w:tcW w:w="1085" w:type="dxa"/>
            <w:shd w:val="clear" w:color="auto" w:fill="auto"/>
            <w:noWrap/>
            <w:hideMark/>
          </w:tcPr>
          <w:p w14:paraId="2CEA725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NA</w:t>
            </w:r>
          </w:p>
        </w:tc>
        <w:tc>
          <w:tcPr>
            <w:tcW w:w="1979" w:type="dxa"/>
            <w:shd w:val="clear" w:color="auto" w:fill="auto"/>
            <w:noWrap/>
            <w:hideMark/>
          </w:tcPr>
          <w:p w14:paraId="393176A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Scaled suitability and sigmoidal function</w:t>
            </w:r>
          </w:p>
        </w:tc>
        <w:tc>
          <w:tcPr>
            <w:tcW w:w="3143" w:type="dxa"/>
            <w:shd w:val="clear" w:color="auto" w:fill="auto"/>
            <w:noWrap/>
            <w:hideMark/>
          </w:tcPr>
          <w:p w14:paraId="39A1D8F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 xml:space="preserve">Climatological indicators (thresholds for annual temperature, January temperature, summer temperature) </w:t>
            </w:r>
          </w:p>
        </w:tc>
        <w:tc>
          <w:tcPr>
            <w:tcW w:w="2255" w:type="dxa"/>
            <w:shd w:val="clear" w:color="auto" w:fill="auto"/>
          </w:tcPr>
          <w:p w14:paraId="110D0540"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Not given</w:t>
            </w:r>
          </w:p>
        </w:tc>
      </w:tr>
      <w:tr w:rsidR="00AE7B15" w:rsidRPr="006D3EC4" w14:paraId="2286CB83" w14:textId="77777777" w:rsidTr="00A93316">
        <w:trPr>
          <w:trHeight w:val="300"/>
        </w:trPr>
        <w:tc>
          <w:tcPr>
            <w:tcW w:w="1169" w:type="dxa"/>
            <w:shd w:val="clear" w:color="auto" w:fill="auto"/>
            <w:noWrap/>
            <w:hideMark/>
          </w:tcPr>
          <w:p w14:paraId="7C8C1BB6" w14:textId="71E41D1E"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{"citationID":"oWKkS0rS","properties":{"formattedCitation":"(Rochlin {\\i{}et al.} 2013)","plainCitation":"(Rochlin et al. 2013)","noteIndex":0},"citationItems":[{"id":7742,"uris":["http://zotero.org/users/275805/items/HGR9AHXZ"],"uri":["http://zotero.org/users/275805/items/HGR9AHXZ"],"itemData":{"id":7742,"type":"article-journal","title":"Climate Change and Range Expansion of the Asian Tiger Mosquito (Aedes albopictus) in Northeastern USA: Implications for Public Health Practitioners","container-title":"PLoS One; San Francisco","page":"e60874","volume":"8","issue":"4","source":"ProQuest","abstract":"The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areas.","DOI":"http://dx.doi.org/10.1371/journal.pone.0060874","shortTitle":"Climate Change and Range Expansion of the Asian Tiger Mosquito (Aedes albopictus) in Northeastern USA","language":"English","author":[{"family":"Rochlin","given":"Ilia"},{"family":"Ninivaggi","given":"Dominick V."},{"family":"Hutchinson","given":"Michael L."},{"family":"Farajollahi","given":"Ary"}],"issued":{"date-parts":[["2013",4]]}}}],"schema":"https://github.com/citation-style-language/schema/raw/master/csl-citation.json"}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(Rochlin </w:t>
            </w:r>
            <w:r w:rsidR="00EA4D79" w:rsidRPr="00EA4D79">
              <w:rPr>
                <w:i/>
                <w:iCs/>
                <w:sz w:val="20"/>
              </w:rPr>
              <w:t>et al.</w:t>
            </w:r>
            <w:r w:rsidR="00EA4D79" w:rsidRPr="00EA4D79">
              <w:rPr>
                <w:sz w:val="20"/>
              </w:rPr>
              <w:t xml:space="preserve"> 2013)</w:t>
            </w:r>
            <w:r w:rsidRPr="006D3EC4">
              <w:rPr>
                <w:rFonts w:eastAsia="Times New Roman"/>
                <w:color w:val="000000"/>
                <w:sz w:val="20"/>
                <w:szCs w:val="20"/>
              </w:rPr>
              <w:fldChar w:fldCharType="end"/>
            </w:r>
          </w:p>
        </w:tc>
        <w:tc>
          <w:tcPr>
            <w:tcW w:w="1350" w:type="dxa"/>
            <w:shd w:val="clear" w:color="auto" w:fill="auto"/>
            <w:noWrap/>
            <w:hideMark/>
          </w:tcPr>
          <w:p w14:paraId="26101E17"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535F0D54"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 xml:space="preserve">Aedes albopictus </w:t>
            </w:r>
          </w:p>
        </w:tc>
        <w:tc>
          <w:tcPr>
            <w:tcW w:w="1085" w:type="dxa"/>
            <w:shd w:val="clear" w:color="auto" w:fill="auto"/>
            <w:noWrap/>
            <w:hideMark/>
          </w:tcPr>
          <w:p w14:paraId="008F3978"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Adult</w:t>
            </w:r>
          </w:p>
        </w:tc>
        <w:tc>
          <w:tcPr>
            <w:tcW w:w="1979" w:type="dxa"/>
            <w:shd w:val="clear" w:color="auto" w:fill="auto"/>
            <w:noWrap/>
            <w:hideMark/>
          </w:tcPr>
          <w:p w14:paraId="119C5DEE"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36CC22D1"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WorldClim (mean temperature of coldest quarter)</w:t>
            </w:r>
          </w:p>
        </w:tc>
        <w:tc>
          <w:tcPr>
            <w:tcW w:w="2255" w:type="dxa"/>
            <w:shd w:val="clear" w:color="auto" w:fill="auto"/>
            <w:noWrap/>
            <w:hideMark/>
          </w:tcPr>
          <w:p w14:paraId="50608979"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Null presence probability below -2°C mean winter temperature</w:t>
            </w:r>
          </w:p>
        </w:tc>
      </w:tr>
      <w:tr w:rsidR="00AE7B15" w:rsidRPr="006D3EC4" w14:paraId="2E4681D0" w14:textId="77777777" w:rsidTr="00A93316">
        <w:trPr>
          <w:trHeight w:val="300"/>
        </w:trPr>
        <w:tc>
          <w:tcPr>
            <w:tcW w:w="1169" w:type="dxa"/>
            <w:shd w:val="clear" w:color="auto" w:fill="auto"/>
            <w:noWrap/>
            <w:hideMark/>
          </w:tcPr>
          <w:p w14:paraId="283A314A" w14:textId="0CBDD3DB" w:rsidR="00AE7B15" w:rsidRPr="006D3EC4" w:rsidRDefault="00AE7B15" w:rsidP="00A93316">
            <w:pPr>
              <w:rPr>
                <w:rFonts w:eastAsia="Times New Roman"/>
                <w:color w:val="000000"/>
                <w:sz w:val="20"/>
                <w:szCs w:val="20"/>
              </w:rPr>
            </w:pPr>
            <w:r w:rsidRPr="006D3EC4">
              <w:rPr>
                <w:rFonts w:eastAsia="Times New Roman"/>
                <w:color w:val="000000"/>
                <w:sz w:val="20"/>
                <w:szCs w:val="20"/>
              </w:rPr>
              <w:fldChar w:fldCharType="begin"/>
            </w:r>
            <w:r w:rsidR="00EA4D79">
              <w:rPr>
                <w:rFonts w:eastAsia="Times New Roman"/>
                <w:color w:val="000000"/>
                <w:sz w:val="20"/>
                <w:szCs w:val="20"/>
              </w:rPr>
              <w:instrText xml:space="preserve"> ADDIN ZOTERO_ITEM CSL_CITATION {"citationID":"GnB3wPwa","properties":{"formattedCitation":"(Shabani {\\i{}et al.} 2018)","plainCitation":"(Shabani et al. 2018)","noteIndex":0},"citationItems":[{"id":7750,"uris":["http://zotero.org/users/275805/items/P4UZ4LR3"],"uri":["http://zotero.org/users/275805/items/P4UZ4LR3"],"itemData":{"id":7750,"type":"article-journal","title":"A comparative modeling study on non-climatic and climatic risk assessment on Asian Tiger Mosquito (Aedes albopictus)","container-title":"PeerJ","page":"e4474","volume":"6","source":"peerj.com","abstract":"Aedes albopictus, the Asian Tiger Mosquito, vector of Chikungunya, Dengue Fever and Zika viruses, has proven its hardy adaptability in expansion from its natural Asian, forest edge, tree hole habitat on the back of international trade transportation, re-establishing in temperate urban surrounds, in a range of water receptacles and semi-enclosures of organic matter. Conventional aerial spray mosquito vector controls focus on wetland and stagnant water expanses, proven to miss the protected hollows and crevices favoured by Ae. albopictus. New control or eradication strategies are thus essential, particular in light of potential expansions in the southeastern and eastern USA. Successful regional vector control strategies require risk level analysis. Should strategies prioritize regions with non-climatic or climatic suitability parameters for Ae. albopictus? Our study used current Ae. albopictus distribution data to develop two independent models: (i) regions with suitable non-climatic factors, and (ii) regions with suitable climate for Ae. albopictus in southeastern USA. Non-climatic model processing used Evidential Belief Function (EBF), together with six geographical conditioning factors (raster data layers), to establish the probability index. Validation of the analysis results was estimated with area under the curve (AUC) using Ae. albopictus presence data. Climatic modeling was based on two General Circulation Models (GCMs), Miroc3.2 and CSIRO-MK30 running the RCP 8.5 scenario in MaxEnt software. EBF non-climatic model results achieved a 0.70 prediction rate and 0.73 success rate, confirming suitability of the study site regions for Ae. albopictus establishment. The climatic model results showed the best-fit model comprised Coldest Quarter Mean Temp, Precipitation of Wettest Quarter and Driest Quarter Precipitation factors with mean AUC value of 0.86. Both GCMs showed that the whole study site is highly suitable and will remain suitable climatically, according to the prediction for 2055, for Ae. albopictus expansion.","DOI":"10.7717/peerj.4474","ISSN":"2167-8359","journalAbbreviation":"PeerJ","language":"en","author":[{"family":"Shabani","given":"Farzin"},{"family":"Tehrany","given":"Mahyat Shafapour"},{"family":"Solhjouy-fard","given":"Samaneh"},{"family":"Kumar","given":"Lalit"}],"issued":{"date-parts":[["2018",3,19]]}}}],"schema":"https://github.com/citation-style-language/schema/raw/master/csl-citation.json"} </w:instrText>
            </w:r>
            <w:r w:rsidRPr="006D3EC4">
              <w:rPr>
                <w:rFonts w:eastAsia="Times New Roman"/>
                <w:color w:val="000000"/>
                <w:sz w:val="20"/>
                <w:szCs w:val="20"/>
              </w:rPr>
              <w:fldChar w:fldCharType="separate"/>
            </w:r>
            <w:r w:rsidR="00EA4D79" w:rsidRPr="00EA4D79">
              <w:rPr>
                <w:sz w:val="20"/>
              </w:rPr>
              <w:t xml:space="preserve">(Shabani </w:t>
            </w:r>
            <w:r w:rsidR="00EA4D79" w:rsidRPr="00EA4D79">
              <w:rPr>
                <w:i/>
                <w:iCs/>
                <w:sz w:val="20"/>
              </w:rPr>
              <w:t>et al.</w:t>
            </w:r>
            <w:r w:rsidR="00EA4D79" w:rsidRPr="00EA4D79">
              <w:rPr>
                <w:sz w:val="20"/>
              </w:rPr>
              <w:t xml:space="preserve"> 2018)</w:t>
            </w:r>
            <w:r w:rsidRPr="006D3EC4">
              <w:rPr>
                <w:rFonts w:eastAsia="Times New Roman"/>
                <w:color w:val="000000"/>
                <w:sz w:val="20"/>
                <w:szCs w:val="20"/>
              </w:rPr>
              <w:fldChar w:fldCharType="end"/>
            </w:r>
          </w:p>
        </w:tc>
        <w:tc>
          <w:tcPr>
            <w:tcW w:w="1350" w:type="dxa"/>
            <w:shd w:val="clear" w:color="auto" w:fill="auto"/>
            <w:noWrap/>
            <w:hideMark/>
          </w:tcPr>
          <w:p w14:paraId="5B81AF69" w14:textId="77777777" w:rsidR="00AE7B15" w:rsidRPr="006D3EC4" w:rsidRDefault="00AE7B15" w:rsidP="00A93316">
            <w:pPr>
              <w:rPr>
                <w:rFonts w:eastAsia="Times New Roman"/>
                <w:color w:val="000000"/>
                <w:sz w:val="20"/>
                <w:szCs w:val="20"/>
              </w:rPr>
            </w:pPr>
          </w:p>
        </w:tc>
        <w:tc>
          <w:tcPr>
            <w:tcW w:w="1979" w:type="dxa"/>
            <w:shd w:val="clear" w:color="auto" w:fill="auto"/>
            <w:noWrap/>
            <w:hideMark/>
          </w:tcPr>
          <w:p w14:paraId="19332C95" w14:textId="77777777" w:rsidR="00AE7B15" w:rsidRPr="006D3EC4" w:rsidRDefault="00AE7B15" w:rsidP="00A93316">
            <w:pPr>
              <w:rPr>
                <w:rFonts w:eastAsia="Times New Roman"/>
                <w:i/>
                <w:color w:val="000000"/>
                <w:sz w:val="20"/>
                <w:szCs w:val="20"/>
              </w:rPr>
            </w:pPr>
            <w:r w:rsidRPr="006D3EC4">
              <w:rPr>
                <w:rFonts w:eastAsia="Times New Roman"/>
                <w:i/>
                <w:color w:val="000000"/>
                <w:sz w:val="20"/>
                <w:szCs w:val="20"/>
              </w:rPr>
              <w:t>Aedes albopictus</w:t>
            </w:r>
          </w:p>
        </w:tc>
        <w:tc>
          <w:tcPr>
            <w:tcW w:w="1085" w:type="dxa"/>
            <w:shd w:val="clear" w:color="auto" w:fill="auto"/>
            <w:noWrap/>
            <w:hideMark/>
          </w:tcPr>
          <w:p w14:paraId="5B42170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Eggs, larvae, pupae, adults</w:t>
            </w:r>
          </w:p>
        </w:tc>
        <w:tc>
          <w:tcPr>
            <w:tcW w:w="1979" w:type="dxa"/>
            <w:shd w:val="clear" w:color="auto" w:fill="auto"/>
            <w:noWrap/>
            <w:hideMark/>
          </w:tcPr>
          <w:p w14:paraId="1179A17D"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MaxEnt</w:t>
            </w:r>
          </w:p>
        </w:tc>
        <w:tc>
          <w:tcPr>
            <w:tcW w:w="3143" w:type="dxa"/>
            <w:shd w:val="clear" w:color="auto" w:fill="auto"/>
            <w:noWrap/>
            <w:hideMark/>
          </w:tcPr>
          <w:p w14:paraId="0234F242"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Bioclim (annual mean temperature of coldest quarter)</w:t>
            </w:r>
          </w:p>
        </w:tc>
        <w:tc>
          <w:tcPr>
            <w:tcW w:w="2255" w:type="dxa"/>
            <w:shd w:val="clear" w:color="auto" w:fill="auto"/>
            <w:noWrap/>
            <w:hideMark/>
          </w:tcPr>
          <w:p w14:paraId="443E8A25" w14:textId="77777777" w:rsidR="00AE7B15" w:rsidRPr="006D3EC4" w:rsidRDefault="00AE7B15" w:rsidP="00A93316">
            <w:pPr>
              <w:rPr>
                <w:rFonts w:eastAsia="Times New Roman"/>
                <w:color w:val="000000"/>
                <w:sz w:val="20"/>
                <w:szCs w:val="20"/>
              </w:rPr>
            </w:pPr>
            <w:r w:rsidRPr="006D3EC4">
              <w:rPr>
                <w:rFonts w:eastAsia="Times New Roman"/>
                <w:color w:val="000000"/>
                <w:sz w:val="20"/>
                <w:szCs w:val="20"/>
              </w:rPr>
              <w:t>Highest probabilities of presence in areas where coldest mean quarter temperature ranged from 16-23°C</w:t>
            </w:r>
          </w:p>
        </w:tc>
      </w:tr>
    </w:tbl>
    <w:p w14:paraId="61EEE745" w14:textId="77777777" w:rsidR="00AE7B15" w:rsidRDefault="00AE7B15" w:rsidP="00AE7B15"/>
    <w:p w14:paraId="410FCA94" w14:textId="50BF0DCA" w:rsidR="00AE7B15" w:rsidRDefault="00AE7B15" w:rsidP="00AE7B15"/>
    <w:p w14:paraId="1F6ED9F6" w14:textId="37318D7A" w:rsidR="00AE7B15" w:rsidRDefault="00AE7B15" w:rsidP="005C38CE">
      <w:pPr>
        <w:sectPr w:rsidR="00AE7B15" w:rsidSect="00AE7B15">
          <w:pgSz w:w="15840" w:h="12240" w:orient="landscape"/>
          <w:pgMar w:top="1440" w:right="1440" w:bottom="1440" w:left="1440" w:header="720" w:footer="720" w:gutter="0"/>
          <w:cols w:space="720"/>
          <w:docGrid w:linePitch="360"/>
        </w:sectPr>
      </w:pPr>
    </w:p>
    <w:p w14:paraId="7A3C4918" w14:textId="15DB76F2" w:rsidR="00F736D4" w:rsidRDefault="00F736D4"/>
    <w:p w14:paraId="38A2D165" w14:textId="47C827B8" w:rsidR="00F736D4" w:rsidRPr="00AE7B15" w:rsidRDefault="00FC0FFF" w:rsidP="00AE7B15">
      <w:r w:rsidRPr="00FC0FFF">
        <w:rPr>
          <w:b/>
          <w:noProof/>
        </w:rPr>
        <w:drawing>
          <wp:inline distT="0" distB="0" distL="0" distR="0" wp14:anchorId="52084AAA" wp14:editId="6385561D">
            <wp:extent cx="5943600" cy="3490595"/>
            <wp:effectExtent l="0" t="0" r="0" b="1905"/>
            <wp:docPr id="92193" name="Picture 33" descr="Figure2_sqrt_FullData_no_outlier">
              <a:extLst xmlns:a="http://schemas.openxmlformats.org/drawingml/2006/main">
                <a:ext uri="{FF2B5EF4-FFF2-40B4-BE49-F238E27FC236}">
                  <a16:creationId xmlns:a16="http://schemas.microsoft.com/office/drawing/2014/main" id="{0398E73D-6C82-5A4E-BA7A-EFDD9C31F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3" name="Picture 33" descr="Figure2_sqrt_FullData_no_outlier">
                      <a:extLst>
                        <a:ext uri="{FF2B5EF4-FFF2-40B4-BE49-F238E27FC236}">
                          <a16:creationId xmlns:a16="http://schemas.microsoft.com/office/drawing/2014/main" id="{0398E73D-6C82-5A4E-BA7A-EFDD9C31FA8D}"/>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0595"/>
                    </a:xfrm>
                    <a:prstGeom prst="rect">
                      <a:avLst/>
                    </a:prstGeom>
                    <a:noFill/>
                  </pic:spPr>
                </pic:pic>
              </a:graphicData>
            </a:graphic>
          </wp:inline>
        </w:drawing>
      </w:r>
    </w:p>
    <w:p w14:paraId="2F3C6E61" w14:textId="56FBF3DE" w:rsidR="00F736D4" w:rsidRDefault="00F736D4" w:rsidP="00F736D4">
      <w:pPr>
        <w:pStyle w:val="Bibliography"/>
        <w:ind w:left="0" w:firstLine="0"/>
      </w:pPr>
      <w:r>
        <w:rPr>
          <w:b/>
        </w:rPr>
        <w:t xml:space="preserve">Figure S1. </w:t>
      </w:r>
      <w:r>
        <w:t xml:space="preserve">Validation of our malaria temperature-dependent </w:t>
      </w:r>
      <w:r w:rsidRPr="00F736D4">
        <w:rPr>
          <w:i/>
        </w:rPr>
        <w:t>R</w:t>
      </w:r>
      <w:r w:rsidRPr="00F736D4">
        <w:rPr>
          <w:i/>
          <w:vertAlign w:val="subscript"/>
        </w:rPr>
        <w:t>0</w:t>
      </w:r>
      <w:r>
        <w:t xml:space="preserve"> model </w:t>
      </w:r>
      <w:r>
        <w:fldChar w:fldCharType="begin"/>
      </w:r>
      <w:r>
        <w:instrText xml:space="preserve"> ADDIN ZOTERO_ITEM CSL_CITATION {"citationID":"5E4Yj66R","properties":{"formattedCitation":"(blue line; Mordecai {\\i{}et al.} 2013)","plainCitation":"(blue line; Mordecai et al. 2013)","noteIndex":0},"citationItems":[{"id":277,"uris":["http://zotero.org/users/275805/items/DTHXIX5P"],"uri":["http://zotero.org/users/275805/items/DTHXIX5P"],"itemData":{"id":277,"type":"article-journal","title":"Optimal temperature for malaria transmission is dramatically lower than previously predicted","container-title":"Ecology Letters","page":"22-30","volume":"16","author":[{"family":"Mordecai","given":"E.A."},{"family":"Paaijmans","given":"K.P."},{"family":"Johnson","given":"L.R."},{"family":"Balzer","given":"C.H."},{"family":"Ben-Horin","given":"T."},{"family":"Moor","given":"E.","non-dropping-particle":"de"},{"family":"McNally","given":"A."},{"family":"Pawar","given":"S."},{"family":"Ryan","given":"S.J."},{"family":"Smith","given":"T.C."},{"family":"Lafferty","given":"K.D."}],"issued":{"date-parts":[["2013"]]}},"prefix":"blue line; "}],"schema":"https://github.com/citation-style-language/schema/raw/master/csl-citation.json"} </w:instrText>
      </w:r>
      <w:r>
        <w:fldChar w:fldCharType="separate"/>
      </w:r>
      <w:r w:rsidRPr="00F736D4">
        <w:t xml:space="preserve">(blue line; Mordecai </w:t>
      </w:r>
      <w:r w:rsidRPr="00F736D4">
        <w:rPr>
          <w:i/>
          <w:iCs/>
        </w:rPr>
        <w:t>et al.</w:t>
      </w:r>
      <w:r w:rsidRPr="00F736D4">
        <w:t xml:space="preserve"> 2013)</w:t>
      </w:r>
      <w:r>
        <w:fldChar w:fldCharType="end"/>
      </w:r>
      <w:r>
        <w:t xml:space="preserve"> in comparison with a previous model </w:t>
      </w:r>
      <w:r>
        <w:fldChar w:fldCharType="begin"/>
      </w:r>
      <w:r>
        <w:instrText xml:space="preserve"> ADDIN ZOTERO_ITEM CSL_CITATION {"citationID":"lHzrWk7J","properties":{"formattedCitation":"(red line; Parham &amp; Michael 2010)","plainCitation":"(red line; Parham &amp; Michael 2010)","noteIndex":0},"citationItems":[{"id":231,"uris":["http://zotero.org/users/275805/items/BDDD3Q26"],"uri":["http://zotero.org/users/275805/items/BDDD3Q26"],"itemData":{"id":231,"type":"article-journal","title":"Modeling the Effects of Weather and Climate Change on Malaria Transmission","container-title":"Environmental Health Perspectives","page":"620-626","volume":"118","issue":"5","author":[{"family":"Parham","given":"PE"},{"family":"Michael","given":"E"}],"issued":{"date-parts":[["2010"]]}},"prefix":"red line; "}],"schema":"https://github.com/citation-style-language/schema/raw/master/csl-citation.json"} </w:instrText>
      </w:r>
      <w:r>
        <w:fldChar w:fldCharType="separate"/>
      </w:r>
      <w:r>
        <w:rPr>
          <w:noProof/>
        </w:rPr>
        <w:t>(red line; Parham &amp; Michael 2010)</w:t>
      </w:r>
      <w:r>
        <w:fldChar w:fldCharType="end"/>
      </w:r>
      <w:r>
        <w:t xml:space="preserve">. Data points are independent field data on entomological inoculation rate (EIR) across Africa spanning 30 years </w:t>
      </w:r>
      <w:r>
        <w:fldChar w:fldCharType="begin"/>
      </w:r>
      <w:r>
        <w:instrText xml:space="preserve"> ADDIN ZOTERO_ITEM CSL_CITATION {"citationID":"n8eZrC17","properties":{"formattedCitation":"(Hay {\\i{}et al.} 2000)","plainCitation":"(Hay et al. 2000)","noteIndex":0},"citationItems":[{"id":340,"uris":["http://zotero.org/users/275805/items/GV4B9SAP"],"uri":["http://zotero.org/users/275805/items/GV4B9SAP"],"itemData":{"id":340,"type":"article-journal","title":"Annual Plasmodium falciparum entomological inoculation rates (EIR) across Africa: literature survey, internet access and review","container-title":"Transactions of the Royal Society of Tropical Medicine and Hygiene","page":"113-127","volume":"94","issue":"2","source":"ScienceDirect","abstract":"&lt;p&gt;&lt;br/&gt;This paper presents the results of an extensive search of the formal and informal literature on annual Plasmodium falciparum entomological inoculation rates (EIR) across Africa from 1980 onwards. It first describes how the annual EIR data were collated, summarized, geo-referenced and staged for public access on the internet. Problems of data standardization, reporting accuracy and the subsequent publishing of information on the internet follow. The review was conducted primarily to investigate the spatial heterogeneity of malaria exposure in Africa and supports the idea of highly heterogeneous risk at the continental, regional and country levels. The implications for malaria control of the significant spatial (and seasonal) variation in exposure to infected mosquito bites are discussed.&lt;/p&gt;","DOI":"16/S0035-9203(00)90246-3","ISSN":"0035-9203","shortTitle":"Annual Plasmodium falciparum entomological inoculation rates (EIR) across Africa","author":[{"family":"Hay","given":"Simon I."},{"family":"Rogers","given":"David J."},{"family":"Toomer","given":"Jonathan F."},{"family":"Snow","given":"Robert W."}],"issued":{"date-parts":[["2000",3]]}}}],"schema":"https://github.com/citation-style-language/schema/raw/master/csl-citation.json"} </w:instrText>
      </w:r>
      <w:r>
        <w:fldChar w:fldCharType="separate"/>
      </w:r>
      <w:r w:rsidRPr="00F736D4">
        <w:t xml:space="preserve">(Hay </w:t>
      </w:r>
      <w:r w:rsidRPr="00F736D4">
        <w:rPr>
          <w:i/>
          <w:iCs/>
        </w:rPr>
        <w:t>et al.</w:t>
      </w:r>
      <w:r w:rsidRPr="00F736D4">
        <w:t xml:space="preserve"> 2000)</w:t>
      </w:r>
      <w:r>
        <w:fldChar w:fldCharType="end"/>
      </w:r>
      <w:r>
        <w:t xml:space="preserve"> plotted against average temperature during the transmission season. Filled </w:t>
      </w:r>
      <w:r w:rsidR="00FC0FFF">
        <w:t>circles</w:t>
      </w:r>
      <w:r>
        <w:t xml:space="preserve"> are the maximum EIR within each group of data points, binned by temperature (where we expect malaria to be the least controlled by other factors and therefore most sensitive to temperature). Open </w:t>
      </w:r>
      <w:r w:rsidR="00FC0FFF">
        <w:t>circles</w:t>
      </w:r>
      <w:r>
        <w:t xml:space="preserve"> are the remaining data points. Reproduced </w:t>
      </w:r>
      <w:r w:rsidR="00B443B4">
        <w:t xml:space="preserve">with permission </w:t>
      </w:r>
      <w:r>
        <w:t xml:space="preserve">from </w:t>
      </w:r>
      <w:r>
        <w:fldChar w:fldCharType="begin"/>
      </w:r>
      <w:r>
        <w:instrText xml:space="preserve"> ADDIN ZOTERO_ITEM CSL_CITATION {"citationID":"VgjURGvK","properties":{"formattedCitation":"(Mordecai {\\i{}et al.} 2013)","plainCitation":"(Mordecai et al. 2013)","noteIndex":0},"citationItems":[{"id":277,"uris":["http://zotero.org/users/275805/items/DTHXIX5P"],"uri":["http://zotero.org/users/275805/items/DTHXIX5P"],"itemData":{"id":277,"type":"article-journal","title":"Optimal temperature for malaria transmission is dramatically lower than previously predicted","container-title":"Ecology Letters","page":"22-30","volume":"16","author":[{"family":"Mordecai","given":"E.A."},{"family":"Paaijmans","given":"K.P."},{"family":"Johnson","given":"L.R."},{"family":"Balzer","given":"C.H."},{"family":"Ben-Horin","given":"T."},{"family":"Moor","given":"E.","non-dropping-particle":"de"},{"family":"McNally","given":"A."},{"family":"Pawar","given":"S."},{"family":"Ryan","given":"S.J."},{"family":"Smith","given":"T.C."},{"family":"Lafferty","given":"K.D."}],"issued":{"date-parts":[["2013"]]}}}],"schema":"https://github.com/citation-style-language/schema/raw/master/csl-citation.json"} </w:instrText>
      </w:r>
      <w:r>
        <w:fldChar w:fldCharType="separate"/>
      </w:r>
      <w:r w:rsidRPr="00F736D4">
        <w:t xml:space="preserve">(Mordecai </w:t>
      </w:r>
      <w:r w:rsidRPr="00F736D4">
        <w:rPr>
          <w:i/>
          <w:iCs/>
        </w:rPr>
        <w:t>et al.</w:t>
      </w:r>
      <w:r w:rsidRPr="00F736D4">
        <w:t xml:space="preserve"> 2013)</w:t>
      </w:r>
      <w:r>
        <w:fldChar w:fldCharType="end"/>
      </w:r>
    </w:p>
    <w:p w14:paraId="2F21A2FE" w14:textId="77777777" w:rsidR="00B443B4" w:rsidRPr="00B443B4" w:rsidRDefault="00B443B4" w:rsidP="00B443B4"/>
    <w:p w14:paraId="33B1F279" w14:textId="1AC76557" w:rsidR="00B443B4" w:rsidRDefault="00B443B4">
      <w:pPr>
        <w:rPr>
          <w:b/>
        </w:rPr>
      </w:pPr>
      <w:r>
        <w:rPr>
          <w:b/>
        </w:rPr>
        <w:br w:type="page"/>
      </w:r>
    </w:p>
    <w:p w14:paraId="6E877E57" w14:textId="4A7022C4" w:rsidR="00F736D4" w:rsidRDefault="00B443B4">
      <w:pPr>
        <w:rPr>
          <w:b/>
        </w:rPr>
      </w:pPr>
      <w:r>
        <w:rPr>
          <w:b/>
          <w:noProof/>
        </w:rPr>
        <w:lastRenderedPageBreak/>
        <w:drawing>
          <wp:inline distT="0" distB="0" distL="0" distR="0" wp14:anchorId="4AF28C4C" wp14:editId="5D078091">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 - all_reg0A.alt_m0B.alt_res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FD4A5E1" w14:textId="6C603715" w:rsidR="00B443B4" w:rsidRDefault="00B443B4" w:rsidP="00B443B4">
      <w:r>
        <w:rPr>
          <w:b/>
        </w:rPr>
        <w:t>Fig. S2.</w:t>
      </w:r>
      <w:r>
        <w:t xml:space="preserve"> Validation of our dengue, chikungunya, and Zika virus temperature-dependent </w:t>
      </w:r>
      <w:r w:rsidRPr="00F736D4">
        <w:rPr>
          <w:i/>
        </w:rPr>
        <w:t>R</w:t>
      </w:r>
      <w:r w:rsidRPr="00F736D4">
        <w:rPr>
          <w:i/>
          <w:vertAlign w:val="subscript"/>
        </w:rPr>
        <w:t>0</w:t>
      </w:r>
      <w:r>
        <w:t xml:space="preserve"> model in </w:t>
      </w:r>
      <w:r w:rsidRPr="00F736D4">
        <w:rPr>
          <w:i/>
        </w:rPr>
        <w:t>Aedes aegypti</w:t>
      </w:r>
      <w:r>
        <w:t xml:space="preserve"> </w:t>
      </w:r>
      <w:r>
        <w:fldChar w:fldCharType="begin"/>
      </w:r>
      <w:r w:rsidR="00594E4C">
        <w:instrText xml:space="preserve"> ADDIN ZOTERO_ITEM CSL_CITATION {"citationID":"G5l1KRZ4","properties":{"formattedCitation":"(Mordecai {\\i{}et al.} 2017)","plainCitation":"(Mordecai et al. 2017)","noteIndex":0},"citationItems":[{"id":6249,"uris":["http://zotero.org/users/275805/items/K7SB3GB2"],"uri":["http://zotero.org/users/275805/items/K7SB3GB2"],"itemData":{"id":6249,"type":"article-journal","title":"Detecting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fldChar w:fldCharType="separate"/>
      </w:r>
      <w:r w:rsidRPr="00F736D4">
        <w:t xml:space="preserve">(Mordecai </w:t>
      </w:r>
      <w:r w:rsidRPr="00F736D4">
        <w:rPr>
          <w:i/>
          <w:iCs/>
        </w:rPr>
        <w:t>et al.</w:t>
      </w:r>
      <w:r w:rsidRPr="00F736D4">
        <w:t xml:space="preserve"> 2017)</w:t>
      </w:r>
      <w:r>
        <w:fldChar w:fldCharType="end"/>
      </w:r>
      <w:r>
        <w:t>. Lines compare the model-predicted dengue (blue) and chikungunya and Zika (red) probability occurrence of local transmission (A) and natural log of the incidence given that local transmission occurred (B) with weekly data country-scale data from the Americas in 2014-2016</w:t>
      </w:r>
      <w:r w:rsidR="00594E4C">
        <w:t>, plotted against the mean temperature 10 weeks prior</w:t>
      </w:r>
      <w:r>
        <w:t xml:space="preserve"> (hashes in A and points in B). </w:t>
      </w:r>
      <w:r w:rsidR="00594E4C">
        <w:t xml:space="preserve">This 10-week lag represents our </w:t>
      </w:r>
      <w:r w:rsidR="00594E4C" w:rsidRPr="00594E4C">
        <w:rPr>
          <w:i/>
        </w:rPr>
        <w:t>a priori</w:t>
      </w:r>
      <w:r w:rsidR="00594E4C">
        <w:t xml:space="preserve"> expectation of the time that elapses between suitable temperatures and reported human cases </w:t>
      </w:r>
      <w:r w:rsidR="00594E4C">
        <w:fldChar w:fldCharType="begin"/>
      </w:r>
      <w:r w:rsidR="00594E4C">
        <w:instrText xml:space="preserve"> ADDIN ZOTERO_ITEM CSL_CITATION {"citationID":"L5d2JYPZ","properties":{"formattedCitation":"(Stewart Ibarra {\\i{}et al.} 2013; Mordecai {\\i{}et al.} 2017)","plainCitation":"(Stewart Ibarra et al. 2013; Mordecai et al. 2017)","noteIndex":0},"citationItems":[{"id":4800,"uris":["http://zotero.org/groups/362967/items/NB4FKEWD"],"uri":["http://zotero.org/groups/362967/items/NB4FKEWD"],"itemData":{"id":4800,"type":"article-journal","title":"Dengue vector dynamics (Aedes aegypti) influenced by climate and social factors in Ecuador: implications for targeted control","container-title":"PLoS ONE","page":"e78263","volume":"8","issue":"11","source":"PLoS Journals","abstract":"BackgroundDengue fever, a mosquito-borne viral disease, is now the fastest spreading tropical disease globally. Previous studies indicate that climate and human behavior interact to influence dengue virus and vector (Aedes aegypti) population dynamics; however, the relative effects of these variables depends on local ecology and social context. We investigated the roles of climate and socio-ecological factors on Ae. aegypti population dynamics in Machala, a city in southern coastal Ecuador where dengue is hyper-endemic.Methods/Principal findingsWe studied two proximate urban localities where we monitored weekly Ae. aegypti oviposition activity (Nov. 2010-June 2011), conducted seasonal pupal surveys, and surveyed household to identify dengue risk factors. The results of this study provide evidence that Ae. aegypti population dynamics are influenced by social risk factors that vary by season and lagged climate variables that vary by locality. Best-fit models to predict the presence of Ae. aegypti pupae included parameters for household water storage practices, access to piped water, the number of households per property, condition of the house and patio, and knowledge and perceptions of dengue. Rainfall and minimum temperature were significant predictors of oviposition activity, although the effect of rainfall varied by locality due to differences in types of water storage containers.ConclusionsThese results indicate the potential to reduce the burden of dengue in this region by conducting focused vector control interventions that target high-risk households and containers in each season and by developing predictive models using climate and non-climate information. These findings provide the region's public health sector with key information for conducting time and location-specific vector control campaigns, and highlight the importance of local socio-ecological studies to understand dengue dynamics. See Text S1 for an executive summary in Spanish.","DOI":"10.1371/journal.pone.0078263","shortTitle":"Dengue Vector Dynamics (Aedes aegypti) Influenced by Climate and Social Factors in Ecuador","journalAbbreviation":"PLoS ONE","author":[{"family":"Stewart Ibarra","given":"Anna M."},{"family":"Ryan","given":"Sadie J."},{"family":"Beltrán","given":"Efrain"},{"family":"Mejía","given":"Raúl"},{"family":"Silva","given":"Mercy"},{"family":"Muñoz","given":"Ángel"}],"issued":{"date-parts":[["2013",11,12]]}}},{"id":6249,"uris":["http://zotero.org/users/275805/items/K7SB3GB2"],"uri":["http://zotero.org/users/275805/items/K7SB3GB2"],"itemData":{"id":6249,"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594E4C">
        <w:fldChar w:fldCharType="separate"/>
      </w:r>
      <w:r w:rsidR="00594E4C" w:rsidRPr="00594E4C">
        <w:t xml:space="preserve">(Stewart Ibarra </w:t>
      </w:r>
      <w:r w:rsidR="00594E4C" w:rsidRPr="00594E4C">
        <w:rPr>
          <w:i/>
          <w:iCs/>
        </w:rPr>
        <w:t>et al.</w:t>
      </w:r>
      <w:r w:rsidR="00594E4C" w:rsidRPr="00594E4C">
        <w:t xml:space="preserve"> 2013; Mordecai </w:t>
      </w:r>
      <w:r w:rsidR="00594E4C" w:rsidRPr="00594E4C">
        <w:rPr>
          <w:i/>
          <w:iCs/>
        </w:rPr>
        <w:t>et al.</w:t>
      </w:r>
      <w:r w:rsidR="00594E4C" w:rsidRPr="00594E4C">
        <w:t xml:space="preserve"> 2017)</w:t>
      </w:r>
      <w:r w:rsidR="00594E4C">
        <w:fldChar w:fldCharType="end"/>
      </w:r>
      <w:r w:rsidR="00594E4C">
        <w:t xml:space="preserve">. </w:t>
      </w:r>
      <w:r>
        <w:t xml:space="preserve">Predicted lines and 95% credible intervals (shaded areas) </w:t>
      </w:r>
      <w:r w:rsidR="00623EB4">
        <w:t>are the results of</w:t>
      </w:r>
      <w:r>
        <w:t xml:space="preserve"> generalized linear models </w:t>
      </w:r>
      <w:r w:rsidR="00594E4C">
        <w:t>where the predictors are</w:t>
      </w:r>
      <w:r>
        <w:t xml:space="preserve"> the posterior probability that </w:t>
      </w:r>
      <w:r w:rsidRPr="00B443B4">
        <w:rPr>
          <w:i/>
        </w:rPr>
        <w:t>R</w:t>
      </w:r>
      <w:r w:rsidRPr="00B443B4">
        <w:rPr>
          <w:i/>
          <w:vertAlign w:val="subscript"/>
        </w:rPr>
        <w:t>0</w:t>
      </w:r>
      <w:r>
        <w:t>(</w:t>
      </w:r>
      <w:r w:rsidRPr="00B443B4">
        <w:rPr>
          <w:i/>
        </w:rPr>
        <w:t>T</w:t>
      </w:r>
      <w:r>
        <w:t xml:space="preserve">) &gt; 0 times the log of population size (A), and the log of </w:t>
      </w:r>
      <w:r w:rsidRPr="00B443B4">
        <w:rPr>
          <w:i/>
        </w:rPr>
        <w:t>R</w:t>
      </w:r>
      <w:r w:rsidRPr="00B443B4">
        <w:rPr>
          <w:i/>
          <w:vertAlign w:val="subscript"/>
        </w:rPr>
        <w:t>0</w:t>
      </w:r>
      <w:r>
        <w:t>(</w:t>
      </w:r>
      <w:r w:rsidRPr="00B443B4">
        <w:rPr>
          <w:i/>
        </w:rPr>
        <w:t>T</w:t>
      </w:r>
      <w:r>
        <w:t>) times the population size (B)</w:t>
      </w:r>
      <w:r w:rsidR="00594E4C">
        <w:t xml:space="preserve">. These </w:t>
      </w:r>
      <w:r w:rsidR="00623EB4">
        <w:t>metrics</w:t>
      </w:r>
      <w:r w:rsidR="00594E4C">
        <w:t xml:space="preserve"> reflect our </w:t>
      </w:r>
      <w:r w:rsidR="00594E4C" w:rsidRPr="00623EB4">
        <w:rPr>
          <w:i/>
        </w:rPr>
        <w:t>a priori</w:t>
      </w:r>
      <w:r w:rsidR="00594E4C">
        <w:t xml:space="preserve"> expectation of the interactive relationship between </w:t>
      </w:r>
      <w:r w:rsidR="00594E4C" w:rsidRPr="00594E4C">
        <w:rPr>
          <w:i/>
        </w:rPr>
        <w:t>R</w:t>
      </w:r>
      <w:r w:rsidR="00594E4C" w:rsidRPr="00594E4C">
        <w:rPr>
          <w:i/>
          <w:vertAlign w:val="subscript"/>
        </w:rPr>
        <w:t>0</w:t>
      </w:r>
      <w:r w:rsidR="00594E4C">
        <w:t xml:space="preserve"> and population size in driving epidemic occurrence and incidence. Reproduced with permission from </w:t>
      </w:r>
      <w:r w:rsidR="00594E4C">
        <w:fldChar w:fldCharType="begin"/>
      </w:r>
      <w:r w:rsidR="00EA4D79">
        <w:instrText xml:space="preserve"> ADDIN ZOTERO_ITEM CSL_CITATION {"citationID":"CZxfg3pY","properties":{"formattedCitation":"(Mordecai {\\i{}et al.} 2017)","plainCitation":"(Mordecai et al. 2017)","noteIndex":0},"citationItems":[{"id":6249,"uris":["http://zotero.org/users/275805/items/K7SB3GB2"],"uri":["http://zotero.org/users/275805/items/K7SB3GB2"],"itemData":{"id":6249,"type":"article-journal","title":"Detecting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594E4C">
        <w:fldChar w:fldCharType="separate"/>
      </w:r>
      <w:r w:rsidR="00594E4C" w:rsidRPr="00F736D4">
        <w:t xml:space="preserve">(Mordecai </w:t>
      </w:r>
      <w:r w:rsidR="00594E4C" w:rsidRPr="00F736D4">
        <w:rPr>
          <w:i/>
          <w:iCs/>
        </w:rPr>
        <w:t>et al.</w:t>
      </w:r>
      <w:r w:rsidR="00594E4C" w:rsidRPr="00F736D4">
        <w:t xml:space="preserve"> 2017)</w:t>
      </w:r>
      <w:r w:rsidR="00594E4C">
        <w:fldChar w:fldCharType="end"/>
      </w:r>
      <w:r w:rsidR="00594E4C">
        <w:t>.</w:t>
      </w:r>
    </w:p>
    <w:p w14:paraId="3E93D9D6" w14:textId="77777777" w:rsidR="00456DAF" w:rsidRDefault="00456DAF">
      <w:pPr>
        <w:rPr>
          <w:b/>
        </w:rPr>
      </w:pPr>
      <w:r>
        <w:rPr>
          <w:b/>
        </w:rPr>
        <w:br w:type="page"/>
      </w:r>
    </w:p>
    <w:p w14:paraId="508E9C7D" w14:textId="0E09B956" w:rsidR="00456DAF" w:rsidRDefault="00456DAF" w:rsidP="00456DAF">
      <w:pPr>
        <w:rPr>
          <w:b/>
        </w:rPr>
      </w:pPr>
      <w:r w:rsidRPr="007C7C92">
        <w:rPr>
          <w:noProof/>
        </w:rPr>
        <w:lastRenderedPageBreak/>
        <w:drawing>
          <wp:inline distT="0" distB="0" distL="0" distR="0" wp14:anchorId="6C6568E1" wp14:editId="2617C6A0">
            <wp:extent cx="4318000" cy="370411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000" cy="3704116"/>
                    </a:xfrm>
                    <a:prstGeom prst="rect">
                      <a:avLst/>
                    </a:prstGeom>
                  </pic:spPr>
                </pic:pic>
              </a:graphicData>
            </a:graphic>
          </wp:inline>
        </w:drawing>
      </w:r>
    </w:p>
    <w:p w14:paraId="4F722F0A" w14:textId="27768C9F" w:rsidR="00456DAF" w:rsidRDefault="00456DAF" w:rsidP="00456DAF">
      <w:r>
        <w:rPr>
          <w:b/>
        </w:rPr>
        <w:t>Fig. S3.</w:t>
      </w:r>
      <w:r>
        <w:t xml:space="preserve"> Validation of our West Nile virus temperature-dependent </w:t>
      </w:r>
      <w:r w:rsidRPr="00F736D4">
        <w:rPr>
          <w:i/>
        </w:rPr>
        <w:t>R</w:t>
      </w:r>
      <w:r w:rsidRPr="00F736D4">
        <w:rPr>
          <w:i/>
          <w:vertAlign w:val="subscript"/>
        </w:rPr>
        <w:t>0</w:t>
      </w:r>
      <w:r>
        <w:t xml:space="preserve"> model (Shocket et al., in prep). Points are incidence of human neuroinvasive West Nile disease across US counties, plotted against mean temperature from May – September from 2001-2016 for bins of 42 counties (+/- standard errors; total N = 3,109). Line is a LOESS regression illustrating the unimodal relationship between temperature and disease incidence with a peak at 24</w:t>
      </w:r>
      <w:r w:rsidRPr="00456DAF">
        <w:sym w:font="Symbol" w:char="F0B0"/>
      </w:r>
      <w:r w:rsidRPr="00456DAF">
        <w:t>C</w:t>
      </w:r>
      <w:r>
        <w:t>. Reproduced with permission from (Shocket et al., in prep).</w:t>
      </w:r>
    </w:p>
    <w:p w14:paraId="619C1B8A" w14:textId="3CD96822" w:rsidR="00456DAF" w:rsidRDefault="00456DAF">
      <w:r>
        <w:br w:type="page"/>
      </w:r>
    </w:p>
    <w:p w14:paraId="7B7CA283" w14:textId="7930B6A7" w:rsidR="00456DAF" w:rsidRDefault="0083423C" w:rsidP="00456DAF">
      <w:r>
        <w:rPr>
          <w:noProof/>
        </w:rPr>
        <w:lastRenderedPageBreak/>
        <w:drawing>
          <wp:inline distT="0" distB="0" distL="0" distR="0" wp14:anchorId="5CDC1A27" wp14:editId="09F1FC9A">
            <wp:extent cx="4914900" cy="355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7.pdf"/>
                    <pic:cNvPicPr/>
                  </pic:nvPicPr>
                  <pic:blipFill>
                    <a:blip r:embed="rId7">
                      <a:extLst>
                        <a:ext uri="{28A0092B-C50C-407E-A947-70E740481C1C}">
                          <a14:useLocalDpi xmlns:a14="http://schemas.microsoft.com/office/drawing/2010/main" val="0"/>
                        </a:ext>
                      </a:extLst>
                    </a:blip>
                    <a:stretch>
                      <a:fillRect/>
                    </a:stretch>
                  </pic:blipFill>
                  <pic:spPr>
                    <a:xfrm>
                      <a:off x="0" y="0"/>
                      <a:ext cx="4914900" cy="3556000"/>
                    </a:xfrm>
                    <a:prstGeom prst="rect">
                      <a:avLst/>
                    </a:prstGeom>
                  </pic:spPr>
                </pic:pic>
              </a:graphicData>
            </a:graphic>
          </wp:inline>
        </w:drawing>
      </w:r>
    </w:p>
    <w:p w14:paraId="6148E64C" w14:textId="568E9A53" w:rsidR="00456DAF" w:rsidRPr="00F736D4" w:rsidRDefault="00456DAF" w:rsidP="00456DAF">
      <w:r>
        <w:rPr>
          <w:b/>
        </w:rPr>
        <w:t>Fig. S4.</w:t>
      </w:r>
      <w:r>
        <w:t xml:space="preserve"> Validation of our Ross River virus temperature-dependent </w:t>
      </w:r>
      <w:r w:rsidRPr="00F736D4">
        <w:rPr>
          <w:i/>
        </w:rPr>
        <w:t>R</w:t>
      </w:r>
      <w:r w:rsidRPr="00F736D4">
        <w:rPr>
          <w:i/>
          <w:vertAlign w:val="subscript"/>
        </w:rPr>
        <w:t>0</w:t>
      </w:r>
      <w:r>
        <w:t xml:space="preserve"> model </w:t>
      </w:r>
      <w:r>
        <w:fldChar w:fldCharType="begin"/>
      </w:r>
      <w:r w:rsidR="00EA4D79">
        <w:instrText xml:space="preserve"> ADDIN ZOTERO_ITEM CSL_CITATION {"citationID":"VGsbGlMI","properties":{"formattedCitation":"(Shocket {\\i{}et al.} 2018)","plainCitation":"(Shocket et al. 2018)","noteIndex":0},"citationItems":[{"id":6540,"uris":["http://zotero.org/users/275805/items/CW9PIVIJ"],"uri":["http://zotero.org/users/275805/items/CW9PIVIJ"],"itemData":{"id":6540,"type":"article-journal","title":"Temperature explains broad patterns of Ross River virus transmission","container-title":"eLife","page":"e37762","volume":"7","DOI":"10.7554/eLife.37762","author":[{"family":"Shocket","given":"M.S."},{"family":"Ryan","given":"S.J."},{"family":"Mordecai","given":"E.A."}],"issued":{"date-parts":[["2018"]]}}}],"schema":"https://github.com/citation-style-language/schema/raw/master/csl-citation.json"} </w:instrText>
      </w:r>
      <w:r>
        <w:fldChar w:fldCharType="separate"/>
      </w:r>
      <w:r w:rsidRPr="00F736D4">
        <w:t xml:space="preserve">(Shocket </w:t>
      </w:r>
      <w:r w:rsidRPr="00F736D4">
        <w:rPr>
          <w:i/>
          <w:iCs/>
        </w:rPr>
        <w:t>et al.</w:t>
      </w:r>
      <w:r w:rsidRPr="00F736D4">
        <w:t xml:space="preserve"> 2018)</w:t>
      </w:r>
      <w:r>
        <w:fldChar w:fldCharType="end"/>
      </w:r>
      <w:r>
        <w:t>.</w:t>
      </w:r>
      <w:r w:rsidR="0083423C">
        <w:t xml:space="preserve"> </w:t>
      </w:r>
      <w:r w:rsidR="00D6639D">
        <w:t xml:space="preserve">Average monthly human Ross River virus cases in Australia from 1992-2013 (gray bars) and average </w:t>
      </w:r>
      <w:r w:rsidR="00D6639D" w:rsidRPr="00F736D4">
        <w:rPr>
          <w:i/>
        </w:rPr>
        <w:t>R</w:t>
      </w:r>
      <w:r w:rsidR="00D6639D" w:rsidRPr="00F736D4">
        <w:rPr>
          <w:i/>
          <w:vertAlign w:val="subscript"/>
        </w:rPr>
        <w:t>0</w:t>
      </w:r>
      <w:r w:rsidR="00D6639D">
        <w:t xml:space="preserve"> (line) plotted against average monthly temperature. Averages for temperature and </w:t>
      </w:r>
      <w:r w:rsidR="00D6639D" w:rsidRPr="00F736D4">
        <w:rPr>
          <w:i/>
        </w:rPr>
        <w:t>R</w:t>
      </w:r>
      <w:r w:rsidR="00D6639D" w:rsidRPr="00F736D4">
        <w:rPr>
          <w:i/>
          <w:vertAlign w:val="subscript"/>
        </w:rPr>
        <w:t>0</w:t>
      </w:r>
      <w:r w:rsidR="00D6639D">
        <w:t xml:space="preserve"> are calculated across the 15 largest cities in Australia, weighted by population size. </w:t>
      </w:r>
      <w:r w:rsidR="00D6639D" w:rsidRPr="00F736D4">
        <w:rPr>
          <w:i/>
        </w:rPr>
        <w:t>R</w:t>
      </w:r>
      <w:r w:rsidR="00D6639D" w:rsidRPr="00F736D4">
        <w:rPr>
          <w:i/>
          <w:vertAlign w:val="subscript"/>
        </w:rPr>
        <w:t>0</w:t>
      </w:r>
      <w:r w:rsidR="00D6639D">
        <w:t xml:space="preserve"> predicts the seasonality of Ross River virus incidence with a 2-month lag, matching our a priori expectation of the time that elapses between suitable temperatures and reported human cases </w:t>
      </w:r>
      <w:r w:rsidR="00D6639D">
        <w:fldChar w:fldCharType="begin"/>
      </w:r>
      <w:r w:rsidR="00EA4D79">
        <w:instrText xml:space="preserve"> ADDIN ZOTERO_ITEM CSL_CITATION {"citationID":"duuvc1Sn","properties":{"formattedCitation":"(Stewart Ibarra {\\i{}et al.} 2013; Mordecai {\\i{}et al.} 2017)","plainCitation":"(Stewart Ibarra et al. 2013; Mordecai et al. 2017)","noteIndex":0},"citationItems":[{"id":4800,"uris":["http://zotero.org/groups/362967/items/NB4FKEWD"],"uri":["http://zotero.org/groups/362967/items/NB4FKEWD"],"itemData":{"id":4800,"type":"article-journal","title":"Dengue vector dynamics (Aedes aegypti) influenced by climate and social factors in Ecuador: implications for targeted control","container-title":"PLoS ONE","page":"e78263","volume":"8","issue":"11","source":"PLoS Journals","abstract":"BackgroundDengue fever, a mosquito-borne viral disease, is now the fastest spreading tropical disease globally. Previous studies indicate that climate and human behavior interact to influence dengue virus and vector (Aedes aegypti) population dynamics; however, the relative effects of these variables depends on local ecology and social context. We investigated the roles of climate and socio-ecological factors on Ae. aegypti population dynamics in Machala, a city in southern coastal Ecuador where dengue is hyper-endemic.Methods/Principal findingsWe studied two proximate urban localities where we monitored weekly Ae. aegypti oviposition activity (Nov. 2010-June 2011), conducted seasonal pupal surveys, and surveyed household to identify dengue risk factors. The results of this study provide evidence that Ae. aegypti population dynamics are influenced by social risk factors that vary by season and lagged climate variables that vary by locality. Best-fit models to predict the presence of Ae. aegypti pupae included parameters for household water storage practices, access to piped water, the number of households per property, condition of the house and patio, and knowledge and perceptions of dengue. Rainfall and minimum temperature were significant predictors of oviposition activity, although the effect of rainfall varied by locality due to differences in types of water storage containers.ConclusionsThese results indicate the potential to reduce the burden of dengue in this region by conducting focused vector control interventions that target high-risk households and containers in each season and by developing predictive models using climate and non-climate information. These findings provide the region's public health sector with key information for conducting time and location-specific vector control campaigns, and highlight the importance of local socio-ecological studies to understand dengue dynamics. See Text S1 for an executive summary in Spanish.","DOI":"10.1371/journal.pone.0078263","shortTitle":"Dengue Vector Dynamics (Aedes aegypti) Influenced by Climate and Social Factors in Ecuador","journalAbbreviation":"PLoS ONE","author":[{"family":"Stewart Ibarra","given":"Anna M."},{"family":"Ryan","given":"Sadie J."},{"family":"Beltrán","given":"Efrain"},{"family":"Mejía","given":"Raúl"},{"family":"Silva","given":"Mercy"},{"family":"Muñoz","given":"Ángel"}],"issued":{"date-parts":[["2013",11,12]]}}},{"id":6249,"uris":["http://zotero.org/users/275805/items/K7SB3GB2"],"uri":["http://zotero.org/users/275805/items/K7SB3GB2"],"itemData":{"id":6249,"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D6639D">
        <w:fldChar w:fldCharType="separate"/>
      </w:r>
      <w:r w:rsidR="00D6639D" w:rsidRPr="00594E4C">
        <w:t xml:space="preserve">(Stewart Ibarra </w:t>
      </w:r>
      <w:r w:rsidR="00D6639D" w:rsidRPr="00594E4C">
        <w:rPr>
          <w:i/>
          <w:iCs/>
        </w:rPr>
        <w:t>et al.</w:t>
      </w:r>
      <w:r w:rsidR="00D6639D" w:rsidRPr="00594E4C">
        <w:t xml:space="preserve"> 2013; Mordecai </w:t>
      </w:r>
      <w:r w:rsidR="00D6639D" w:rsidRPr="00594E4C">
        <w:rPr>
          <w:i/>
          <w:iCs/>
        </w:rPr>
        <w:t>et al.</w:t>
      </w:r>
      <w:r w:rsidR="00D6639D" w:rsidRPr="00594E4C">
        <w:t xml:space="preserve"> 2017)</w:t>
      </w:r>
      <w:r w:rsidR="00D6639D">
        <w:fldChar w:fldCharType="end"/>
      </w:r>
      <w:r w:rsidR="00D6639D">
        <w:t xml:space="preserve">. Reproduced with permission from </w:t>
      </w:r>
      <w:r w:rsidR="00D6639D">
        <w:fldChar w:fldCharType="begin"/>
      </w:r>
      <w:r w:rsidR="00EA4D79">
        <w:instrText xml:space="preserve"> ADDIN ZOTERO_ITEM CSL_CITATION {"citationID":"6i49E34g","properties":{"formattedCitation":"(Shocket {\\i{}et al.} 2018)","plainCitation":"(Shocket et al. 2018)","noteIndex":0},"citationItems":[{"id":6540,"uris":["http://zotero.org/users/275805/items/CW9PIVIJ"],"uri":["http://zotero.org/users/275805/items/CW9PIVIJ"],"itemData":{"id":6540,"type":"article-journal","title":"Temperature explains broad patterns of Ross River virus transmission","container-title":"eLife","page":"e37762","volume":"7","DOI":"10.7554/eLife.37762","author":[{"family":"Shocket","given":"M.S."},{"family":"Ryan","given":"S.J."},{"family":"Mordecai","given":"E.A."}],"issued":{"date-parts":[["2018"]]}}}],"schema":"https://github.com/citation-style-language/schema/raw/master/csl-citation.json"} </w:instrText>
      </w:r>
      <w:r w:rsidR="00D6639D">
        <w:fldChar w:fldCharType="separate"/>
      </w:r>
      <w:r w:rsidR="00D6639D" w:rsidRPr="00F736D4">
        <w:t xml:space="preserve">(Shocket </w:t>
      </w:r>
      <w:r w:rsidR="00D6639D" w:rsidRPr="00F736D4">
        <w:rPr>
          <w:i/>
          <w:iCs/>
        </w:rPr>
        <w:t>et al.</w:t>
      </w:r>
      <w:r w:rsidR="00D6639D" w:rsidRPr="00F736D4">
        <w:t xml:space="preserve"> 2018)</w:t>
      </w:r>
      <w:r w:rsidR="00D6639D">
        <w:fldChar w:fldCharType="end"/>
      </w:r>
      <w:r w:rsidR="00D6639D">
        <w:t>.</w:t>
      </w:r>
    </w:p>
    <w:p w14:paraId="20DD350D" w14:textId="77777777" w:rsidR="00456DAF" w:rsidRDefault="00456DAF" w:rsidP="00456DAF"/>
    <w:p w14:paraId="02E7DAEB" w14:textId="13E11FF6" w:rsidR="00F736D4" w:rsidRDefault="00F736D4">
      <w:pPr>
        <w:rPr>
          <w:b/>
        </w:rPr>
      </w:pPr>
      <w:r>
        <w:rPr>
          <w:b/>
        </w:rPr>
        <w:br w:type="page"/>
      </w:r>
    </w:p>
    <w:p w14:paraId="08654D4B" w14:textId="1AE8D7EC" w:rsidR="00F736D4" w:rsidRDefault="00F736D4">
      <w:r>
        <w:rPr>
          <w:b/>
        </w:rPr>
        <w:lastRenderedPageBreak/>
        <w:t xml:space="preserve">References Cited in Supplementary </w:t>
      </w:r>
      <w:r w:rsidR="00EA4D79">
        <w:rPr>
          <w:b/>
        </w:rPr>
        <w:t>Materials</w:t>
      </w:r>
    </w:p>
    <w:p w14:paraId="2FBF5232" w14:textId="77777777" w:rsidR="00EA4D79" w:rsidRPr="00EA4D79" w:rsidRDefault="00F736D4" w:rsidP="00EA4D79">
      <w:pPr>
        <w:pStyle w:val="Bibliography"/>
      </w:pPr>
      <w:r>
        <w:fldChar w:fldCharType="begin"/>
      </w:r>
      <w:r>
        <w:instrText xml:space="preserve"> ADDIN ZOTERO_BIBL {"uncited":[],"omitted":[],"custom":[]} CSL_BIBLIOGRAPHY </w:instrText>
      </w:r>
      <w:r>
        <w:fldChar w:fldCharType="separate"/>
      </w:r>
      <w:r w:rsidR="00EA4D79" w:rsidRPr="00EA4D79">
        <w:t xml:space="preserve">Alegana, V.A., Wright, J.A., Nahzat, S.M., Butt, W., Sediqi, A.W., Habib, N., </w:t>
      </w:r>
      <w:r w:rsidR="00EA4D79" w:rsidRPr="00EA4D79">
        <w:rPr>
          <w:i/>
          <w:iCs/>
        </w:rPr>
        <w:t>et al.</w:t>
      </w:r>
      <w:r w:rsidR="00EA4D79" w:rsidRPr="00EA4D79">
        <w:t xml:space="preserve"> (2014). Modelling the Incidence of Plasmodium vivax and Plasmodium falciparum Malaria in Afghanistan 2006–2009. </w:t>
      </w:r>
      <w:r w:rsidR="00EA4D79" w:rsidRPr="00EA4D79">
        <w:rPr>
          <w:i/>
          <w:iCs/>
        </w:rPr>
        <w:t>PLoS ONE</w:t>
      </w:r>
      <w:r w:rsidR="00EA4D79" w:rsidRPr="00EA4D79">
        <w:t>, 9, e102304.</w:t>
      </w:r>
    </w:p>
    <w:p w14:paraId="59C123A6" w14:textId="77777777" w:rsidR="00EA4D79" w:rsidRPr="00EA4D79" w:rsidRDefault="00EA4D79" w:rsidP="00EA4D79">
      <w:pPr>
        <w:pStyle w:val="Bibliography"/>
      </w:pPr>
      <w:r w:rsidRPr="00EA4D79">
        <w:t xml:space="preserve">Arsevska, E., Hellal, J., Mejri, S., Hammami, S., Marianneau, P., Calavas, D., </w:t>
      </w:r>
      <w:r w:rsidRPr="00EA4D79">
        <w:rPr>
          <w:i/>
          <w:iCs/>
        </w:rPr>
        <w:t>et al.</w:t>
      </w:r>
      <w:r w:rsidRPr="00EA4D79">
        <w:t xml:space="preserve"> (2016). Identifying Areas Suitable for the Occurrence of Rift Valley Fever in North Africa: Implications for Surveillance. </w:t>
      </w:r>
      <w:r w:rsidRPr="00EA4D79">
        <w:rPr>
          <w:i/>
          <w:iCs/>
        </w:rPr>
        <w:t>Transbound. Emerg. Dis.</w:t>
      </w:r>
      <w:r w:rsidRPr="00EA4D79">
        <w:t>, 63, 658–674.</w:t>
      </w:r>
    </w:p>
    <w:p w14:paraId="61818F30" w14:textId="77777777" w:rsidR="00EA4D79" w:rsidRPr="00EA4D79" w:rsidRDefault="00EA4D79" w:rsidP="00EA4D79">
      <w:pPr>
        <w:pStyle w:val="Bibliography"/>
      </w:pPr>
      <w:r w:rsidRPr="00EA4D79">
        <w:t xml:space="preserve">Beebe, N.W., Cooper, R.D., Mottram, P. &amp; Sweeney, A.W. (2009). Australia’s Dengue Risk Driven by Human Adaptation to Climate Change. </w:t>
      </w:r>
      <w:r w:rsidRPr="00EA4D79">
        <w:rPr>
          <w:i/>
          <w:iCs/>
        </w:rPr>
        <w:t>PLoS Negl. Trop. Dis.</w:t>
      </w:r>
      <w:r w:rsidRPr="00EA4D79">
        <w:t>, 3, e429.</w:t>
      </w:r>
    </w:p>
    <w:p w14:paraId="425F1641" w14:textId="77777777" w:rsidR="00EA4D79" w:rsidRPr="00EA4D79" w:rsidRDefault="00EA4D79" w:rsidP="00EA4D79">
      <w:pPr>
        <w:pStyle w:val="Bibliography"/>
      </w:pPr>
      <w:r w:rsidRPr="00EA4D79">
        <w:t xml:space="preserve">Benedict, M.Q., Levine, R.S., Hawley, W.A. &amp; Lounibos, L.P. (2007). Spread of The Tiger: Global Risk of Invasion by The Mosquito Aedes albopictus. </w:t>
      </w:r>
      <w:r w:rsidRPr="00EA4D79">
        <w:rPr>
          <w:i/>
          <w:iCs/>
        </w:rPr>
        <w:t>Vector-Borne Zoonotic Dis.</w:t>
      </w:r>
      <w:r w:rsidRPr="00EA4D79">
        <w:t>, 7, 76–85.</w:t>
      </w:r>
    </w:p>
    <w:p w14:paraId="54E59214" w14:textId="77777777" w:rsidR="00EA4D79" w:rsidRPr="00EA4D79" w:rsidRDefault="00EA4D79" w:rsidP="00EA4D79">
      <w:pPr>
        <w:pStyle w:val="Bibliography"/>
      </w:pPr>
      <w:r w:rsidRPr="00EA4D79">
        <w:t xml:space="preserve">Bhatt, S., Gething, P.W., Brady, O.J., Messina, J.P., Farlow, A.W., Moyes, C.L., </w:t>
      </w:r>
      <w:r w:rsidRPr="00EA4D79">
        <w:rPr>
          <w:i/>
          <w:iCs/>
        </w:rPr>
        <w:t>et al.</w:t>
      </w:r>
      <w:r w:rsidRPr="00EA4D79">
        <w:t xml:space="preserve"> (2013). The global distribution and burden of dengue. </w:t>
      </w:r>
      <w:r w:rsidRPr="00EA4D79">
        <w:rPr>
          <w:i/>
          <w:iCs/>
        </w:rPr>
        <w:t>Nature</w:t>
      </w:r>
      <w:r w:rsidRPr="00EA4D79">
        <w:t>, 496, 504–507.</w:t>
      </w:r>
    </w:p>
    <w:p w14:paraId="0621FAA3" w14:textId="77777777" w:rsidR="00EA4D79" w:rsidRPr="00EA4D79" w:rsidRDefault="00EA4D79" w:rsidP="00EA4D79">
      <w:pPr>
        <w:pStyle w:val="Bibliography"/>
      </w:pPr>
      <w:r w:rsidRPr="00EA4D79">
        <w:t xml:space="preserve">Bishop, A.L., Barchia, I.M. &amp; Spohr, L.J. (2000). Models for the dispersal in Australia of the arbovirus vector, Culicoides brevitarsis Kieffer (Diptera: Ceratopogonidae). </w:t>
      </w:r>
      <w:r w:rsidRPr="00EA4D79">
        <w:rPr>
          <w:i/>
          <w:iCs/>
        </w:rPr>
        <w:t>Prev. Vet. Med.</w:t>
      </w:r>
      <w:r w:rsidRPr="00EA4D79">
        <w:t>, 47, 243–254.</w:t>
      </w:r>
    </w:p>
    <w:p w14:paraId="6098EBDF" w14:textId="77777777" w:rsidR="00EA4D79" w:rsidRPr="00EA4D79" w:rsidRDefault="00EA4D79" w:rsidP="00EA4D79">
      <w:pPr>
        <w:pStyle w:val="Bibliography"/>
      </w:pPr>
      <w:r w:rsidRPr="00EA4D79">
        <w:t xml:space="preserve">Bogoch, I.I., Brady, O.J., Kraemer, M.U.G., German, M., Creatore, M.I., Kulkarni, M.A., </w:t>
      </w:r>
      <w:r w:rsidRPr="00EA4D79">
        <w:rPr>
          <w:i/>
          <w:iCs/>
        </w:rPr>
        <w:t>et al.</w:t>
      </w:r>
      <w:r w:rsidRPr="00EA4D79">
        <w:t xml:space="preserve"> (2016). Anticipating the international spread of Zika virus from Brazil. </w:t>
      </w:r>
      <w:r w:rsidRPr="00EA4D79">
        <w:rPr>
          <w:i/>
          <w:iCs/>
        </w:rPr>
        <w:t>The Lancet</w:t>
      </w:r>
      <w:r w:rsidRPr="00EA4D79">
        <w:t>, 387, 335–336.</w:t>
      </w:r>
    </w:p>
    <w:p w14:paraId="659DADBD" w14:textId="77777777" w:rsidR="00EA4D79" w:rsidRPr="00EA4D79" w:rsidRDefault="00EA4D79" w:rsidP="00EA4D79">
      <w:pPr>
        <w:pStyle w:val="Bibliography"/>
      </w:pPr>
      <w:r w:rsidRPr="00EA4D79">
        <w:t xml:space="preserve">Calvete, C., Estrada, R., Miranda, M.A., Borrás, D., Calvo, J.H. &amp; Lucientes, J. (2009). Ecological correlates of bluetongue virus in Spain: Predicted spatial occurrence and its relationship with the observed abundance of the potential Culicoides spp. vector. </w:t>
      </w:r>
      <w:r w:rsidRPr="00EA4D79">
        <w:rPr>
          <w:i/>
          <w:iCs/>
        </w:rPr>
        <w:t>Vet. J.</w:t>
      </w:r>
      <w:r w:rsidRPr="00EA4D79">
        <w:t>, 182, 235–243.</w:t>
      </w:r>
    </w:p>
    <w:p w14:paraId="6D1F22CB" w14:textId="77777777" w:rsidR="00EA4D79" w:rsidRPr="00EA4D79" w:rsidRDefault="00EA4D79" w:rsidP="00EA4D79">
      <w:pPr>
        <w:pStyle w:val="Bibliography"/>
      </w:pPr>
      <w:r w:rsidRPr="00EA4D79">
        <w:t xml:space="preserve">Campbell, L.P., Luther, C., Moo-Llanes, D., Ramsey, J.M., Danis-Lozano, R. &amp; Peterson, A.T. (2015). Climate change influences on global distributions of dengue and chikungunya virus vectors. </w:t>
      </w:r>
      <w:r w:rsidRPr="00EA4D79">
        <w:rPr>
          <w:i/>
          <w:iCs/>
        </w:rPr>
        <w:t>Philos. Trans. R. Soc. B Biol. Sci.</w:t>
      </w:r>
      <w:r w:rsidRPr="00EA4D79">
        <w:t>, 370, 20140135.</w:t>
      </w:r>
    </w:p>
    <w:p w14:paraId="5E86BE9B" w14:textId="77777777" w:rsidR="00EA4D79" w:rsidRPr="00EA4D79" w:rsidRDefault="00EA4D79" w:rsidP="00EA4D79">
      <w:pPr>
        <w:pStyle w:val="Bibliography"/>
      </w:pPr>
      <w:r w:rsidRPr="00EA4D79">
        <w:t xml:space="preserve">Cappai, S., Loi, F., Coccollone, A., Contu, M., Capece, P., Fiori, M., </w:t>
      </w:r>
      <w:r w:rsidRPr="00EA4D79">
        <w:rPr>
          <w:i/>
          <w:iCs/>
        </w:rPr>
        <w:t>et al.</w:t>
      </w:r>
      <w:r w:rsidRPr="00EA4D79">
        <w:t xml:space="preserve"> (2018). Retrospective analysis of Bluetongue farm risk profile definition, based on biology, farm management practices and climatic data. </w:t>
      </w:r>
      <w:r w:rsidRPr="00EA4D79">
        <w:rPr>
          <w:i/>
          <w:iCs/>
        </w:rPr>
        <w:t>Prev. Vet. Med.</w:t>
      </w:r>
      <w:r w:rsidRPr="00EA4D79">
        <w:t>, 155, 75–85.</w:t>
      </w:r>
    </w:p>
    <w:p w14:paraId="724B19B2" w14:textId="77777777" w:rsidR="00EA4D79" w:rsidRPr="00EA4D79" w:rsidRDefault="00EA4D79" w:rsidP="00EA4D79">
      <w:pPr>
        <w:pStyle w:val="Bibliography"/>
      </w:pPr>
      <w:r w:rsidRPr="00EA4D79">
        <w:t xml:space="preserve">Cardoso-Leite, R., Vilarinho, A.C., Novaes, M.C., Tonetto, A.F., Vilardi, G.C. &amp; Guillermo-Ferreira, R. (2014). Recent and future environmental suitability to dengue fever in Brazil using species distribution model. </w:t>
      </w:r>
      <w:r w:rsidRPr="00EA4D79">
        <w:rPr>
          <w:i/>
          <w:iCs/>
        </w:rPr>
        <w:t>Trans. R. Soc. Trop. Med. Hyg.</w:t>
      </w:r>
      <w:r w:rsidRPr="00EA4D79">
        <w:t>, 108, 99–104.</w:t>
      </w:r>
    </w:p>
    <w:p w14:paraId="4625B641" w14:textId="77777777" w:rsidR="00EA4D79" w:rsidRPr="00EA4D79" w:rsidRDefault="00EA4D79" w:rsidP="00EA4D79">
      <w:pPr>
        <w:pStyle w:val="Bibliography"/>
      </w:pPr>
      <w:r w:rsidRPr="00EA4D79">
        <w:t xml:space="preserve">Clements, A.C., Pfeiffer, D.U. &amp; Martin, V. (2006). Application of knowledge-driven spatial modelling approaches and uncertainty management to a study of Rift Valley fever in Africa. </w:t>
      </w:r>
      <w:r w:rsidRPr="00EA4D79">
        <w:rPr>
          <w:i/>
          <w:iCs/>
        </w:rPr>
        <w:t>Int. J. Health Geogr.</w:t>
      </w:r>
      <w:r w:rsidRPr="00EA4D79">
        <w:t>, 5, 57.</w:t>
      </w:r>
    </w:p>
    <w:p w14:paraId="2FCDA75E" w14:textId="77777777" w:rsidR="00EA4D79" w:rsidRPr="00EA4D79" w:rsidRDefault="00EA4D79" w:rsidP="00EA4D79">
      <w:pPr>
        <w:pStyle w:val="Bibliography"/>
      </w:pPr>
      <w:r w:rsidRPr="00EA4D79">
        <w:t xml:space="preserve">Clements, A.C.A., Pfeiffer, D.U., Martin, V., Pittiglio, C., Best, N. &amp; Thiongane, Y. (2007). Spatial Risk Assessment of Rift Valley Fever in Senegal. </w:t>
      </w:r>
      <w:r w:rsidRPr="00EA4D79">
        <w:rPr>
          <w:i/>
          <w:iCs/>
        </w:rPr>
        <w:t>Vector-Borne Zoonotic Dis.</w:t>
      </w:r>
      <w:r w:rsidRPr="00EA4D79">
        <w:t>, 7, 203–216.</w:t>
      </w:r>
    </w:p>
    <w:p w14:paraId="7F9A8D1F" w14:textId="77777777" w:rsidR="00EA4D79" w:rsidRPr="00EA4D79" w:rsidRDefault="00EA4D79" w:rsidP="00EA4D79">
      <w:pPr>
        <w:pStyle w:val="Bibliography"/>
      </w:pPr>
      <w:r w:rsidRPr="00EA4D79">
        <w:t xml:space="preserve">Conley, A.K., Fuller, D.O., Haddad, N., Hassan, A.N., Gad, A.M. &amp; Beier, J.C. (2014). Modeling the distribution of the West Nile and Rift Valley Fever vector Culex pipiens in arid and semi-arid regions of the Middle East and North Africa. </w:t>
      </w:r>
      <w:r w:rsidRPr="00EA4D79">
        <w:rPr>
          <w:i/>
          <w:iCs/>
        </w:rPr>
        <w:t>Parasit. Vectors</w:t>
      </w:r>
      <w:r w:rsidRPr="00EA4D79">
        <w:t>, 7, 289.</w:t>
      </w:r>
    </w:p>
    <w:p w14:paraId="6724E581" w14:textId="77777777" w:rsidR="00EA4D79" w:rsidRPr="00EA4D79" w:rsidRDefault="00EA4D79" w:rsidP="00EA4D79">
      <w:pPr>
        <w:pStyle w:val="Bibliography"/>
      </w:pPr>
      <w:r w:rsidRPr="00EA4D79">
        <w:t xml:space="preserve">Conte, A., Ippoliti, C., Calistri, P., Pelini, S., Savini, L., Salini, R., </w:t>
      </w:r>
      <w:r w:rsidRPr="00EA4D79">
        <w:rPr>
          <w:i/>
          <w:iCs/>
        </w:rPr>
        <w:t>et al.</w:t>
      </w:r>
      <w:r w:rsidRPr="00EA4D79">
        <w:t xml:space="preserve"> (2004). Towards the identification of potential infectious sites for bluetongue in Italy: a spatial analysis approach based on the distribution of Culicoides imicola. </w:t>
      </w:r>
      <w:r w:rsidRPr="00EA4D79">
        <w:rPr>
          <w:i/>
          <w:iCs/>
        </w:rPr>
        <w:t>Vet. Ital.</w:t>
      </w:r>
      <w:r w:rsidRPr="00EA4D79">
        <w:t>, 40, 311–315.</w:t>
      </w:r>
    </w:p>
    <w:p w14:paraId="0D8580D3" w14:textId="77777777" w:rsidR="00EA4D79" w:rsidRPr="00EA4D79" w:rsidRDefault="00EA4D79" w:rsidP="00EA4D79">
      <w:pPr>
        <w:pStyle w:val="Bibliography"/>
      </w:pPr>
      <w:r w:rsidRPr="00EA4D79">
        <w:lastRenderedPageBreak/>
        <w:t xml:space="preserve">Cunze, S., Koch, L.K., Kochmann, J. &amp; Klimpel, S. (2016). Aedes albopictus and Aedes japonicus - two invasive mosquito species with different temperature niches in Europe. </w:t>
      </w:r>
      <w:r w:rsidRPr="00EA4D79">
        <w:rPr>
          <w:i/>
          <w:iCs/>
        </w:rPr>
        <w:t>Parasit. Vectors</w:t>
      </w:r>
      <w:r w:rsidRPr="00EA4D79">
        <w:t>, 9, 573.</w:t>
      </w:r>
    </w:p>
    <w:p w14:paraId="55ABD4E6" w14:textId="77777777" w:rsidR="00EA4D79" w:rsidRPr="00EA4D79" w:rsidRDefault="00EA4D79" w:rsidP="00EA4D79">
      <w:pPr>
        <w:pStyle w:val="Bibliography"/>
      </w:pPr>
      <w:r w:rsidRPr="00EA4D79">
        <w:t xml:space="preserve">Escobar, L.E., Qiao, H. &amp; Peterson, A.T. (2016a). Forecasting Chikungunya spread in the Americas via data-driven empirical approaches. </w:t>
      </w:r>
      <w:r w:rsidRPr="00EA4D79">
        <w:rPr>
          <w:i/>
          <w:iCs/>
        </w:rPr>
        <w:t>Parasit. Vectors</w:t>
      </w:r>
      <w:r w:rsidRPr="00EA4D79">
        <w:t>, 9, 112.</w:t>
      </w:r>
    </w:p>
    <w:p w14:paraId="3C1368E0" w14:textId="77777777" w:rsidR="00EA4D79" w:rsidRPr="00EA4D79" w:rsidRDefault="00EA4D79" w:rsidP="00EA4D79">
      <w:pPr>
        <w:pStyle w:val="Bibliography"/>
      </w:pPr>
      <w:r w:rsidRPr="00EA4D79">
        <w:t xml:space="preserve">Escobar, L.E., Romero-Alvarez, D., Leon, R., Lepe-Lopez, M.A., Craft, M.E., Borbor-Cordova, M.J., </w:t>
      </w:r>
      <w:r w:rsidRPr="00EA4D79">
        <w:rPr>
          <w:i/>
          <w:iCs/>
        </w:rPr>
        <w:t>et al.</w:t>
      </w:r>
      <w:r w:rsidRPr="00EA4D79">
        <w:t xml:space="preserve"> (2016b). Declining Prevalence of Disease Vectors Under Climate Change. </w:t>
      </w:r>
      <w:r w:rsidRPr="00EA4D79">
        <w:rPr>
          <w:i/>
          <w:iCs/>
        </w:rPr>
        <w:t>Sci. Rep.</w:t>
      </w:r>
      <w:r w:rsidRPr="00EA4D79">
        <w:t>, 6, 39150.</w:t>
      </w:r>
    </w:p>
    <w:p w14:paraId="4FAB33BD" w14:textId="77777777" w:rsidR="00EA4D79" w:rsidRPr="00EA4D79" w:rsidRDefault="00EA4D79" w:rsidP="00EA4D79">
      <w:pPr>
        <w:pStyle w:val="Bibliography"/>
      </w:pPr>
      <w:r w:rsidRPr="00EA4D79">
        <w:t xml:space="preserve">Foley, D.H., Linton, Y.-M., Ruiz‐Lopez, J.F., Conn, J.E., Sallum, M.A.M., Póvoa, M.M., </w:t>
      </w:r>
      <w:r w:rsidRPr="00EA4D79">
        <w:rPr>
          <w:i/>
          <w:iCs/>
        </w:rPr>
        <w:t>et al.</w:t>
      </w:r>
      <w:r w:rsidRPr="00EA4D79">
        <w:t xml:space="preserve"> (2014). Geographic distribution, evolution, and disease importance of species within the Neotropical Anopheles albitarsis Group (Diptera, Culicidae). </w:t>
      </w:r>
      <w:r w:rsidRPr="00EA4D79">
        <w:rPr>
          <w:i/>
          <w:iCs/>
        </w:rPr>
        <w:t>J. Vector Ecol.</w:t>
      </w:r>
      <w:r w:rsidRPr="00EA4D79">
        <w:t>, 39, 168–181.</w:t>
      </w:r>
    </w:p>
    <w:p w14:paraId="75ECB5BE" w14:textId="77777777" w:rsidR="00EA4D79" w:rsidRPr="00EA4D79" w:rsidRDefault="00EA4D79" w:rsidP="00EA4D79">
      <w:pPr>
        <w:pStyle w:val="Bibliography"/>
      </w:pPr>
      <w:r w:rsidRPr="00EA4D79">
        <w:t xml:space="preserve">Gao, X., Qin, H., Xiao, J. &amp; Wang, H. (2017). Meteorological conditions and land cover as predictors for the prevalence of Bluetongue virus in the Inner Mongolia Autonomous Region of Mainland China. </w:t>
      </w:r>
      <w:r w:rsidRPr="00EA4D79">
        <w:rPr>
          <w:i/>
          <w:iCs/>
        </w:rPr>
        <w:t>Prev. Vet. Med.</w:t>
      </w:r>
      <w:r w:rsidRPr="00EA4D79">
        <w:t>, 138, 88–93.</w:t>
      </w:r>
    </w:p>
    <w:p w14:paraId="1505434C" w14:textId="77777777" w:rsidR="00EA4D79" w:rsidRPr="00EA4D79" w:rsidRDefault="00EA4D79" w:rsidP="00EA4D79">
      <w:pPr>
        <w:pStyle w:val="Bibliography"/>
      </w:pPr>
      <w:r w:rsidRPr="00EA4D79">
        <w:t xml:space="preserve">Gleiser, R.M. &amp; Gorla, D.E. (2007). Predicting the spatial distribution of Ochlerotatus albifasciatus (Diptera: Culicidae) abundance with NOAA imagery. </w:t>
      </w:r>
      <w:r w:rsidRPr="00EA4D79">
        <w:rPr>
          <w:i/>
          <w:iCs/>
        </w:rPr>
        <w:t>Bull. Entomol. Res.</w:t>
      </w:r>
      <w:r w:rsidRPr="00EA4D79">
        <w:t>, 97, 607–612.</w:t>
      </w:r>
    </w:p>
    <w:p w14:paraId="05F36519" w14:textId="77777777" w:rsidR="00EA4D79" w:rsidRPr="00EA4D79" w:rsidRDefault="00EA4D79" w:rsidP="00EA4D79">
      <w:pPr>
        <w:pStyle w:val="Bibliography"/>
      </w:pPr>
      <w:r w:rsidRPr="00EA4D79">
        <w:t xml:space="preserve">Hay, S.I., Rogers, D.J., Toomer, J.F. &amp; Snow, R.W. (2000). Annual Plasmodium falciparum entomological inoculation rates (EIR) across Africa: literature survey, internet access and review. </w:t>
      </w:r>
      <w:r w:rsidRPr="00EA4D79">
        <w:rPr>
          <w:i/>
          <w:iCs/>
        </w:rPr>
        <w:t>Trans. R. Soc. Trop. Med. Hyg.</w:t>
      </w:r>
      <w:r w:rsidRPr="00EA4D79">
        <w:t>, 94, 113–127.</w:t>
      </w:r>
    </w:p>
    <w:p w14:paraId="657A232E" w14:textId="77777777" w:rsidR="00EA4D79" w:rsidRPr="00EA4D79" w:rsidRDefault="00EA4D79" w:rsidP="00EA4D79">
      <w:pPr>
        <w:pStyle w:val="Bibliography"/>
      </w:pPr>
      <w:r w:rsidRPr="00EA4D79">
        <w:t xml:space="preserve">Hundessa, S., Williams, G., Li, S., Liu, D.L., Cao, W., Ren, H., </w:t>
      </w:r>
      <w:r w:rsidRPr="00EA4D79">
        <w:rPr>
          <w:i/>
          <w:iCs/>
        </w:rPr>
        <w:t>et al.</w:t>
      </w:r>
      <w:r w:rsidRPr="00EA4D79">
        <w:t xml:space="preserve"> (2018). Projecting potential spatial and temporal changes in the distribution of Plasmodium vivax and Plasmodium falciparum malaria in China with climate change. </w:t>
      </w:r>
      <w:r w:rsidRPr="00EA4D79">
        <w:rPr>
          <w:i/>
          <w:iCs/>
        </w:rPr>
        <w:t>Sci. Total Environ.</w:t>
      </w:r>
      <w:r w:rsidRPr="00EA4D79">
        <w:t>, 627, 1285–1293.</w:t>
      </w:r>
    </w:p>
    <w:p w14:paraId="19A49745" w14:textId="77777777" w:rsidR="00EA4D79" w:rsidRPr="00EA4D79" w:rsidRDefault="00EA4D79" w:rsidP="00EA4D79">
      <w:pPr>
        <w:pStyle w:val="Bibliography"/>
      </w:pPr>
      <w:r w:rsidRPr="00EA4D79">
        <w:t xml:space="preserve">Koch, L.K., Cunze, S., Werblow, A., Kochmann, J., Dörge, D.D., Mehlhorn, H., </w:t>
      </w:r>
      <w:r w:rsidRPr="00EA4D79">
        <w:rPr>
          <w:i/>
          <w:iCs/>
        </w:rPr>
        <w:t>et al.</w:t>
      </w:r>
      <w:r w:rsidRPr="00EA4D79">
        <w:t xml:space="preserve"> (2016). Modeling the habitat suitability for the arbovirus vector Aedes albopictus (Diptera: Culicidae) in Germany. </w:t>
      </w:r>
      <w:r w:rsidRPr="00EA4D79">
        <w:rPr>
          <w:i/>
          <w:iCs/>
        </w:rPr>
        <w:t>Parasitol. Res.</w:t>
      </w:r>
      <w:r w:rsidRPr="00EA4D79">
        <w:t>, 115, 957–964.</w:t>
      </w:r>
    </w:p>
    <w:p w14:paraId="5A4BF9B2" w14:textId="77777777" w:rsidR="00EA4D79" w:rsidRPr="00EA4D79" w:rsidRDefault="00EA4D79" w:rsidP="00EA4D79">
      <w:pPr>
        <w:pStyle w:val="Bibliography"/>
      </w:pPr>
      <w:r w:rsidRPr="00EA4D79">
        <w:t xml:space="preserve">Kraemer, M.U., Sinka, M.E., Duda, K.A., Mylne, A.Q., Shearer, F.M., Barker, C.M., </w:t>
      </w:r>
      <w:r w:rsidRPr="00EA4D79">
        <w:rPr>
          <w:i/>
          <w:iCs/>
        </w:rPr>
        <w:t>et al.</w:t>
      </w:r>
      <w:r w:rsidRPr="00EA4D79">
        <w:t xml:space="preserve"> (2015). The global distribution of the arbovirus vectors Aedes aegypti and Ae. albopictus. </w:t>
      </w:r>
      <w:r w:rsidRPr="00EA4D79">
        <w:rPr>
          <w:i/>
          <w:iCs/>
        </w:rPr>
        <w:t>eLife</w:t>
      </w:r>
      <w:r w:rsidRPr="00EA4D79">
        <w:t>, 4, e08347.</w:t>
      </w:r>
    </w:p>
    <w:p w14:paraId="2FB71461" w14:textId="77777777" w:rsidR="00EA4D79" w:rsidRPr="00EA4D79" w:rsidRDefault="00EA4D79" w:rsidP="00EA4D79">
      <w:pPr>
        <w:pStyle w:val="Bibliography"/>
      </w:pPr>
      <w:r w:rsidRPr="00EA4D79">
        <w:t xml:space="preserve">Messina, J.P., Kraemer, M.U., Brady, O.J., Pigott, D.M., Shearer, F.M., Weiss, D.J., </w:t>
      </w:r>
      <w:r w:rsidRPr="00EA4D79">
        <w:rPr>
          <w:i/>
          <w:iCs/>
        </w:rPr>
        <w:t>et al.</w:t>
      </w:r>
      <w:r w:rsidRPr="00EA4D79">
        <w:t xml:space="preserve"> (2016). Mapping global environmental suitability for Zika virus. </w:t>
      </w:r>
      <w:r w:rsidRPr="00EA4D79">
        <w:rPr>
          <w:i/>
          <w:iCs/>
        </w:rPr>
        <w:t>eLife</w:t>
      </w:r>
      <w:r w:rsidRPr="00EA4D79">
        <w:t>, 5.</w:t>
      </w:r>
    </w:p>
    <w:p w14:paraId="1D95AA9A" w14:textId="77777777" w:rsidR="00EA4D79" w:rsidRPr="00EA4D79" w:rsidRDefault="00EA4D79" w:rsidP="00EA4D79">
      <w:pPr>
        <w:pStyle w:val="Bibliography"/>
      </w:pPr>
      <w:r w:rsidRPr="00EA4D79">
        <w:t xml:space="preserve">Mongoh, M.N., Khaitsa, M.L. &amp; Dyer, N.W. (2007). Environmental and ecological determinants of West Nile virus occurrence in horses in North Dakota, 2002. </w:t>
      </w:r>
      <w:r w:rsidRPr="00EA4D79">
        <w:rPr>
          <w:i/>
          <w:iCs/>
        </w:rPr>
        <w:t>Epidemiol. Infect.</w:t>
      </w:r>
      <w:r w:rsidRPr="00EA4D79">
        <w:t>, 135, 57.</w:t>
      </w:r>
    </w:p>
    <w:p w14:paraId="11BE95DD" w14:textId="77777777" w:rsidR="00EA4D79" w:rsidRPr="00EA4D79" w:rsidRDefault="00EA4D79" w:rsidP="00EA4D79">
      <w:pPr>
        <w:pStyle w:val="Bibliography"/>
      </w:pPr>
      <w:r w:rsidRPr="00EA4D79">
        <w:t xml:space="preserve">Mordecai, E.A., Cohen, J.M., Evans, M.V., Gudapati, P., Johnson, L.R., Lippi, C.A., </w:t>
      </w:r>
      <w:r w:rsidRPr="00EA4D79">
        <w:rPr>
          <w:i/>
          <w:iCs/>
        </w:rPr>
        <w:t>et al.</w:t>
      </w:r>
      <w:r w:rsidRPr="00EA4D79">
        <w:t xml:space="preserve"> (2017). Detecting the impact of temperature on transmission of Zika, dengue, and chikungunya using mechanistic models. </w:t>
      </w:r>
      <w:r w:rsidRPr="00EA4D79">
        <w:rPr>
          <w:i/>
          <w:iCs/>
        </w:rPr>
        <w:t>PLoS Negl. Trop. Dis.</w:t>
      </w:r>
      <w:r w:rsidRPr="00EA4D79">
        <w:t>, 11, e0005568.</w:t>
      </w:r>
    </w:p>
    <w:p w14:paraId="5787F070" w14:textId="77777777" w:rsidR="00EA4D79" w:rsidRPr="00EA4D79" w:rsidRDefault="00EA4D79" w:rsidP="00EA4D79">
      <w:pPr>
        <w:pStyle w:val="Bibliography"/>
      </w:pPr>
      <w:r w:rsidRPr="00EA4D79">
        <w:t xml:space="preserve">Mordecai, E.A., Paaijmans, K.P., Johnson, L.R., Balzer, C.H., Ben-Horin, T., de Moor, E., </w:t>
      </w:r>
      <w:r w:rsidRPr="00EA4D79">
        <w:rPr>
          <w:i/>
          <w:iCs/>
        </w:rPr>
        <w:t>et al.</w:t>
      </w:r>
      <w:r w:rsidRPr="00EA4D79">
        <w:t xml:space="preserve"> (2013). Optimal temperature for malaria transmission is dramatically lower than previously predicted. </w:t>
      </w:r>
      <w:r w:rsidRPr="00EA4D79">
        <w:rPr>
          <w:i/>
          <w:iCs/>
        </w:rPr>
        <w:t>Ecol. Lett.</w:t>
      </w:r>
      <w:r w:rsidRPr="00EA4D79">
        <w:t>, 16, 22–30.</w:t>
      </w:r>
    </w:p>
    <w:p w14:paraId="151FD886" w14:textId="77777777" w:rsidR="00EA4D79" w:rsidRPr="00EA4D79" w:rsidRDefault="00EA4D79" w:rsidP="00EA4D79">
      <w:pPr>
        <w:pStyle w:val="Bibliography"/>
      </w:pPr>
      <w:r w:rsidRPr="00EA4D79">
        <w:t xml:space="preserve">Mukhopadhyay, E., Hazra, S., Saha, G.K. &amp; Banerjee, D. (2017). Altitudinal variation and bio-climatic variables influencing the potential distribution of Culicoides orientalis Macfie, 1932, suspected vector of Bluetongue virus across the North Eastern Himalayan belt of Sikkim. </w:t>
      </w:r>
      <w:r w:rsidRPr="00EA4D79">
        <w:rPr>
          <w:i/>
          <w:iCs/>
        </w:rPr>
        <w:t>Acta Trop.</w:t>
      </w:r>
      <w:r w:rsidRPr="00EA4D79">
        <w:t>, 176, 402–411.</w:t>
      </w:r>
    </w:p>
    <w:p w14:paraId="01C24C5F" w14:textId="77777777" w:rsidR="00EA4D79" w:rsidRPr="00EA4D79" w:rsidRDefault="00EA4D79" w:rsidP="00EA4D79">
      <w:pPr>
        <w:pStyle w:val="Bibliography"/>
      </w:pPr>
      <w:r w:rsidRPr="00EA4D79">
        <w:lastRenderedPageBreak/>
        <w:t xml:space="preserve">Mweya, C.N., Kimera, S.I., Kija, J.B. &amp; Mboera, L.E.G. (2013). Predicting distribution of Aedes aegypti and Culex pipiens complex, potential vectors of Rift Valley fever virus in relation to disease epidemics in East Africa. </w:t>
      </w:r>
      <w:r w:rsidRPr="00EA4D79">
        <w:rPr>
          <w:i/>
          <w:iCs/>
        </w:rPr>
        <w:t>Infect. Ecol. Epidemiol.</w:t>
      </w:r>
      <w:r w:rsidRPr="00EA4D79">
        <w:t>, 3, 21748.</w:t>
      </w:r>
    </w:p>
    <w:p w14:paraId="15F89B20" w14:textId="77777777" w:rsidR="00EA4D79" w:rsidRPr="00EA4D79" w:rsidRDefault="00EA4D79" w:rsidP="00EA4D79">
      <w:pPr>
        <w:pStyle w:val="Bibliography"/>
      </w:pPr>
      <w:r w:rsidRPr="00EA4D79">
        <w:t xml:space="preserve">Mweya, C.N., Kimera, S.I., Stanley, G., Misinzo, G. &amp; Mboera, L.E.G. (2016). Climate Change Influences Potential Distribution of Infected Aedes aegypti Co-Occurrence with Dengue Epidemics Risk Areas in Tanzania. </w:t>
      </w:r>
      <w:r w:rsidRPr="00EA4D79">
        <w:rPr>
          <w:i/>
          <w:iCs/>
        </w:rPr>
        <w:t>PLOS ONE</w:t>
      </w:r>
      <w:r w:rsidRPr="00EA4D79">
        <w:t>, 11, e0162649.</w:t>
      </w:r>
    </w:p>
    <w:p w14:paraId="7D63E075" w14:textId="77777777" w:rsidR="00EA4D79" w:rsidRPr="00EA4D79" w:rsidRDefault="00EA4D79" w:rsidP="00EA4D79">
      <w:pPr>
        <w:pStyle w:val="Bibliography"/>
      </w:pPr>
      <w:r w:rsidRPr="00EA4D79">
        <w:t xml:space="preserve">Mweya, C.N., Mboera, L.E.G. &amp; Kimera, S.I. (2017). Climate Influence on Emerging Risk Areas for Rift Valley Fever Epidemics in Tanzania. </w:t>
      </w:r>
      <w:r w:rsidRPr="00EA4D79">
        <w:rPr>
          <w:i/>
          <w:iCs/>
        </w:rPr>
        <w:t>Am. J. Trop. Med. Hyg.</w:t>
      </w:r>
      <w:r w:rsidRPr="00EA4D79">
        <w:t>, 97, 109–114.</w:t>
      </w:r>
    </w:p>
    <w:p w14:paraId="7BA6E46F" w14:textId="77777777" w:rsidR="00EA4D79" w:rsidRPr="00EA4D79" w:rsidRDefault="00EA4D79" w:rsidP="00EA4D79">
      <w:pPr>
        <w:pStyle w:val="Bibliography"/>
      </w:pPr>
      <w:r w:rsidRPr="00EA4D79">
        <w:t xml:space="preserve">Nsoesie, E., Kraemer, M., Golding, N., Pigott, D., Brady, O., Moyes, C., </w:t>
      </w:r>
      <w:r w:rsidRPr="00EA4D79">
        <w:rPr>
          <w:i/>
          <w:iCs/>
        </w:rPr>
        <w:t>et al.</w:t>
      </w:r>
      <w:r w:rsidRPr="00EA4D79">
        <w:t xml:space="preserve"> (2016). Global distribution and environmental suitability for chikungunya virus, 1952 to 2015. </w:t>
      </w:r>
      <w:r w:rsidRPr="00EA4D79">
        <w:rPr>
          <w:i/>
          <w:iCs/>
        </w:rPr>
        <w:t>Euro Surveill. Bull. Eur. Sur Mal. Transm. Eur. Commun. Dis. Bull.</w:t>
      </w:r>
      <w:r w:rsidRPr="00EA4D79">
        <w:t>, 21.</w:t>
      </w:r>
    </w:p>
    <w:p w14:paraId="4C9660F2" w14:textId="77777777" w:rsidR="00EA4D79" w:rsidRPr="00EA4D79" w:rsidRDefault="00EA4D79" w:rsidP="00EA4D79">
      <w:pPr>
        <w:pStyle w:val="Bibliography"/>
      </w:pPr>
      <w:r w:rsidRPr="00EA4D79">
        <w:t xml:space="preserve">Ogden, N.H., Milka, R., Caminade, C. &amp; Gachon, P. (2014). Recent and projected future climatic suitability of North America for the Asian tiger mosquito Aedes albopictus. </w:t>
      </w:r>
      <w:r w:rsidRPr="00EA4D79">
        <w:rPr>
          <w:i/>
          <w:iCs/>
        </w:rPr>
        <w:t>Parasit. Vectors</w:t>
      </w:r>
      <w:r w:rsidRPr="00EA4D79">
        <w:t>, 7, 532.</w:t>
      </w:r>
    </w:p>
    <w:p w14:paraId="40121009" w14:textId="77777777" w:rsidR="00EA4D79" w:rsidRPr="00EA4D79" w:rsidRDefault="00EA4D79" w:rsidP="00EA4D79">
      <w:pPr>
        <w:pStyle w:val="Bibliography"/>
      </w:pPr>
      <w:r w:rsidRPr="00EA4D79">
        <w:t xml:space="preserve">Parham, P. &amp; Michael, E. (2010). Modeling the Effects of Weather and Climate Change on Malaria Transmission. </w:t>
      </w:r>
      <w:r w:rsidRPr="00EA4D79">
        <w:rPr>
          <w:i/>
          <w:iCs/>
        </w:rPr>
        <w:t>Environ. Health Perspect.</w:t>
      </w:r>
      <w:r w:rsidRPr="00EA4D79">
        <w:t>, 118, 620–626.</w:t>
      </w:r>
    </w:p>
    <w:p w14:paraId="0FFE073C" w14:textId="77777777" w:rsidR="00EA4D79" w:rsidRPr="00EA4D79" w:rsidRDefault="00EA4D79" w:rsidP="00EA4D79">
      <w:pPr>
        <w:pStyle w:val="Bibliography"/>
      </w:pPr>
      <w:r w:rsidRPr="00EA4D79">
        <w:t xml:space="preserve">Purse, B.V., Caracappa, S., Marino, A.M.F., Tatem, A.J., Rogers, D.J., Mellor, P.S., </w:t>
      </w:r>
      <w:r w:rsidRPr="00EA4D79">
        <w:rPr>
          <w:i/>
          <w:iCs/>
        </w:rPr>
        <w:t>et al.</w:t>
      </w:r>
      <w:r w:rsidRPr="00EA4D79">
        <w:t xml:space="preserve"> (2004). Modelling the distribution of outbreaks and Culicoides vectors in Sicily: towards predictive risk maps for Italy. </w:t>
      </w:r>
      <w:r w:rsidRPr="00EA4D79">
        <w:rPr>
          <w:i/>
          <w:iCs/>
        </w:rPr>
        <w:t>Vet. Ital.</w:t>
      </w:r>
      <w:r w:rsidRPr="00EA4D79">
        <w:t>, 40, 303–310.</w:t>
      </w:r>
    </w:p>
    <w:p w14:paraId="1F6833BC" w14:textId="77777777" w:rsidR="00EA4D79" w:rsidRPr="00EA4D79" w:rsidRDefault="00EA4D79" w:rsidP="00EA4D79">
      <w:pPr>
        <w:pStyle w:val="Bibliography"/>
      </w:pPr>
      <w:r w:rsidRPr="00EA4D79">
        <w:t xml:space="preserve">Rigot, T., Conte, A., Goffredo, M., Ducheyne, E., Hendrickx, G. &amp; Gilbert, M. (2012). Predicting the spatio-temporal distribution of Culicoides imicola in Sardinia using a discrete-time population model. </w:t>
      </w:r>
      <w:r w:rsidRPr="00EA4D79">
        <w:rPr>
          <w:i/>
          <w:iCs/>
        </w:rPr>
        <w:t>Parasit. Vectors</w:t>
      </w:r>
      <w:r w:rsidRPr="00EA4D79">
        <w:t>, 5, 270.</w:t>
      </w:r>
    </w:p>
    <w:p w14:paraId="7B9569D7" w14:textId="77777777" w:rsidR="00EA4D79" w:rsidRPr="00EA4D79" w:rsidRDefault="00EA4D79" w:rsidP="00EA4D79">
      <w:pPr>
        <w:pStyle w:val="Bibliography"/>
      </w:pPr>
      <w:r w:rsidRPr="00EA4D79">
        <w:t xml:space="preserve">Rochlin, I., Ninivaggi, D.V., Hutchinson, M.L. &amp; Farajollahi, A. (2013). Climate Change and Range Expansion of the Asian Tiger Mosquito (Aedes albopictus) in Northeastern USA: Implications for Public Health Practitioners. </w:t>
      </w:r>
      <w:r w:rsidRPr="00EA4D79">
        <w:rPr>
          <w:i/>
          <w:iCs/>
        </w:rPr>
        <w:t>PLoS One San Franc.</w:t>
      </w:r>
      <w:r w:rsidRPr="00EA4D79">
        <w:t>, 8, e60874.</w:t>
      </w:r>
    </w:p>
    <w:p w14:paraId="2E0A664D" w14:textId="77777777" w:rsidR="00EA4D79" w:rsidRPr="00EA4D79" w:rsidRDefault="00EA4D79" w:rsidP="00EA4D79">
      <w:pPr>
        <w:pStyle w:val="Bibliography"/>
      </w:pPr>
      <w:r w:rsidRPr="00EA4D79">
        <w:t xml:space="preserve">Sallam, M.F., Ahmed, A.M.A., Abdel-Dayem, M.S. &amp; Abdullah, M.A.R. (2013). Ecological Niche Modeling and Land Cover Risk Areas for Rift Valley Fever Vector, Culex tritaeniorhynchus Giles in Jazan, Saudi Arabia. </w:t>
      </w:r>
      <w:r w:rsidRPr="00EA4D79">
        <w:rPr>
          <w:i/>
          <w:iCs/>
        </w:rPr>
        <w:t>PLOS ONE</w:t>
      </w:r>
      <w:r w:rsidRPr="00EA4D79">
        <w:t>, 8, e65786.</w:t>
      </w:r>
    </w:p>
    <w:p w14:paraId="600361ED" w14:textId="77777777" w:rsidR="00EA4D79" w:rsidRPr="00EA4D79" w:rsidRDefault="00EA4D79" w:rsidP="00EA4D79">
      <w:pPr>
        <w:pStyle w:val="Bibliography"/>
      </w:pPr>
      <w:r w:rsidRPr="00EA4D79">
        <w:t xml:space="preserve">Samy, A.M., Thomas, S.M., Wahed, A.A.E., Cohoon, K.P., Peterson, A.T., Samy, A.M., </w:t>
      </w:r>
      <w:r w:rsidRPr="00EA4D79">
        <w:rPr>
          <w:i/>
          <w:iCs/>
        </w:rPr>
        <w:t>et al.</w:t>
      </w:r>
      <w:r w:rsidRPr="00EA4D79">
        <w:t xml:space="preserve"> (2016). Mapping the global geographic potential of Zika virus spread. </w:t>
      </w:r>
      <w:r w:rsidRPr="00EA4D79">
        <w:rPr>
          <w:i/>
          <w:iCs/>
        </w:rPr>
        <w:t>Mem. Inst. Oswaldo Cruz</w:t>
      </w:r>
      <w:r w:rsidRPr="00EA4D79">
        <w:t>, 111, 559–560.</w:t>
      </w:r>
    </w:p>
    <w:p w14:paraId="7CD0A5A6" w14:textId="77777777" w:rsidR="00EA4D79" w:rsidRPr="00EA4D79" w:rsidRDefault="00EA4D79" w:rsidP="00EA4D79">
      <w:pPr>
        <w:pStyle w:val="Bibliography"/>
      </w:pPr>
      <w:r w:rsidRPr="00EA4D79">
        <w:t xml:space="preserve">Sánchez-Vizcaíno, F., Martínez-López, B. &amp; Sánchez-Vizcaíno, J.M. (2013). Identification of suitable areas for the occurrence of Rift Valley fever outbreaks in Spain using a multiple criteria decision framework. </w:t>
      </w:r>
      <w:r w:rsidRPr="00EA4D79">
        <w:rPr>
          <w:i/>
          <w:iCs/>
        </w:rPr>
        <w:t>Vet. Microbiol.</w:t>
      </w:r>
      <w:r w:rsidRPr="00EA4D79">
        <w:t>, 165, 71–78.</w:t>
      </w:r>
    </w:p>
    <w:p w14:paraId="6B6FC85D" w14:textId="77777777" w:rsidR="00EA4D79" w:rsidRPr="00EA4D79" w:rsidRDefault="00EA4D79" w:rsidP="00EA4D79">
      <w:pPr>
        <w:pStyle w:val="Bibliography"/>
      </w:pPr>
      <w:r w:rsidRPr="00EA4D79">
        <w:t xml:space="preserve">Shabani, F., Tehrany, M.S., Solhjouy-fard, S. &amp; Kumar, L. (2018). A comparative modeling study on non-climatic and climatic risk assessment on Asian Tiger Mosquito (Aedes albopictus). </w:t>
      </w:r>
      <w:r w:rsidRPr="00EA4D79">
        <w:rPr>
          <w:i/>
          <w:iCs/>
        </w:rPr>
        <w:t>PeerJ</w:t>
      </w:r>
      <w:r w:rsidRPr="00EA4D79">
        <w:t>, 6, e4474.</w:t>
      </w:r>
    </w:p>
    <w:p w14:paraId="3A6689C0" w14:textId="77777777" w:rsidR="00EA4D79" w:rsidRPr="00EA4D79" w:rsidRDefault="00EA4D79" w:rsidP="00EA4D79">
      <w:pPr>
        <w:pStyle w:val="Bibliography"/>
      </w:pPr>
      <w:r w:rsidRPr="00EA4D79">
        <w:t xml:space="preserve">Shocket, M.S., Ryan, S.J. &amp; Mordecai, E.A. (2018). Temperature explains broad patterns of Ross River virus transmission. </w:t>
      </w:r>
      <w:r w:rsidRPr="00EA4D79">
        <w:rPr>
          <w:i/>
          <w:iCs/>
        </w:rPr>
        <w:t>eLife</w:t>
      </w:r>
      <w:r w:rsidRPr="00EA4D79">
        <w:t>, 7, e37762.</w:t>
      </w:r>
    </w:p>
    <w:p w14:paraId="0ABF6F3B" w14:textId="77777777" w:rsidR="00EA4D79" w:rsidRPr="00EA4D79" w:rsidRDefault="00EA4D79" w:rsidP="00EA4D79">
      <w:pPr>
        <w:pStyle w:val="Bibliography"/>
      </w:pPr>
      <w:r w:rsidRPr="00EA4D79">
        <w:t xml:space="preserve">Stewart Ibarra, A.M., Ryan, S.J., Beltrán, E., Mejía, R., Silva, M. &amp; Muñoz, Á. (2013). Dengue vector dynamics (Aedes aegypti) influenced by climate and social factors in Ecuador: implications for targeted control. </w:t>
      </w:r>
      <w:r w:rsidRPr="00EA4D79">
        <w:rPr>
          <w:i/>
          <w:iCs/>
        </w:rPr>
        <w:t>PLoS ONE</w:t>
      </w:r>
      <w:r w:rsidRPr="00EA4D79">
        <w:t>, 8, e78263.</w:t>
      </w:r>
    </w:p>
    <w:p w14:paraId="6D1AF429" w14:textId="77777777" w:rsidR="00EA4D79" w:rsidRPr="00EA4D79" w:rsidRDefault="00EA4D79" w:rsidP="00EA4D79">
      <w:pPr>
        <w:pStyle w:val="Bibliography"/>
      </w:pPr>
      <w:r w:rsidRPr="00EA4D79">
        <w:t xml:space="preserve">Tatem, A.J., Baylis, M., Mellor, P.S., Purse, B.V., Capela, R., Pena, I., </w:t>
      </w:r>
      <w:r w:rsidRPr="00EA4D79">
        <w:rPr>
          <w:i/>
          <w:iCs/>
        </w:rPr>
        <w:t>et al.</w:t>
      </w:r>
      <w:r w:rsidRPr="00EA4D79">
        <w:t xml:space="preserve"> (2003). Prediction of bluetongue vector distribution in Europe and north Africa using satellite imagery. </w:t>
      </w:r>
      <w:r w:rsidRPr="00EA4D79">
        <w:rPr>
          <w:i/>
          <w:iCs/>
        </w:rPr>
        <w:t>Vet. Microbiol.</w:t>
      </w:r>
      <w:r w:rsidRPr="00EA4D79">
        <w:t>, 97, 13–29.</w:t>
      </w:r>
    </w:p>
    <w:p w14:paraId="3E15BEE8" w14:textId="77777777" w:rsidR="00EA4D79" w:rsidRPr="00EA4D79" w:rsidRDefault="00EA4D79" w:rsidP="00EA4D79">
      <w:pPr>
        <w:pStyle w:val="Bibliography"/>
      </w:pPr>
      <w:r w:rsidRPr="00EA4D79">
        <w:lastRenderedPageBreak/>
        <w:t xml:space="preserve">Tran, A., Sudre, B., Paz, S., Rossi, M., Desbrosse, A., Chevalier, V., </w:t>
      </w:r>
      <w:r w:rsidRPr="00EA4D79">
        <w:rPr>
          <w:i/>
          <w:iCs/>
        </w:rPr>
        <w:t>et al.</w:t>
      </w:r>
      <w:r w:rsidRPr="00EA4D79">
        <w:t xml:space="preserve"> (2014). Environmental predictors of West Nile fever risk in Europe. </w:t>
      </w:r>
      <w:r w:rsidRPr="00EA4D79">
        <w:rPr>
          <w:i/>
          <w:iCs/>
        </w:rPr>
        <w:t>Int. J. Health Geogr.</w:t>
      </w:r>
      <w:r w:rsidRPr="00EA4D79">
        <w:t>, 13, 26.</w:t>
      </w:r>
    </w:p>
    <w:p w14:paraId="6349A76A" w14:textId="77777777" w:rsidR="00EA4D79" w:rsidRPr="00EA4D79" w:rsidRDefault="00EA4D79" w:rsidP="00EA4D79">
      <w:pPr>
        <w:pStyle w:val="Bibliography"/>
      </w:pPr>
      <w:r w:rsidRPr="00EA4D79">
        <w:t xml:space="preserve">Ward, M.P. (2005). Epidemic West Nile virus encephalomyelitis: A temperature-dependent, spatial model of disease dynamics. </w:t>
      </w:r>
      <w:r w:rsidRPr="00EA4D79">
        <w:rPr>
          <w:i/>
          <w:iCs/>
        </w:rPr>
        <w:t>Prev. Vet. Med.</w:t>
      </w:r>
      <w:r w:rsidRPr="00EA4D79">
        <w:t>, 71, 253–264.</w:t>
      </w:r>
    </w:p>
    <w:p w14:paraId="1BA8853F" w14:textId="77777777" w:rsidR="00EA4D79" w:rsidRPr="00EA4D79" w:rsidRDefault="00EA4D79" w:rsidP="00EA4D79">
      <w:pPr>
        <w:pStyle w:val="Bibliography"/>
      </w:pPr>
      <w:r w:rsidRPr="00EA4D79">
        <w:t xml:space="preserve">Ward, M.P., Wittich, C.A., Fosgate, G. &amp; Srinivasan, R. (2009). Environmental risk factors for equine West Nile virus disease cases in Texas. </w:t>
      </w:r>
      <w:r w:rsidRPr="00EA4D79">
        <w:rPr>
          <w:i/>
          <w:iCs/>
        </w:rPr>
        <w:t>Vet. Res. Commun.</w:t>
      </w:r>
      <w:r w:rsidRPr="00EA4D79">
        <w:t>, 33, 461–471.</w:t>
      </w:r>
    </w:p>
    <w:p w14:paraId="75109C01" w14:textId="2B0C7F68" w:rsidR="00F736D4" w:rsidRPr="00F736D4" w:rsidRDefault="00F736D4" w:rsidP="00F736D4">
      <w:r>
        <w:fldChar w:fldCharType="end"/>
      </w:r>
    </w:p>
    <w:sectPr w:rsidR="00F736D4" w:rsidRPr="00F736D4" w:rsidSect="00C4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26"/>
    <w:rsid w:val="00131F8A"/>
    <w:rsid w:val="00200BFD"/>
    <w:rsid w:val="00333EE8"/>
    <w:rsid w:val="00456DAF"/>
    <w:rsid w:val="00537026"/>
    <w:rsid w:val="00594E4C"/>
    <w:rsid w:val="005C38CE"/>
    <w:rsid w:val="00623EB4"/>
    <w:rsid w:val="0083423C"/>
    <w:rsid w:val="008C25A7"/>
    <w:rsid w:val="00A93316"/>
    <w:rsid w:val="00AE5FDA"/>
    <w:rsid w:val="00AE7B15"/>
    <w:rsid w:val="00B314F8"/>
    <w:rsid w:val="00B443B4"/>
    <w:rsid w:val="00B45C5D"/>
    <w:rsid w:val="00B7259D"/>
    <w:rsid w:val="00BD4385"/>
    <w:rsid w:val="00BF498E"/>
    <w:rsid w:val="00C448D2"/>
    <w:rsid w:val="00C7725E"/>
    <w:rsid w:val="00D6639D"/>
    <w:rsid w:val="00E27B9B"/>
    <w:rsid w:val="00E812A2"/>
    <w:rsid w:val="00EA4D79"/>
    <w:rsid w:val="00F736D4"/>
    <w:rsid w:val="00FC0FFF"/>
    <w:rsid w:val="00FE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CA6B"/>
  <w14:defaultImageDpi w14:val="32767"/>
  <w15:chartTrackingRefBased/>
  <w15:docId w15:val="{C839DCC5-CB94-6B41-9394-0A8DB8C0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736D4"/>
    <w:pPr>
      <w:ind w:left="720" w:hanging="720"/>
    </w:pPr>
  </w:style>
  <w:style w:type="paragraph" w:styleId="BalloonText">
    <w:name w:val="Balloon Text"/>
    <w:basedOn w:val="Normal"/>
    <w:link w:val="BalloonTextChar"/>
    <w:uiPriority w:val="99"/>
    <w:semiHidden/>
    <w:unhideWhenUsed/>
    <w:rsid w:val="00F736D4"/>
    <w:rPr>
      <w:sz w:val="18"/>
      <w:szCs w:val="18"/>
    </w:rPr>
  </w:style>
  <w:style w:type="character" w:customStyle="1" w:styleId="BalloonTextChar">
    <w:name w:val="Balloon Text Char"/>
    <w:basedOn w:val="DefaultParagraphFont"/>
    <w:link w:val="BalloonText"/>
    <w:uiPriority w:val="99"/>
    <w:semiHidden/>
    <w:rsid w:val="00F736D4"/>
    <w:rPr>
      <w:sz w:val="18"/>
      <w:szCs w:val="18"/>
    </w:rPr>
  </w:style>
  <w:style w:type="character" w:customStyle="1" w:styleId="CommentTextChar">
    <w:name w:val="Comment Text Char"/>
    <w:basedOn w:val="DefaultParagraphFont"/>
    <w:link w:val="CommentText"/>
    <w:uiPriority w:val="99"/>
    <w:semiHidden/>
    <w:rsid w:val="00AE5FDA"/>
    <w:rPr>
      <w:rFonts w:cstheme="minorBidi"/>
      <w:sz w:val="20"/>
      <w:szCs w:val="20"/>
    </w:rPr>
  </w:style>
  <w:style w:type="paragraph" w:styleId="CommentText">
    <w:name w:val="annotation text"/>
    <w:basedOn w:val="Normal"/>
    <w:link w:val="CommentTextChar"/>
    <w:uiPriority w:val="99"/>
    <w:semiHidden/>
    <w:unhideWhenUsed/>
    <w:rsid w:val="00AE5FDA"/>
    <w:rPr>
      <w:rFonts w:cstheme="minorBidi"/>
      <w:sz w:val="20"/>
      <w:szCs w:val="20"/>
    </w:rPr>
  </w:style>
  <w:style w:type="character" w:customStyle="1" w:styleId="CommentSubjectChar">
    <w:name w:val="Comment Subject Char"/>
    <w:basedOn w:val="CommentTextChar"/>
    <w:link w:val="CommentSubject"/>
    <w:uiPriority w:val="99"/>
    <w:semiHidden/>
    <w:rsid w:val="00AE5FDA"/>
    <w:rPr>
      <w:rFonts w:cstheme="minorBidi"/>
      <w:b/>
      <w:bCs/>
      <w:sz w:val="20"/>
      <w:szCs w:val="20"/>
    </w:rPr>
  </w:style>
  <w:style w:type="paragraph" w:styleId="CommentSubject">
    <w:name w:val="annotation subject"/>
    <w:basedOn w:val="CommentText"/>
    <w:next w:val="CommentText"/>
    <w:link w:val="CommentSubjectChar"/>
    <w:uiPriority w:val="99"/>
    <w:semiHidden/>
    <w:unhideWhenUsed/>
    <w:rsid w:val="00AE5FDA"/>
    <w:rPr>
      <w:b/>
      <w:bCs/>
    </w:rPr>
  </w:style>
  <w:style w:type="character" w:styleId="PlaceholderText">
    <w:name w:val="Placeholder Text"/>
    <w:basedOn w:val="DefaultParagraphFont"/>
    <w:uiPriority w:val="99"/>
    <w:semiHidden/>
    <w:rsid w:val="00A93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23483</Words>
  <Characters>133855</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Gilmour Mordecai</dc:creator>
  <cp:keywords/>
  <dc:description/>
  <cp:lastModifiedBy>Erin Gilmour Mordecai</cp:lastModifiedBy>
  <cp:revision>4</cp:revision>
  <dcterms:created xsi:type="dcterms:W3CDTF">2019-05-29T17:05:00Z</dcterms:created>
  <dcterms:modified xsi:type="dcterms:W3CDTF">2019-06-04T00:59:00Z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id="P6k4PRMa"/&gt;&lt;style id="http://www.zotero.org/styles/ecology-letters" hasBibliography="1" bibliographyStyleHasBeenSet="1"/&gt;&lt;prefs&gt;&lt;pref name="fieldType" value="Field"/&gt;&lt;pref name="automaticJournalA</vt:lpwstr>
  </property>
  <property fmtid="{D5CDD505-2E9C-101B-9397-08002B2CF9AE}" pid="3" name="ZOTERO_PREF_2">
    <vt:lpwstr>bbreviations" value="true"/&gt;&lt;pref name="dontAskDelayCitationUpdates" value="true"/&gt;&lt;/prefs&gt;&lt;/data&gt;</vt:lpwstr>
  </property>
</Properties>
</file>