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学士学位论文</w:t>
      </w:r>
    </w:p>
    <w:p>
      <w:pPr>
        <w:jc w:val="center"/>
      </w:pPr>
      <w:r>
        <w:t>MemoraRAG：面向本地私有部署的检索增强生成系统设计与实验分析</w:t>
      </w:r>
    </w:p>
    <w:tbl>
      <w:tblPr>
        <w:tblW w:type="auto" w:w="0"/>
        <w:jc w:val="center"/>
        <w:tblLook w:firstColumn="1" w:firstRow="1" w:lastColumn="0" w:lastRow="0" w:noHBand="0" w:noVBand="1" w:val="04A0"/>
      </w:tblPr>
      <w:tblGrid>
        <w:gridCol w:w="4156"/>
        <w:gridCol w:w="4156"/>
      </w:tblGrid>
      <w:tr>
        <w:tc>
          <w:tcPr>
            <w:tcW w:type="dxa" w:w="4156"/>
          </w:tcPr>
          <w:p>
            <w:r>
              <w:t>姓    名</w:t>
            </w:r>
          </w:p>
        </w:tc>
        <w:tc>
          <w:tcPr>
            <w:tcW w:type="dxa" w:w="4156"/>
          </w:tcPr>
          <w:p>
            <w:r>
              <w:t>王超然</w:t>
            </w:r>
          </w:p>
        </w:tc>
      </w:tr>
      <w:tr>
        <w:tc>
          <w:tcPr>
            <w:tcW w:type="dxa" w:w="4156"/>
          </w:tcPr>
          <w:p>
            <w:r>
              <w:t>学    号</w:t>
            </w:r>
          </w:p>
        </w:tc>
        <w:tc>
          <w:tcPr>
            <w:tcW w:type="dxa" w:w="4156"/>
          </w:tcPr>
          <w:p>
            <w:r>
              <w:t>20220300172</w:t>
            </w:r>
          </w:p>
        </w:tc>
      </w:tr>
      <w:tr>
        <w:tc>
          <w:tcPr>
            <w:tcW w:type="dxa" w:w="4156"/>
          </w:tcPr>
          <w:p>
            <w:r>
              <w:t>学    院</w:t>
            </w:r>
          </w:p>
        </w:tc>
        <w:tc>
          <w:tcPr>
            <w:tcW w:type="dxa" w:w="4156"/>
          </w:tcPr>
          <w:p>
            <w:r>
              <w:t>理学与信息科学学院</w:t>
            </w:r>
          </w:p>
        </w:tc>
      </w:tr>
      <w:tr>
        <w:tc>
          <w:tcPr>
            <w:tcW w:type="dxa" w:w="4156"/>
          </w:tcPr>
          <w:p>
            <w:r>
              <w:t>专    业</w:t>
            </w:r>
          </w:p>
        </w:tc>
        <w:tc>
          <w:tcPr>
            <w:tcW w:type="dxa" w:w="4156"/>
          </w:tcPr>
          <w:p>
            <w:r>
              <w:t>计算机科学与技术</w:t>
            </w:r>
          </w:p>
        </w:tc>
      </w:tr>
      <w:tr>
        <w:tc>
          <w:tcPr>
            <w:tcW w:type="dxa" w:w="4156"/>
          </w:tcPr>
          <w:p>
            <w:r>
              <w:t>班    级</w:t>
            </w:r>
          </w:p>
        </w:tc>
        <w:tc>
          <w:tcPr>
            <w:tcW w:type="dxa" w:w="4156"/>
          </w:tcPr>
          <w:p>
            <w:r>
              <w:t>软件2204</w:t>
            </w:r>
          </w:p>
        </w:tc>
      </w:tr>
      <w:tr>
        <w:tc>
          <w:tcPr>
            <w:tcW w:type="dxa" w:w="4156"/>
          </w:tcPr>
          <w:p>
            <w:r>
              <w:t>指导教师</w:t>
            </w:r>
          </w:p>
        </w:tc>
        <w:tc>
          <w:tcPr>
            <w:tcW w:type="dxa" w:w="4156"/>
          </w:tcPr>
          <w:p>
            <w:r>
              <w:t>李洪霞</w:t>
            </w:r>
          </w:p>
        </w:tc>
      </w:tr>
    </w:tbl>
    <w:p>
      <w:pPr>
        <w:jc w:val="center"/>
      </w:pPr>
      <w:r>
        <w:t>二〇二六年三月</w:t>
      </w:r>
    </w:p>
    <w:p>
      <w:r>
        <w:br w:type="page"/>
      </w:r>
    </w:p>
    <w:p>
      <w:pPr>
        <w:pStyle w:val="1"/>
        <w:jc w:val="center"/>
      </w:pPr>
      <w:r>
        <w:t>学位论文原创性声明</w:t>
      </w:r>
    </w:p>
    <w:p>
      <w:r>
        <w:t>本人郑重声明：所呈交的学位论文，是在导师的指导下进行研究工作所取得的原创性成果。除文中已经注明引用的内容外，本论文不包含任何其他个人或集体已经发表或撰写过的研究成果。对本文的研究做出重要贡献的个人和集体，均已在文中标明。</w:t>
      </w:r>
    </w:p>
    <w:p>
      <w:r>
        <w:t>本声明的法律后果由本人承担。</w:t>
      </w:r>
    </w:p>
    <w:p>
      <w:r>
        <w:t>论文作者（签名）：</w:t>
      </w:r>
    </w:p>
    <w:p>
      <w:r>
        <w:t>年   月   日</w:t>
      </w:r>
    </w:p>
    <w:p>
      <w:r>
        <w:br w:type="page"/>
      </w:r>
    </w:p>
    <w:p>
      <w:pPr>
        <w:pStyle w:val="1"/>
        <w:jc w:val="center"/>
      </w:pPr>
      <w:r>
        <w:t>学位论文版权使用授权书</w:t>
      </w:r>
    </w:p>
    <w:p>
      <w:r>
        <w:t>本论文作者完全了解青岛农业大学有权保留并向国家有关部门或机构送交学位论文的复印件和磁盘，允许论文被查阅和借阅。本人授权青岛农业大学可以将学位论文的全部或部分内容编入有关数据库进行检索，可以采用影印、缩印或其它复制手段保存、汇编学位论文。</w:t>
      </w:r>
    </w:p>
    <w:p>
      <w:r>
        <w:t>论文作者（签名）：                指导教师（签名）：</w:t>
      </w:r>
    </w:p>
    <w:p>
      <w:r>
        <w:t>年   月   日                     年   月   日</w:t>
      </w:r>
    </w:p>
    <w:p>
      <w:r>
        <w:br w:type="page"/>
      </w:r>
    </w:p>
    <w:p>
      <w:pPr>
        <w:pStyle w:val="1"/>
      </w:pPr>
      <w:r>
        <w:t>MemoraRAG：面向本地私有部署的检索增强生成系统设计与实验分析</w:t>
      </w:r>
    </w:p>
    <w:p>
      <w:pPr/>
      <w:r>
        <w:t>摘要：随着大语言模型（LLM）的快速发展，基于检索增强生成（RAG）的本地知识管理系统逐渐成为兼顾数据隐私与定制化需求的重要技术路径。然而，在本地算力受限条件下，如何在检索质量、响应时延与跨会话记忆之间实现有效平衡，仍是当前研究与应用面临的关键问题。本文设计并实现了一款名为 MemoraRAG（忆联检索）的本地 RAG 系统。系统引入“碎片化蒸馏记忆机制（Fragment-then-Compose）”与指数时间衰减函数，以缓解知识陈旧与上下文冗余问题；同时结合混合检索架构与多层级自适应意图路由机制，以降低无效检索开销。实验结果表明，在双裁判聚合评测口径下，该系统能够在保持忠实度（Faithfulness）约束的前提下实现绝对时延下降。进一步的终局复核与时延构成分析表明，在当前本地推理链路中，检索侧优化的边际收益已趋于有限，系统主要性能瓶颈更可能集中于生成阶段。上述结果为后续本地推理优化提供了可复核的实验依据。</w:t>
      </w:r>
    </w:p>
    <w:p>
      <w:pPr/>
      <w:r>
        <w:t>关键词：本地大模型；RAG；混合检索；意图路由；碎片化记忆</w:t>
      </w:r>
    </w:p>
    <w:p>
      <w:r>
        <w:br w:type="page"/>
      </w:r>
    </w:p>
    <w:p>
      <w:pPr>
        <w:pStyle w:val="1"/>
      </w:pPr>
      <w:r>
        <w:t>MemoraRAG: Design and Experimental Analysis of a Local Retrieval-Augmented Generation System</w:t>
      </w:r>
    </w:p>
    <w:p>
      <w:pPr/>
      <w:r>
        <w:t>Abstract: With the rapid development of Large Language Models (LLMs), local Retrieval-Augmented Generation (RAG) systems have become an important technical path for balancing data privacy and customized deployment needs. However, under constrained local computing resources, it remains challenging to balance retrieval quality, response latency, and cross-session memory. This thesis proposes and implements MemoraRAG, a local RAG system that introduces a Fragment-then-Compose memory distillation mechanism and an exponential time-decay function to mitigate knowledge staleness and context redundancy. The system further integrates a hybrid retrieval architecture and a multi-tier adaptive intent routing mechanism to reduce unnecessary retrieval overhead. Experimental results under a dual-judge merged evaluation protocol show that the system achieves an absolute latency reduction while maintaining faithfulness constraints. Final evaluation and latency-structure analysis further suggest that, in the current local inference pipeline, the marginal benefit of retrieval-side optimization has become limited and the major bottleneck is more likely concentrated in the generation stage. These findings provide reproducible empirical support for future optimization of local inference.</w:t>
      </w:r>
    </w:p>
    <w:p>
      <w:pPr/>
      <w:r>
        <w:t>Key words: Local LLM; RAG; Hybrid Retrieval; Intent Routing; Fragmented Memory</w:t>
      </w:r>
    </w:p>
    <w:p>
      <w:r>
        <w:br w:type="page"/>
      </w:r>
    </w:p>
    <w:p>
      <w:pPr>
        <w:pStyle w:val="1"/>
        <w:jc w:val="center"/>
      </w:pPr>
      <w:r>
        <w:t>目  录</w:t>
      </w:r>
    </w:p>
    <w:p>
      <w:pPr/>
      <w:r>
        <w:fldChar w:fldCharType="begin"/>
        <w:instrText xml:space="preserve">TOC \o "1-3" \h \z \u</w:instrText>
        <w:fldChar w:fldCharType="separate">
          <w:t>右键单击此处并选择“更新域”以生成目录</w:t>
        </w:fldChar>
        <w:fldChar w:fldCharType="end"/>
      </w:r>
    </w:p>
    <w:p>
      <w:pPr/>
      <w:r>
        <w:t>第一章 绪论</w:t>
      </w:r>
    </w:p>
    <w:p>
      <w:pPr/>
      <w:r>
        <w:t xml:space="preserve">    1.1 研究背景与意义</w:t>
      </w:r>
    </w:p>
    <w:p>
      <w:pPr/>
      <w:r>
        <w:t xml:space="preserve">    1.2 问题陈述与研究动机</w:t>
      </w:r>
    </w:p>
    <w:p>
      <w:pPr/>
      <w:r>
        <w:t xml:space="preserve">    1.3 本文主要工作与贡献</w:t>
      </w:r>
    </w:p>
    <w:p>
      <w:pPr/>
      <w:r>
        <w:t xml:space="preserve">    1.4 论文结构安排</w:t>
      </w:r>
    </w:p>
    <w:p>
      <w:pPr/>
      <w:r>
        <w:t xml:space="preserve">    1.5 创新点归纳</w:t>
      </w:r>
    </w:p>
    <w:p>
      <w:pPr/>
      <w:r>
        <w:t>第二章 相关技术与研究现状</w:t>
      </w:r>
    </w:p>
    <w:p>
      <w:pPr/>
      <w:r>
        <w:t xml:space="preserve">    2.1 检索增强生成 (RAG) 演进</w:t>
      </w:r>
    </w:p>
    <w:p>
      <w:pPr/>
      <w:r>
        <w:t xml:space="preserve">    2.2 混合检索技术综述</w:t>
      </w:r>
    </w:p>
    <w:p>
      <w:pPr/>
      <w:r>
        <w:t xml:space="preserve">    2.3 本地化部署模型与向量库</w:t>
      </w:r>
    </w:p>
    <w:p>
      <w:pPr/>
      <w:r>
        <w:t xml:space="preserve">    2.4 本章小结</w:t>
      </w:r>
    </w:p>
    <w:p>
      <w:pPr/>
      <w:r>
        <w:t>第三章 需求分析与总体架构设计</w:t>
      </w:r>
    </w:p>
    <w:p>
      <w:pPr/>
      <w:r>
        <w:t xml:space="preserve">    3.1 核心需求分析</w:t>
      </w:r>
    </w:p>
    <w:p>
      <w:pPr/>
      <w:r>
        <w:t xml:space="preserve">    3.2 自适应路由架构设计 (Intent Routing)</w:t>
      </w:r>
    </w:p>
    <w:p>
      <w:pPr/>
      <w:r>
        <w:t xml:space="preserve">    3.3 系统总体流程</w:t>
      </w:r>
    </w:p>
    <w:p>
      <w:pPr/>
      <w:r>
        <w:t xml:space="preserve">    3.4 本章小结</w:t>
      </w:r>
    </w:p>
    <w:p>
      <w:pPr/>
      <w:r>
        <w:t>第四章 关键模块设计与实现</w:t>
      </w:r>
    </w:p>
    <w:p>
      <w:pPr/>
      <w:r>
        <w:t xml:space="preserve">    4.1 混合检索引擎：融合策略实现</w:t>
      </w:r>
    </w:p>
    <w:p>
      <w:pPr/>
      <w:r>
        <w:t xml:space="preserve">    4.2 碎片化记忆池与组合式记忆 (Fragment-then-Compose)</w:t>
      </w:r>
    </w:p>
    <w:p>
      <w:pPr/>
      <w:r>
        <w:t xml:space="preserve">    4.3 时间衰减逻辑实现</w:t>
      </w:r>
    </w:p>
    <w:p>
      <w:pPr/>
      <w:r>
        <w:t xml:space="preserve">    4.4 动态上下文构建与预算控制</w:t>
      </w:r>
    </w:p>
    <w:p>
      <w:pPr/>
      <w:r>
        <w:t xml:space="preserve">    4.5 评测闭环与可追溯设计</w:t>
      </w:r>
    </w:p>
    <w:p>
      <w:pPr/>
      <w:r>
        <w:t xml:space="preserve">    4.6 本章小结</w:t>
      </w:r>
    </w:p>
    <w:p>
      <w:pPr/>
      <w:r>
        <w:t>第五章 实验设计、结果与分析</w:t>
      </w:r>
    </w:p>
    <w:p>
      <w:pPr/>
      <w:r>
        <w:t xml:space="preserve">    5.1 实验环境与评测指标</w:t>
      </w:r>
    </w:p>
    <w:p>
      <w:pPr/>
      <w:r>
        <w:t xml:space="preserve">    5.2 定量消融实验与统计显著性 (Ablation Study)</w:t>
      </w:r>
    </w:p>
    <w:p>
      <w:pPr/>
      <w:r>
        <w:t xml:space="preserve">    5.3 意图路由有效性定性分析 (Case Study)</w:t>
      </w:r>
    </w:p>
    <w:p>
      <w:pPr/>
      <w:r>
        <w:t xml:space="preserve">    5.4 长期记忆衰减与一致性验证</w:t>
      </w:r>
    </w:p>
    <w:p>
      <w:pPr/>
      <w:r>
        <w:t xml:space="preserve">    5.5 系统损耗剖析与性能瓶颈</w:t>
      </w:r>
    </w:p>
    <w:p>
      <w:pPr/>
      <w:r>
        <w:t xml:space="preserve">    5.6 双裁判终局复核（test40）</w:t>
      </w:r>
    </w:p>
    <w:p>
      <w:pPr/>
      <w:r>
        <w:t xml:space="preserve">    5.7 有效性威胁与结果解释</w:t>
      </w:r>
    </w:p>
    <w:p>
      <w:pPr/>
      <w:r>
        <w:t xml:space="preserve">    5.8 本章小结</w:t>
      </w:r>
    </w:p>
    <w:p>
      <w:pPr/>
      <w:r>
        <w:t>第六章 总结与展望</w:t>
      </w:r>
    </w:p>
    <w:p>
      <w:pPr/>
      <w:r>
        <w:t xml:space="preserve">    6.1 研究总结</w:t>
      </w:r>
    </w:p>
    <w:p>
      <w:pPr/>
      <w:r>
        <w:t xml:space="preserve">    6.2 局限性与未来展望</w:t>
      </w:r>
    </w:p>
    <w:p>
      <w:pPr/>
      <w:r>
        <w:t xml:space="preserve">    6.3 可复现性与工程落地价值</w:t>
      </w:r>
    </w:p>
    <w:p>
      <w:pPr/>
      <w:r>
        <w:t xml:space="preserve">    6.4 后续研究路线</w:t>
      </w:r>
    </w:p>
    <w:p>
      <w:r>
        <w:br w:type="page"/>
      </w:r>
    </w:p>
    <w:p>
      <w:pPr>
        <w:pStyle w:val="1"/>
      </w:pPr>
      <w:r>
        <w:t>第一章 绪论</w:t>
      </w:r>
    </w:p>
    <w:p>
      <w:pPr>
        <w:pStyle w:val="2"/>
      </w:pPr>
      <w:r>
        <w:t>1.1 研究背景与意义</w:t>
      </w:r>
    </w:p>
    <w:p>
      <w:pPr/>
      <w:r>
        <w:t>在端侧人工智能快速发展的背景下，数据的隐私敏感性与知识孤岛化特征使得基于私有知识库的问答系统（Local RAG）成为重要研究方向。与云端服务相比，本地化 RAG 在数据安全、离线可用性与部署可控性方面具有明显优势。然而，受移动端设备与家用级硬件算力约束影响，如何在有限显存、带宽与推理资源条件下兼顾响应速度与回答质量，仍是当前 RAG 系统走向普及应用的关键障碍。</w:t>
      </w:r>
    </w:p>
    <w:p>
      <w:pPr>
        <w:pStyle w:val="2"/>
      </w:pPr>
      <w:r>
        <w:t>1.2 问题陈述与研究动机</w:t>
      </w:r>
    </w:p>
    <w:p>
      <w:pPr/>
      <w:r>
        <w:t>现有 RAG 方案在本地部署时普遍面临“意图识别粗粒度”与“跨会话知识利用不足”的问题，具体体现在以下三个方面：</w:t>
      </w:r>
    </w:p>
    <w:p>
      <w:pPr/>
      <w:r>
        <w:t>资源错配：系统对简单的闲聊意图也触发高代价的向量检索流程。</w:t>
      </w:r>
    </w:p>
    <w:p>
      <w:pPr/>
      <w:r>
        <w:t>记忆断层：缺乏跨会话的记忆沉淀，导致用户在进行上下文相关的深度连问时，系统难以维持逻辑一致性。</w:t>
      </w:r>
    </w:p>
    <w:p>
      <w:pPr/>
      <w:r>
        <w:t>时延瓶颈不明：缺乏对端到端时延分布的精细化剖析，导致优化方向不明确。</w:t>
      </w:r>
    </w:p>
    <w:p>
      <w:pPr>
        <w:pStyle w:val="2"/>
      </w:pPr>
      <w:r>
        <w:t>1.3 本文主要工作与贡献</w:t>
      </w:r>
    </w:p>
    <w:p>
      <w:pPr/>
      <w:r>
        <w:t>围绕上述问题，本文通过构建 MemoraRAG 系统完成了以下工作：</w:t>
      </w:r>
    </w:p>
    <w:p>
      <w:pPr/>
      <w:r>
        <w:t>• 提出三阶段自适应路由：通过正则匹配、轻量级意图分类及记忆回溯，降低了无效检索频率。</w:t>
      </w:r>
    </w:p>
    <w:p>
      <w:pPr/>
      <w:r>
        <w:t>• 设计碎片化记忆蒸馏机制：引入 Fragment-then-Compose 模式，结合时间衰减函数模拟人类的遗忘及强化逻辑。</w:t>
      </w:r>
    </w:p>
    <w:p>
      <w:pPr/>
      <w:r>
        <w:t>• 开展全方位性能评估：通过消融实验与显著性检验，量化了各模块对系统质量与效率的边际贡献。</w:t>
      </w:r>
    </w:p>
    <w:p>
      <w:pPr>
        <w:pStyle w:val="2"/>
      </w:pPr>
      <w:r>
        <w:t>1.4 论文结构安排</w:t>
      </w:r>
    </w:p>
    <w:p>
      <w:pPr/>
      <w:r>
        <w:t>全文共六章，结构安排如下：第一章介绍研究背景、问题动机与本文贡献；第二章综述 RAG 演进、混合检索与本地部署相关技术；第三章给出系统需求与总体架构设计；第四章详细阐述关键模块实现，包括混合检索、碎片化记忆与时间衰减机制；第五章报告实验设置、定量结果与终局复核分析；第六章总结全文并给出未来工作方向。</w:t>
      </w:r>
    </w:p>
    <w:p>
      <w:pPr>
        <w:pStyle w:val="2"/>
      </w:pPr>
      <w:r>
        <w:t>1.5 创新点归纳</w:t>
      </w:r>
    </w:p>
    <w:p>
      <w:pPr/>
      <w:r>
        <w:t>围绕本地部署约束，本文的创新点可归纳为三方面：其一，提出“意图路由—检索融合—记忆注入”的协同链路，以降低无效检索的触发频率；其二，构建 Fragment-then-Compose 记忆机制并结合时间衰减，实现跨会话知识的可控保留；其三，建立双裁判 merged 与 dev-test 分离的评测闭环，使系统优化结论具备较好的可复核性、可追踪性与可解释性。</w:t>
      </w:r>
    </w:p>
    <w:p>
      <w:pPr>
        <w:pStyle w:val="1"/>
      </w:pPr>
      <w:r>
        <w:t>第二章 相关技术与研究现状</w:t>
      </w:r>
    </w:p>
    <w:p>
      <w:pPr/>
      <w:r>
        <w:t>本章围绕本文研究所涉及的核心技术展开综述，重点讨论 RAG 架构演进、混合检索方法以及本地化部署所依赖的推理与向量存储技术，为后续系统设计与实验分析提供理论基础。</w:t>
      </w:r>
    </w:p>
    <w:p>
      <w:pPr>
        <w:pStyle w:val="2"/>
      </w:pPr>
      <w:r>
        <w:t>2.1 检索增强生成 (RAG) 演进</w:t>
      </w:r>
    </w:p>
    <w:p>
      <w:pPr/>
      <w:r>
        <w:t>RAG 技术经历了从基础架构（Naive RAG）到增强架构（Advanced RAG）再到模块化架构（Modular RAG）的演进[1]。基础 RAG 主要包含简单的“检索-生成”闭环，而增强架构通常引入重排序（Reranking）、查询改写（Query Transformation）等机制，以提升召回质量与生成稳定性。随着系统复杂度提升，RAG 的工程形态逐渐由“单一检索器 + 单一生成器”转向“多模块协同”的体系结构，即在输入侧引入意图判别，在检索侧引入多路召回与排序，在生成侧加入上下文预算控制，并在系统外部构建可持续积累的长期记忆模块。本文提出的 MemoraRAG 属于模块化 RAG 范畴，集成了独立的意图路由模块与长期记忆循环模块。</w:t>
      </w:r>
    </w:p>
    <w:p>
      <w:pPr/>
      <w:r>
        <w:t>从研究趋势看，RAG 的优化重心已不再局限于单次问答的召回率提升，而是逐渐转向端到端闭环优化，即同时考虑查询理解、上下文构建、生成约束与结果评估之间的协同关系。对于本地部署场景而言，这种演进尤为关键。由于端侧算力有限，任何一个模块的额外开销都可能放大整体时延，因此系统设计必须兼顾“效果最优”与“资源可承受”两个目标。本文的研究问题也正是在这一背景下展开，即探索本地 RAG 系统在质量、时延与记忆能力三者之间的平衡边界。</w:t>
      </w:r>
    </w:p>
    <w:p>
      <w:pPr>
        <w:pStyle w:val="2"/>
      </w:pPr>
      <w:r>
        <w:t>2.2 混合检索技术综述</w:t>
      </w:r>
    </w:p>
    <w:p>
      <w:pPr/>
      <w:r>
        <w:t>传统检索方式主要包括基于关键词匹配的稀疏检索（如 BM25）与基于语义向量表示的稠密检索[3]。已有研究表明，单一检索模式在处理长尾术语、专有实体或复杂语义表达时往往存在局限。稀疏检索的优势在于术语精确匹配，对文件名、配置项、函数名和专有缩写等具备较高敏感性；稠密检索则更擅长处理语义改写、近义表达与跨词面匹配问题。二者在工程使用中并非替代关系，而更接近互补关系。</w:t>
      </w:r>
    </w:p>
    <w:p>
      <w:pPr/>
      <w:r>
        <w:t>排名融合（Rank Fusion）技术为多路召回结果的统一整合提供了可行路径，其中 RRF（Reciprocal Rank Fusion）因不依赖底层相关性分值的绝对尺度，具有较强的工程泛化能力[2]。然而，在实际系统中，融合策略的最优性往往并不只取决于理论排序性能，还取决于底层检索器的实现成本、候选集合规模以及后续上下文预算配置。尤其在本地单机环境下，融合方法若引入额外的排序、去重与上下文拼接开销，其端到端收益可能会被时延成本抵消。因此，本文在设计阶段同时保留了 RRF 与线性加权集成两种候选方案，并最终通过实验比较其综合表现。</w:t>
      </w:r>
    </w:p>
    <w:p>
      <w:pPr>
        <w:pStyle w:val="2"/>
      </w:pPr>
      <w:r>
        <w:t>2.3 本地化部署模型与向量库</w:t>
      </w:r>
    </w:p>
    <w:p>
      <w:pPr/>
      <w:r>
        <w:t>在端侧 AI 场景下，本项目采用 Ollama 作为 LLM 推理引擎（支持 qwen3:8b 等量化模型），并采用 ChromaDB 作为嵌入向量存储。ChromaDB 在处理中小规模本地知识库时具有较低的检索与加载开销，适合本文的单机场景部署需求。</w:t>
      </w:r>
    </w:p>
    <w:p>
      <w:pPr/>
      <w:r>
        <w:t>从系统分层看，MemoraRAG 的本地部署架构可抽象为交互展现层、服务编排层、核心逻辑引擎层、认知逻辑层与基础设施层五个层次。交互展现层负责承接 Web 或命令行输入；服务编排层负责 API 调度、流式输出与安全控制；核心逻辑引擎层负责意图路由、提示词组装与上下文裁剪；认知逻辑层承担混合检索与长期记忆注入；基础设施层则对应 Ollama、向量库与硬件加速资源。这种分层结构的意义在于将用户可见的交互流程与系统内部的实验闭环保持一致，从而使“代码实现—日志记录—实验结论”能够形成清晰映射。</w:t>
      </w:r>
    </w:p>
    <w:p>
      <w:pPr/>
      <w:r>
        <w:t>进一步地，本地部署的特殊性还体现在硬件约束直接参与系统设计。例如，在 Apple Silicon 平台上，MPS 能够为嵌入计算与部分张量运算提供加速，但生成端的总体吞吐仍受到模型规模、量化策略与解码长度影响。因此，本文没有将系统目标简单设定为“提高检索指标”，而是将其表述为“在可接受的本地资源预算下维持稳定的问答质量”，这也构成了后续实验采用质量—时延双约束评价框架的现实基础。</w:t>
      </w:r>
    </w:p>
    <w:p>
      <w:pPr>
        <w:pStyle w:val="2"/>
      </w:pPr>
      <w:r>
        <w:t>2.4 本章小结</w:t>
      </w:r>
    </w:p>
    <w:p>
      <w:pPr/>
      <w:r>
        <w:t>本章从技术演进和工程可行性两条线索给出了理论基础。RAG 从单一检索生成走向模块化协同，决定了系统设计不应只优化单个模块，而应关注路由、检索、记忆和生成的协同效率。混合检索和本地部署技术的发展，为本文后续提出“质量-时延双约束”框架提供了可落地前提。</w:t>
      </w:r>
    </w:p>
    <w:p>
      <w:pPr>
        <w:pStyle w:val="1"/>
      </w:pPr>
      <w:r>
        <w:t>第三章 需求分析与总体架构设计</w:t>
      </w:r>
    </w:p>
    <w:p>
      <w:pPr/>
      <w:r>
        <w:t>在明确相关技术背景的基础上，本章进一步从系统需求出发，给出 MemoraRAG 的总体架构设计，并说明各模块在本地部署约束下的协同关系。</w:t>
      </w:r>
    </w:p>
    <w:p>
      <w:pPr>
        <w:pStyle w:val="2"/>
      </w:pPr>
      <w:r>
        <w:t>3.1 核心需求分析</w:t>
      </w:r>
    </w:p>
    <w:p>
      <w:pPr/>
      <w:r>
        <w:t>结合本地部署场景与使用目标，本文将系统需求归纳为以下三项：</w:t>
      </w:r>
    </w:p>
    <w:p>
      <w:pPr/>
      <w:r>
        <w:t>轻量化时延控制：在本地单 CPU/GPU 环境下，端到端延迟需满足交互式问答要求。</w:t>
      </w:r>
    </w:p>
    <w:p>
      <w:pPr/>
      <w:r>
        <w:t>知识持久性：支持跨会话的知识沉淀，模拟人类“温故知新”的学习过程。</w:t>
      </w:r>
    </w:p>
    <w:p>
      <w:pPr/>
      <w:r>
        <w:t>架构自适应性：系统应能根据用户意图（如闲聊、文档查询、文件分析）动态调整检索深度。</w:t>
      </w:r>
    </w:p>
    <w:p>
      <w:pPr/>
      <w:r>
        <w:t>上述三项需求并非彼此独立，而是存在明显耦合关系。首先，轻量化时延控制要求系统避免对所有问题一律执行全量检索与长上下文生成，否则简单问答也会承受高昂延迟。其次，知识持久性会天然引入额外状态管理与记忆注入成本，如果缺乏有效的衰减与剪枝机制，长期记忆本身又会反过来恶化时延表现。最后，架构自适应性要求系统能够根据问题类型在“快速直答”“定向检索”“全库召回”“记忆回溯”等路径间动态切换，这意味着整体系统必须支持多种控制流而非单一路径。因此，MemoraRAG 的总体设计目标并不是追求某一模块的局部最优，而是通过路由、检索、记忆和生成的联合调度实现全链路优化。</w:t>
      </w:r>
    </w:p>
    <w:p>
      <w:pPr>
        <w:pStyle w:val="2"/>
      </w:pPr>
      <w:r>
        <w:t>3.2 自适应路由架构设计 (Intent Routing)</w:t>
      </w:r>
    </w:p>
    <w:p>
      <w:pPr/>
      <w:r>
        <w:t>为减少不必要的全库检索开销，系统设计了三阶段层级路由机制：</w:t>
      </w:r>
    </w:p>
    <w:p>
      <w:pPr/>
      <w:r>
        <w:t>• Phase 0 (RegEx-based Fast Bypass)：通过正则表达式检测常见“闲聊”意图与明显的“指代”意图（如“它”、“这份文件”），实现毫秒级短路触发。</w:t>
      </w:r>
    </w:p>
    <w:p>
      <w:pPr/>
      <w:r>
        <w:t>• Phase 1 (LLM Analysis)：利用轻量级 LLM 对问题进行预处理，提取目标文件名、目录名或技能类别。若锁定具体文件，则直接进入“定向检索”模式。</w:t>
      </w:r>
    </w:p>
    <w:p>
      <w:pPr/>
      <w:r>
        <w:t>• Phase 2 (Memory Backtrack)：当上述阶段均未命中时，系统会回溯存储于本地的洞察碎片记忆，作为意图的兜底补充。</w:t>
      </w:r>
    </w:p>
    <w:p>
      <w:pPr/>
      <w:r>
        <w:t>该层级路由机制显著减少了全库向量检索的触发频率，从而在硬件受限环境下改善了系统的整体响应效率。</w:t>
      </w:r>
    </w:p>
    <w:p>
      <w:pPr>
        <w:pStyle w:val="2"/>
      </w:pPr>
      <w:r>
        <w:t>3.3 系统总体流程</w:t>
      </w:r>
    </w:p>
    <w:p>
      <w:pPr/>
      <w:r>
        <w:t>系统端到端流程可概括为“请求接入—意图判别—检索融合—上下文构建—生成回答—结果记录”六个阶段。用户问题进入系统后，首先执行轻量级意图判别，以决定是否触发检索；当需进入检索流程时，系统并行融合稀疏与稠密召回结果，并依据排序策略构造候选上下文；随后将上下文与记忆碎片共同注入提示模板，驱动本地模型生成答案；最终将来源片段、时延统计与评估字段统一落盘，形成可复核的实验资产。该流程使“功能链路”与“评测链路”保持一致，便于后续开展可复现实验分析。</w:t>
      </w:r>
    </w:p>
    <w:p>
      <w:pPr/>
      <w:r>
        <w:t>从数据流视角看，该流程还包含两个重要闭环。其一是“问答闭环”：用户输入首先经由路由模块判断意图，再决定是否访问检索器与记忆库，最后由本地模型生成响应并通过流式方式返回。其二是“记忆闭环”：当问答结束后，系统会对本轮对话进行蒸馏，生成更短、更结构化的见解碎片，并写回本地记忆存储，以备后续会话使用。正是由于存在这一后向闭环，MemoraRAG 不再是一次性问答系统，而更接近具有连续学习特征的本地知识助理。</w:t>
      </w:r>
    </w:p>
    <w:p>
      <w:pPr/>
      <w:r>
        <w:t>此外，实验链路在系统设计中并非事后附加，而是与功能链路同步建设。每次问答过程中，系统不仅记录最终答案，还记录使用的检索模式、上下文预算、裁判评分字段与时延统计信息。这种“运行即留痕”的设计使得实验结果可以直接来源于真实运行流程，而不需要在研究末期重新构造离线统计口径，从而降低了论文撰写时的数据口径漂移风险。</w:t>
      </w:r>
    </w:p>
    <w:p>
      <w:pPr>
        <w:pStyle w:val="2"/>
      </w:pPr>
      <w:r>
        <w:t>3.4 本章小结</w:t>
      </w:r>
    </w:p>
    <w:p>
      <w:pPr/>
      <w:r>
        <w:t>本章完成了需求到架构的映射，明确了系统设计并非只追求“回答可用”，而是围绕本地部署约束，兼顾响应效率、回答可信度与长期记忆稳定性。下一章将对核心模块实现进行展开。</w:t>
      </w:r>
    </w:p>
    <w:p>
      <w:pPr>
        <w:pStyle w:val="1"/>
      </w:pPr>
      <w:r>
        <w:t>第四章 关键模块设计与实现</w:t>
      </w:r>
    </w:p>
    <w:p>
      <w:pPr/>
      <w:r>
        <w:t>在总体架构确定后，本章进一步对系统中的关键实现模块进行展开，重点说明混合检索、长期记忆管理、上下文预算控制以及评测闭环等核心机制的设计思路。</w:t>
      </w:r>
    </w:p>
    <w:p>
      <w:pPr>
        <w:pStyle w:val="2"/>
      </w:pPr>
      <w:r>
        <w:t>4.1 混合检索引擎：融合策略实现</w:t>
      </w:r>
    </w:p>
    <w:p>
      <w:pPr/>
      <w:r>
        <w:t>为了在检索模块中实现高鲁棒性的融合检索，本文考察了 RRF 与线性加权集成（Weighted Ensemble）两类融合策略。相较于线性加权通常需要对不同检索分值（Score）进行归一化（Normalization），RRF 仅关注排序位置，其计算形式可表示为[2]：</w:t>
      </w:r>
    </w:p>
    <w:p>
      <w:pPr>
        <w:jc w:val="center"/>
      </w:pPr>
      <w:r>
        <w:t>Score(d) = \sum_{r \in R} \frac{1}{k + rank(r, d)}</w:t>
      </w:r>
    </w:p>
    <w:p>
      <w:pPr/>
      <w:r>
        <w:t>在工程实现中，本文进一步引入了线性加权集成作为对照方案。实测显示，在包含大量专有代码术语的知识库中，将向量检索权重设置为 0.7 时能够取得较优的语义-术语平衡；而在终局评测中，线性加权集成的综合时延与效果表现优于 RRF，因此被选定为默认策略。</w:t>
      </w:r>
    </w:p>
    <w:p>
      <w:pPr>
        <w:pStyle w:val="2"/>
      </w:pPr>
      <w:r>
        <w:t>4.2 碎片化记忆池与组合式记忆 (Fragment-then-Compose)</w:t>
      </w:r>
    </w:p>
    <w:p>
      <w:pPr/>
      <w:r>
        <w:t>传统 RAG 中的长期记忆往往以全文形式存储于索引结构中，容易带来提示上下文冗余。为此，MemoraRAG 提出“碎片化蒸馏”模式，以更适应本地场景下的上下文预算约束：</w:t>
      </w:r>
    </w:p>
    <w:p>
      <w:pPr/>
      <w:r>
        <w:t>蒸馏 (Distillation)：会话结束时，LLM 总结该轮对话的核心见解，生成不超过 100 字的短句。</w:t>
      </w:r>
    </w:p>
    <w:p>
      <w:pPr/>
      <w:r>
        <w:t>去重 (Deduplication)：采用词级别 Jaccard 相似度算法，对重复或极度相似的记忆进行合并，防止“记忆爆炸”。</w:t>
      </w:r>
    </w:p>
    <w:p>
      <w:pPr/>
      <w:r>
        <w:t>注入 (Injection)：在提问阶段，系统异步加载与当前意图命中的前 5 条记忆碎片，以 【全局知识库见解】 的形式动态注入 Prompt。</w:t>
      </w:r>
    </w:p>
    <w:p>
      <w:pPr/>
      <w:r>
        <w:t>在实现层面，每条记忆碎片都不是简单文本片段，而是带有结构化元数据的记录单元。根据项目记忆规范，单条碎片至少包含 id、content、source、created_at、last_used_at、decay_score、tags 和 session_id 等字段。这样的设计有两个优点：一方面，它使系统能够区分“事实类见解”“总结类见解”“指令类见解”等不同类型信息，为后续更细粒度的记忆过滤策略提供基础；另一方面，它将记忆从“不可解释的文本块”转化为可追踪、可淘汰、可排序的数据对象，有利于论文中对长期记忆机制进行形式化描述。</w:t>
      </w:r>
    </w:p>
    <w:p>
      <w:pPr/>
      <w:r>
        <w:t>值得注意的是，碎片化记忆机制的目标并不是构建完整的对话历史副本，而是提炼能够在后续查询中复用的稳定性信息。换言之，系统保留的是“对未来仍有帮助的见解”，而不是“对过去全过程的无损记录”。这种设计与传统聊天记录式存储存在本质区别，也更符合本地资源受限场景下对提示上下文压缩率的要求。</w:t>
      </w:r>
    </w:p>
    <w:p>
      <w:pPr>
        <w:pStyle w:val="2"/>
      </w:pPr>
      <w:r>
        <w:t>4.3 时间衰减逻辑实现</w:t>
      </w:r>
    </w:p>
    <w:p>
      <w:pPr/>
      <w:r>
        <w:t>在系统配置与管理模块中，记忆片段的活跃度由衰减分数 S(t) 决定。系统通过时间衰减函数定期刷新记忆权重，其指数衰减形式为：S = e^{-\lambda \Delta t}。该机制使较新的记忆片段在检索与注入阶段具有更高优先级，而陈旧记忆会随时间推移逐步降低影响，从而实现类似人类记忆曲线的“遗忘机制”。</w:t>
      </w:r>
    </w:p>
    <w:p>
      <w:pPr/>
      <w:r>
        <w:t>在工程参数设置上，本文采用的默认衰减系数为 \lambda=0.08，对应的直观含义是：当记忆生成时间距离当前越远，其被重新注入 Prompt 的概率应当越低。相比固定阈值淘汰策略，指数衰减具有更平滑的排序特性，即不会在某个时间点突然将全部旧记忆清空，而是逐步拉开新旧记忆之间的优先级差异。这种连续衰减方式更符合交互式系统对鲁棒性的要求，也避免了因硬阈值切换而导致的记忆抖动现象。</w:t>
      </w:r>
    </w:p>
    <w:p>
      <w:pPr/>
      <w:r>
        <w:t>同时，时间衰减与记忆剪枝机制是联动设计的。当单个文件关联的碎片数量超过上限时，系统并非随机删除记录，而是优先剔除衰减分最低的碎片。由此，系统能够在总量受控的前提下尽可能保留近期且高频使用的信息，从而使长期记忆既具备“留存能力”，又具备“自净能力”。</w:t>
      </w:r>
    </w:p>
    <w:p>
      <w:pPr>
        <w:pStyle w:val="2"/>
      </w:pPr>
      <w:r>
        <w:t>4.4 动态上下文构建与预算控制</w:t>
      </w:r>
    </w:p>
    <w:p>
      <w:pPr/>
      <w:r>
        <w:t>在生成前的上下文构建阶段，系统根据检索候选质量与预算上限动态裁剪输入片段，以避免无界上下文导致的 TTFT 激增。该策略本质上是在“信息充分性”与“推理代价”之间进行在线折中：预算过小可能损伤 Faithfulness，预算过大则会放大 Latency。本文在实验中以离散预算配置进行对比，并将该模块纳入双约束评测框架，以确保裁剪行为受可量化指标约束，而非依赖经验性调参。</w:t>
      </w:r>
    </w:p>
    <w:p>
      <w:pPr>
        <w:pStyle w:val="2"/>
      </w:pPr>
      <w:r>
        <w:t>4.5 评测闭环与可追溯设计</w:t>
      </w:r>
    </w:p>
    <w:p>
      <w:pPr/>
      <w:r>
        <w:t>为避免系统开发与实验结论脱节，本文将评测能力前置到实现阶段。系统在运行时保留回答文本、来源片段、时延统计与裁判评分字段，并通过统一结果文件组织结构支撑后续聚合分析。该设计使“代码实现—实验输出—论文结论”可逐条映射，降低了结论复核难度，也减少了答辩阶段因口径不一致带来的风险。</w:t>
      </w:r>
    </w:p>
    <w:p>
      <w:pPr/>
      <w:r>
        <w:t>从实验资产管理角度看，本文在 experiments/ 与 output/thesis_data/ 目录下同步保存配置文件、问题集、硬件记录、原始评测输出、聚合结果与快照索引。其中，experiments/log_schema.json 规定了统一日志字段结构，results/ 目录存储各轮实验的聚合结果，output/thesis_data/ 则通过时间戳快照保留阶段性归档。这种目录组织方式使论文中的每一张表、每一条结论都可以回溯到对应文件，而不是只保留口头说明或人工整理后的数字。</w:t>
      </w:r>
    </w:p>
    <w:p>
      <w:pPr/>
      <w:r>
        <w:t>对于本科毕业论文而言，这种可追溯设计具有额外价值。它不仅支撑论文写作本身，也为答辩中的“证据链说明”提供便利。当评审教师追问某个实验结论的来源时，研究者可以直接定位到对应的结果文件、快照路径与聚合逻辑，而不必依赖记忆或临时解释。这种做法在提升研究可信度的同时，也体现了工程研究与传统理论研究在方法论上的差异。</w:t>
      </w:r>
    </w:p>
    <w:p>
      <w:pPr>
        <w:pStyle w:val="2"/>
      </w:pPr>
      <w:r>
        <w:t>4.6 本章小结</w:t>
      </w:r>
    </w:p>
    <w:p>
      <w:pPr/>
      <w:r>
        <w:t>本章从模块实现层面说明了系统为何能够在本地约束下实现“可用性—可信度—效率”的平衡。混合检索提升了术语召回与语义匹配的稳健性，碎片化记忆缓解了跨会话知识断裂，动态上下文控制降低了输入规模失控风险，而评测闭环保证了实验结果与实现细节的一致映射。</w:t>
      </w:r>
    </w:p>
    <w:p>
      <w:pPr>
        <w:pStyle w:val="1"/>
      </w:pPr>
      <w:r>
        <w:t>第五章 实验设计、结果与分析</w:t>
      </w:r>
    </w:p>
    <w:p>
      <w:pPr/>
      <w:r>
        <w:t>为验证本文所提出方法在本地场景下的有效性，本章从实验环境、消融结果、案例分析、记忆机制验证以及终局复核等多个维度展开分析，并据此解释系统的主要性能瓶颈。</w:t>
      </w:r>
    </w:p>
    <w:p>
      <w:pPr>
        <w:pStyle w:val="2"/>
      </w:pPr>
      <w:r>
        <w:t>5.1 实验环境与评测指标</w:t>
      </w:r>
    </w:p>
    <w:p>
      <w:pPr/>
      <w:r>
        <w:t>• 硬件环境：实验运行于 Apple M3 Max（64GB 统一内存）平台，Embedding 模型采用 MPS 加速。</w:t>
      </w:r>
    </w:p>
    <w:p>
      <w:pPr/>
      <w:r>
        <w:t>• 评测口径：采用全量人工金标、双裁判 merged 聚合以及 dev-test 分离的评测方案。</w:t>
      </w:r>
    </w:p>
    <w:p>
      <w:pPr/>
      <w:r>
        <w:t>• 评测指标：</w:t>
      </w:r>
    </w:p>
    <w:p>
      <w:pPr/>
      <w:r>
        <w:t>• Faithfulness（忠实度）：衡量生成回答是否严格受检索上下文支持。</w:t>
      </w:r>
    </w:p>
    <w:p>
      <w:pPr/>
      <w:r>
        <w:t>• Relevance（相关性）：衡量回答是否准确回应用户查询意图。</w:t>
      </w:r>
    </w:p>
    <w:p>
      <w:pPr/>
      <w:r>
        <w:t>• 性能指标：包括 TTFT（首字响应时间）与总耗时。</w:t>
      </w:r>
    </w:p>
    <w:p>
      <w:pPr/>
      <w:r>
        <w:t>在实验组织方式上，本文将开发验证与终局验收明确分离。前者主要用于参数筛选与策略预判，后者用于在固定评测口径下检验优化是否具备稳定收益。具体而言，开发阶段采用小样本快速试验与多组参数扫网，以缩小候选空间；终局阶段则在更严格的数据划分和双裁判 merged 口径下进行复核，避免因同一批数据反复调参而导致的结果乐观偏差。这样的组织方式有助于提升实验结论的外推可信度。</w:t>
      </w:r>
    </w:p>
    <w:p>
      <w:pPr>
        <w:pStyle w:val="2"/>
      </w:pPr>
      <w:r>
        <w:t>5.2 定量消融实验与统计显著性 (Ablation Study)</w:t>
      </w:r>
    </w:p>
    <w:p>
      <w:pPr/>
      <w:r>
        <w:t>为分析不同检索策略对系统效果与时延的影响，本文对四种检索模式进行了全量跑测（n=60）。实验结果以“均值 ± 95% 置信区间”形式表示，如表 5-1 所示。</w:t>
      </w:r>
    </w:p>
    <w:p>
      <w:pPr>
        <w:pStyle w:val="6"/>
      </w:pPr>
      <w:r>
        <w:t>表 5-1 不同检索模式的消融实验结果</w:t>
      </w:r>
    </w:p>
    <w:tbl>
      <w:tblPr>
        <w:tblStyle w:val="af7"/>
        <w:tblW w:type="auto" w:w="0"/>
        <w:jc w:val="center"/>
        <w:tblLook w:firstColumn="1" w:firstRow="1" w:lastColumn="0" w:lastRow="0" w:noHBand="0" w:noVBand="1" w:val="04A0"/>
      </w:tblPr>
      <w:tblGrid>
        <w:gridCol w:w="2078"/>
        <w:gridCol w:w="2078"/>
        <w:gridCol w:w="2078"/>
        <w:gridCol w:w="2078"/>
      </w:tblGrid>
      <w:tr>
        <w:tc>
          <w:tcPr>
            <w:tcW w:type="dxa" w:w="2078"/>
          </w:tcPr>
          <w:p>
            <w:r>
              <w:t>模式</w:t>
            </w:r>
          </w:p>
        </w:tc>
        <w:tc>
          <w:tcPr>
            <w:tcW w:type="dxa" w:w="2078"/>
          </w:tcPr>
          <w:p>
            <w:r>
              <w:t>Faithfulness (P=0.95 CI)</w:t>
            </w:r>
          </w:p>
        </w:tc>
        <w:tc>
          <w:tcPr>
            <w:tcW w:type="dxa" w:w="2078"/>
          </w:tcPr>
          <w:p>
            <w:r>
              <w:t>Relevance (P=0.95 CI)</w:t>
            </w:r>
          </w:p>
        </w:tc>
        <w:tc>
          <w:tcPr>
            <w:tcW w:type="dxa" w:w="2078"/>
          </w:tcPr>
          <w:p>
            <w:r>
              <w:t>Latency (s)</w:t>
            </w:r>
          </w:p>
        </w:tc>
      </w:tr>
      <w:tr>
        <w:tc>
          <w:tcPr>
            <w:tcW w:type="dxa" w:w="2078"/>
          </w:tcPr>
          <w:p>
            <w:r>
              <w:t>Vector-only</w:t>
            </w:r>
          </w:p>
        </w:tc>
        <w:tc>
          <w:tcPr>
            <w:tcW w:type="dxa" w:w="2078"/>
          </w:tcPr>
          <w:p>
            <w:r>
              <w:t>7.167 [6.44, 7.88]</w:t>
            </w:r>
          </w:p>
        </w:tc>
        <w:tc>
          <w:tcPr>
            <w:tcW w:type="dxa" w:w="2078"/>
          </w:tcPr>
          <w:p>
            <w:r>
              <w:t>7.700 [6.94, 8.45]</w:t>
            </w:r>
          </w:p>
        </w:tc>
        <w:tc>
          <w:tcPr>
            <w:tcW w:type="dxa" w:w="2078"/>
          </w:tcPr>
          <w:p>
            <w:r>
              <w:t>103.61</w:t>
            </w:r>
          </w:p>
        </w:tc>
      </w:tr>
      <w:tr>
        <w:tc>
          <w:tcPr>
            <w:tcW w:type="dxa" w:w="2078"/>
          </w:tcPr>
          <w:p>
            <w:r>
              <w:t>BM25-only</w:t>
            </w:r>
          </w:p>
        </w:tc>
        <w:tc>
          <w:tcPr>
            <w:tcW w:type="dxa" w:w="2078"/>
          </w:tcPr>
          <w:p>
            <w:r>
              <w:t>6.983 [6.21, 7.74]</w:t>
            </w:r>
          </w:p>
        </w:tc>
        <w:tc>
          <w:tcPr>
            <w:tcW w:type="dxa" w:w="2078"/>
          </w:tcPr>
          <w:p>
            <w:r>
              <w:t>6.750 [5.90, 7.59]</w:t>
            </w:r>
          </w:p>
        </w:tc>
        <w:tc>
          <w:tcPr>
            <w:tcW w:type="dxa" w:w="2078"/>
          </w:tcPr>
          <w:p>
            <w:r>
              <w:t>73.55</w:t>
            </w:r>
          </w:p>
        </w:tc>
      </w:tr>
      <w:tr>
        <w:tc>
          <w:tcPr>
            <w:tcW w:type="dxa" w:w="2078"/>
          </w:tcPr>
          <w:p>
            <w:r>
              <w:t>**Ensemble (主流模式)**</w:t>
            </w:r>
          </w:p>
        </w:tc>
        <w:tc>
          <w:tcPr>
            <w:tcW w:type="dxa" w:w="2078"/>
          </w:tcPr>
          <w:p>
            <w:r>
              <w:t>**7.333 [6.66, 7.99]**</w:t>
            </w:r>
          </w:p>
        </w:tc>
        <w:tc>
          <w:tcPr>
            <w:tcW w:type="dxa" w:w="2078"/>
          </w:tcPr>
          <w:p>
            <w:r>
              <w:t>**7.817 [7.10, 8.53]**</w:t>
            </w:r>
          </w:p>
        </w:tc>
        <w:tc>
          <w:tcPr>
            <w:tcW w:type="dxa" w:w="2078"/>
          </w:tcPr>
          <w:p>
            <w:r>
              <w:t>**90.42**</w:t>
            </w:r>
          </w:p>
        </w:tc>
      </w:tr>
      <w:tr>
        <w:tc>
          <w:tcPr>
            <w:tcW w:type="dxa" w:w="2078"/>
          </w:tcPr>
          <w:p>
            <w:r>
              <w:t>RRF (k=60)</w:t>
            </w:r>
          </w:p>
        </w:tc>
        <w:tc>
          <w:tcPr>
            <w:tcW w:type="dxa" w:w="2078"/>
          </w:tcPr>
          <w:p>
            <w:r>
              <w:t>7.250 [6.51, 7.98]</w:t>
            </w:r>
          </w:p>
        </w:tc>
        <w:tc>
          <w:tcPr>
            <w:tcW w:type="dxa" w:w="2078"/>
          </w:tcPr>
          <w:p>
            <w:r>
              <w:t>7.650 [6.85, 8.44]</w:t>
            </w:r>
          </w:p>
        </w:tc>
        <w:tc>
          <w:tcPr>
            <w:tcW w:type="dxa" w:w="2078"/>
          </w:tcPr>
          <w:p>
            <w:r>
              <w:t>157.17</w:t>
            </w:r>
          </w:p>
        </w:tc>
      </w:tr>
    </w:tbl>
    <w:p>
      <w:pPr/>
      <w:r>
        <w:t>统计显著性分析： 采用 Wilcoxon 符号秩检验（Wilcoxon Signed-rank Test）对 Ensemble 与 Vector-only 模式进行对比。结果显示：</w:t>
      </w:r>
    </w:p>
    <w:p>
      <w:pPr/>
      <w:r>
        <w:t>• Faithfulness 指标的 p-value = 0.8688（&gt;0.05），表明二者在当前样本下未达到统计显著差异。</w:t>
      </w:r>
    </w:p>
    <w:p>
      <w:pPr/>
      <w:r>
        <w:t>• Relevance 指标的 p-value = 0.9646（&gt;0.05），同样未达到统计显著差异。</w:t>
      </w:r>
    </w:p>
    <w:p>
      <w:pPr/>
      <w:r>
        <w:t>• 结合均值结果可见，Ensemble 在 Relevance 上略优于 Vector-only，且总时延低于 RRF 模式。</w:t>
      </w:r>
    </w:p>
    <w:p>
      <w:pPr/>
      <w:r>
        <w:t>• 考虑到 RRF 模式在本实验中的时延开销显著高于 Ensemble（157.17s vs 90.42s），且质量指标未形成明确优势，最终将 Ensemble 选定为系统的默认平衡策略。</w:t>
      </w:r>
    </w:p>
    <w:p>
      <w:pPr/>
      <w:r>
        <w:t>需要说明的是，本文在显著性分析中主要将 Faithfulness 作为核心约束指标，是因为该指标直接对应 RAG 系统“是否忠于检索证据”的关键目标；Relevance 与 Latency 则更多作为辅助比较依据，用于支撑工程选型结论。综合表 5-1 与表 5-2 可见，各方法间质量差异尚未达到统计显著，但 Ensemble 在均值表现与时延成本之间取得了更稳健的折中，因此更适合作为系统默认策略。</w:t>
      </w:r>
    </w:p>
    <w:p>
      <w:pPr>
        <w:pStyle w:val="6"/>
      </w:pPr>
      <w:r>
        <w:t>表 5-2 给出了主要比较组的显著性检验结果。</w:t>
      </w:r>
    </w:p>
    <w:tbl>
      <w:tblPr>
        <w:tblStyle w:val="af7"/>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t>比较组</w:t>
            </w:r>
          </w:p>
        </w:tc>
        <w:tc>
          <w:tcPr>
            <w:tcW w:type="dxa" w:w="1187"/>
          </w:tcPr>
          <w:p>
            <w:r>
              <w:t>指标</w:t>
            </w:r>
          </w:p>
        </w:tc>
        <w:tc>
          <w:tcPr>
            <w:tcW w:type="dxa" w:w="1187"/>
          </w:tcPr>
          <w:p>
            <w:r>
              <w:t>n_pairs</w:t>
            </w:r>
          </w:p>
        </w:tc>
        <w:tc>
          <w:tcPr>
            <w:tcW w:type="dxa" w:w="1187"/>
          </w:tcPr>
          <w:p>
            <w:r>
              <w:t>p-value</w:t>
            </w:r>
          </w:p>
        </w:tc>
        <w:tc>
          <w:tcPr>
            <w:tcW w:type="dxa" w:w="1187"/>
          </w:tcPr>
          <w:p>
            <w:r>
              <w:t>方向</w:t>
            </w:r>
          </w:p>
        </w:tc>
        <w:tc>
          <w:tcPr>
            <w:tcW w:type="dxa" w:w="1187"/>
          </w:tcPr>
          <w:p>
            <w:r>
              <w:t>均值差（b-a）</w:t>
            </w:r>
          </w:p>
        </w:tc>
        <w:tc>
          <w:tcPr>
            <w:tcW w:type="dxa" w:w="1187"/>
          </w:tcPr>
          <w:p>
            <w:r>
              <w:t>结论</w:t>
            </w:r>
          </w:p>
        </w:tc>
      </w:tr>
      <w:tr>
        <w:tc>
          <w:tcPr>
            <w:tcW w:type="dxa" w:w="1187"/>
          </w:tcPr>
          <w:p>
            <w:r>
              <w:t>Vector-only vs Ensemble</w:t>
            </w:r>
          </w:p>
        </w:tc>
        <w:tc>
          <w:tcPr>
            <w:tcW w:type="dxa" w:w="1187"/>
          </w:tcPr>
          <w:p>
            <w:r>
              <w:t>Faithfulness</w:t>
            </w:r>
          </w:p>
        </w:tc>
        <w:tc>
          <w:tcPr>
            <w:tcW w:type="dxa" w:w="1187"/>
          </w:tcPr>
          <w:p>
            <w:r>
              <w:t>60</w:t>
            </w:r>
          </w:p>
        </w:tc>
        <w:tc>
          <w:tcPr>
            <w:tcW w:type="dxa" w:w="1187"/>
          </w:tcPr>
          <w:p>
            <w:r>
              <w:t>0.8688</w:t>
            </w:r>
          </w:p>
        </w:tc>
        <w:tc>
          <w:tcPr>
            <w:tcW w:type="dxa" w:w="1187"/>
          </w:tcPr>
          <w:p>
            <w:r>
              <w:t>ensemble_higher</w:t>
            </w:r>
          </w:p>
        </w:tc>
        <w:tc>
          <w:tcPr>
            <w:tcW w:type="dxa" w:w="1187"/>
          </w:tcPr>
          <w:p>
            <w:r>
              <w:t>0.1667</w:t>
            </w:r>
          </w:p>
        </w:tc>
        <w:tc>
          <w:tcPr>
            <w:tcW w:type="dxa" w:w="1187"/>
          </w:tcPr>
          <w:p>
            <w:r>
              <w:t>未达显著差异</w:t>
            </w:r>
          </w:p>
        </w:tc>
      </w:tr>
      <w:tr>
        <w:tc>
          <w:tcPr>
            <w:tcW w:type="dxa" w:w="1187"/>
          </w:tcPr>
          <w:p>
            <w:r>
              <w:t>Vector-only vs Ensemble</w:t>
            </w:r>
          </w:p>
        </w:tc>
        <w:tc>
          <w:tcPr>
            <w:tcW w:type="dxa" w:w="1187"/>
          </w:tcPr>
          <w:p>
            <w:r>
              <w:t>Relevance</w:t>
            </w:r>
          </w:p>
        </w:tc>
        <w:tc>
          <w:tcPr>
            <w:tcW w:type="dxa" w:w="1187"/>
          </w:tcPr>
          <w:p>
            <w:r>
              <w:t>60</w:t>
            </w:r>
          </w:p>
        </w:tc>
        <w:tc>
          <w:tcPr>
            <w:tcW w:type="dxa" w:w="1187"/>
          </w:tcPr>
          <w:p>
            <w:r>
              <w:t>0.9646</w:t>
            </w:r>
          </w:p>
        </w:tc>
        <w:tc>
          <w:tcPr>
            <w:tcW w:type="dxa" w:w="1187"/>
          </w:tcPr>
          <w:p>
            <w:r>
              <w:t>ensemble_higher</w:t>
            </w:r>
          </w:p>
        </w:tc>
        <w:tc>
          <w:tcPr>
            <w:tcW w:type="dxa" w:w="1187"/>
          </w:tcPr>
          <w:p>
            <w:r>
              <w:t>0.1167</w:t>
            </w:r>
          </w:p>
        </w:tc>
        <w:tc>
          <w:tcPr>
            <w:tcW w:type="dxa" w:w="1187"/>
          </w:tcPr>
          <w:p>
            <w:r>
              <w:t>未达显著差异</w:t>
            </w:r>
          </w:p>
        </w:tc>
      </w:tr>
      <w:tr>
        <w:tc>
          <w:tcPr>
            <w:tcW w:type="dxa" w:w="1187"/>
          </w:tcPr>
          <w:p>
            <w:r>
              <w:t>Vector-only vs RRF</w:t>
            </w:r>
          </w:p>
        </w:tc>
        <w:tc>
          <w:tcPr>
            <w:tcW w:type="dxa" w:w="1187"/>
          </w:tcPr>
          <w:p>
            <w:r>
              <w:t>Faithfulness</w:t>
            </w:r>
          </w:p>
        </w:tc>
        <w:tc>
          <w:tcPr>
            <w:tcW w:type="dxa" w:w="1187"/>
          </w:tcPr>
          <w:p>
            <w:r>
              <w:t>60</w:t>
            </w:r>
          </w:p>
        </w:tc>
        <w:tc>
          <w:tcPr>
            <w:tcW w:type="dxa" w:w="1187"/>
          </w:tcPr>
          <w:p>
            <w:r>
              <w:t>0.9239</w:t>
            </w:r>
          </w:p>
        </w:tc>
        <w:tc>
          <w:tcPr>
            <w:tcW w:type="dxa" w:w="1187"/>
          </w:tcPr>
          <w:p>
            <w:r>
              <w:t>rrf_higher</w:t>
            </w:r>
          </w:p>
        </w:tc>
        <w:tc>
          <w:tcPr>
            <w:tcW w:type="dxa" w:w="1187"/>
          </w:tcPr>
          <w:p>
            <w:r>
              <w:t>0.0833</w:t>
            </w:r>
          </w:p>
        </w:tc>
        <w:tc>
          <w:tcPr>
            <w:tcW w:type="dxa" w:w="1187"/>
          </w:tcPr>
          <w:p>
            <w:r>
              <w:t>未达显著差异</w:t>
            </w:r>
          </w:p>
        </w:tc>
      </w:tr>
      <w:tr>
        <w:tc>
          <w:tcPr>
            <w:tcW w:type="dxa" w:w="1187"/>
          </w:tcPr>
          <w:p>
            <w:r>
              <w:t>Vector-only vs RRF</w:t>
            </w:r>
          </w:p>
        </w:tc>
        <w:tc>
          <w:tcPr>
            <w:tcW w:type="dxa" w:w="1187"/>
          </w:tcPr>
          <w:p>
            <w:r>
              <w:t>Relevance</w:t>
            </w:r>
          </w:p>
        </w:tc>
        <w:tc>
          <w:tcPr>
            <w:tcW w:type="dxa" w:w="1187"/>
          </w:tcPr>
          <w:p>
            <w:r>
              <w:t>60</w:t>
            </w:r>
          </w:p>
        </w:tc>
        <w:tc>
          <w:tcPr>
            <w:tcW w:type="dxa" w:w="1187"/>
          </w:tcPr>
          <w:p>
            <w:r>
              <w:t>0.7126</w:t>
            </w:r>
          </w:p>
        </w:tc>
        <w:tc>
          <w:tcPr>
            <w:tcW w:type="dxa" w:w="1187"/>
          </w:tcPr>
          <w:p>
            <w:r>
              <w:t>vector_only_higher</w:t>
            </w:r>
          </w:p>
        </w:tc>
        <w:tc>
          <w:tcPr>
            <w:tcW w:type="dxa" w:w="1187"/>
          </w:tcPr>
          <w:p>
            <w:r>
              <w:t>-0.0500</w:t>
            </w:r>
          </w:p>
        </w:tc>
        <w:tc>
          <w:tcPr>
            <w:tcW w:type="dxa" w:w="1187"/>
          </w:tcPr>
          <w:p>
            <w:r>
              <w:t>未达显著差异</w:t>
            </w:r>
          </w:p>
        </w:tc>
      </w:tr>
      <w:tr>
        <w:tc>
          <w:tcPr>
            <w:tcW w:type="dxa" w:w="1187"/>
          </w:tcPr>
          <w:p>
            <w:r>
              <w:t>Ensemble vs RRF</w:t>
            </w:r>
          </w:p>
        </w:tc>
        <w:tc>
          <w:tcPr>
            <w:tcW w:type="dxa" w:w="1187"/>
          </w:tcPr>
          <w:p>
            <w:r>
              <w:t>Faithfulness</w:t>
            </w:r>
          </w:p>
        </w:tc>
        <w:tc>
          <w:tcPr>
            <w:tcW w:type="dxa" w:w="1187"/>
          </w:tcPr>
          <w:p>
            <w:r>
              <w:t>60</w:t>
            </w:r>
          </w:p>
        </w:tc>
        <w:tc>
          <w:tcPr>
            <w:tcW w:type="dxa" w:w="1187"/>
          </w:tcPr>
          <w:p>
            <w:r>
              <w:t>0.9187</w:t>
            </w:r>
          </w:p>
        </w:tc>
        <w:tc>
          <w:tcPr>
            <w:tcW w:type="dxa" w:w="1187"/>
          </w:tcPr>
          <w:p>
            <w:r>
              <w:t>ensemble_higher</w:t>
            </w:r>
          </w:p>
        </w:tc>
        <w:tc>
          <w:tcPr>
            <w:tcW w:type="dxa" w:w="1187"/>
          </w:tcPr>
          <w:p>
            <w:r>
              <w:t>-0.0833</w:t>
            </w:r>
          </w:p>
        </w:tc>
        <w:tc>
          <w:tcPr>
            <w:tcW w:type="dxa" w:w="1187"/>
          </w:tcPr>
          <w:p>
            <w:r>
              <w:t>未达显著差异</w:t>
            </w:r>
          </w:p>
        </w:tc>
      </w:tr>
      <w:tr>
        <w:tc>
          <w:tcPr>
            <w:tcW w:type="dxa" w:w="1187"/>
          </w:tcPr>
          <w:p>
            <w:r>
              <w:t>Ensemble vs RRF</w:t>
            </w:r>
          </w:p>
        </w:tc>
        <w:tc>
          <w:tcPr>
            <w:tcW w:type="dxa" w:w="1187"/>
          </w:tcPr>
          <w:p>
            <w:r>
              <w:t>Relevance</w:t>
            </w:r>
          </w:p>
        </w:tc>
        <w:tc>
          <w:tcPr>
            <w:tcW w:type="dxa" w:w="1187"/>
          </w:tcPr>
          <w:p>
            <w:r>
              <w:t>60</w:t>
            </w:r>
          </w:p>
        </w:tc>
        <w:tc>
          <w:tcPr>
            <w:tcW w:type="dxa" w:w="1187"/>
          </w:tcPr>
          <w:p>
            <w:r>
              <w:t>0.8858</w:t>
            </w:r>
          </w:p>
        </w:tc>
        <w:tc>
          <w:tcPr>
            <w:tcW w:type="dxa" w:w="1187"/>
          </w:tcPr>
          <w:p>
            <w:r>
              <w:t>ensemble_higher</w:t>
            </w:r>
          </w:p>
        </w:tc>
        <w:tc>
          <w:tcPr>
            <w:tcW w:type="dxa" w:w="1187"/>
          </w:tcPr>
          <w:p>
            <w:r>
              <w:t>-0.1667</w:t>
            </w:r>
          </w:p>
        </w:tc>
        <w:tc>
          <w:tcPr>
            <w:tcW w:type="dxa" w:w="1187"/>
          </w:tcPr>
          <w:p>
            <w:r>
              <w:t>未达显著差异</w:t>
            </w:r>
          </w:p>
        </w:tc>
      </w:tr>
    </w:tbl>
    <w:p>
      <w:pPr>
        <w:pStyle w:val="2"/>
      </w:pPr>
      <w:r>
        <w:t>5.3 意图路由有效性定性分析 (Case Study)</w:t>
      </w:r>
    </w:p>
    <w:p>
      <w:pPr/>
      <w:r>
        <w:t>为验证第三章提出的自适应意图路由逻辑，本文选取具有代表性的查询样例进行定性分析。样例覆盖指代查询与通用闲聊两类典型场景，分别对应“应避免冗余检索”与“应直接短路响应”两类路由目标。结合表 5-3 与表 5-4 可见，在当前审计样例范围内，系统在状态识别上表现出较好的规则一致性。</w:t>
      </w:r>
    </w:p>
    <w:p>
      <w:pPr/>
      <w:r>
        <w:t>• 用例 A（指代查询）：“它里面提到了哪些改进点？”</w:t>
      </w:r>
    </w:p>
    <w:p>
      <w:pPr/>
      <w:r>
        <w:t>• 路由表现：识别到 Phase 0 的指代语义意图，毫秒级回溯到上一轮对话引用文档，并触发记忆兜底链路。</w:t>
      </w:r>
    </w:p>
    <w:p>
      <w:pPr/>
      <w:r>
        <w:t>• 结果：在现有审计样例中，系统能够稳定命中 memory_fallback 状态，避免无目标的全库冗余检索。</w:t>
      </w:r>
    </w:p>
    <w:p>
      <w:pPr/>
      <w:r>
        <w:t>• 用例 B（通用闲聊）：“你好，你能做什么？”</w:t>
      </w:r>
    </w:p>
    <w:p>
      <w:pPr/>
      <w:r>
        <w:t>• 路由表现：命中闲聊快线，直接由 LLM 系统提示词返回，不进入全库检索流程。</w:t>
      </w:r>
    </w:p>
    <w:p>
      <w:pPr>
        <w:pStyle w:val="6"/>
      </w:pPr>
      <w:r>
        <w:t>表 5-3 给出了指代与闲聊路由的验证汇总结果。</w:t>
      </w:r>
    </w:p>
    <w:tbl>
      <w:tblPr>
        <w:tblStyle w:val="af7"/>
        <w:tblW w:type="auto" w:w="0"/>
        <w:jc w:val="center"/>
        <w:tblLook w:firstColumn="1" w:firstRow="1" w:lastColumn="0" w:lastRow="0" w:noHBand="0" w:noVBand="1" w:val="04A0"/>
      </w:tblPr>
      <w:tblGrid>
        <w:gridCol w:w="4156"/>
        <w:gridCol w:w="4156"/>
      </w:tblGrid>
      <w:tr>
        <w:tc>
          <w:tcPr>
            <w:tcW w:type="dxa" w:w="4156"/>
          </w:tcPr>
          <w:p>
            <w:r>
              <w:t>指标</w:t>
            </w:r>
          </w:p>
        </w:tc>
        <w:tc>
          <w:tcPr>
            <w:tcW w:type="dxa" w:w="4156"/>
          </w:tcPr>
          <w:p>
            <w:r>
              <w:t>数值</w:t>
            </w:r>
          </w:p>
        </w:tc>
      </w:tr>
      <w:tr>
        <w:tc>
          <w:tcPr>
            <w:tcW w:type="dxa" w:w="4156"/>
          </w:tcPr>
          <w:p>
            <w:r>
              <w:t>总样例数</w:t>
            </w:r>
          </w:p>
        </w:tc>
        <w:tc>
          <w:tcPr>
            <w:tcW w:type="dxa" w:w="4156"/>
          </w:tcPr>
          <w:p>
            <w:r>
              <w:t>6</w:t>
            </w:r>
          </w:p>
        </w:tc>
      </w:tr>
      <w:tr>
        <w:tc>
          <w:tcPr>
            <w:tcW w:type="dxa" w:w="4156"/>
          </w:tcPr>
          <w:p>
            <w:r>
              <w:t>通过数</w:t>
            </w:r>
          </w:p>
        </w:tc>
        <w:tc>
          <w:tcPr>
            <w:tcW w:type="dxa" w:w="4156"/>
          </w:tcPr>
          <w:p>
            <w:r>
              <w:t>6</w:t>
            </w:r>
          </w:p>
        </w:tc>
      </w:tr>
      <w:tr>
        <w:tc>
          <w:tcPr>
            <w:tcW w:type="dxa" w:w="4156"/>
          </w:tcPr>
          <w:p>
            <w:r>
              <w:t>总体通过率</w:t>
            </w:r>
          </w:p>
        </w:tc>
        <w:tc>
          <w:tcPr>
            <w:tcW w:type="dxa" w:w="4156"/>
          </w:tcPr>
          <w:p>
            <w:r>
              <w:t>100%</w:t>
            </w:r>
          </w:p>
        </w:tc>
      </w:tr>
    </w:tbl>
    <w:p>
      <w:pPr/>
      <w:r>
        <w:t>进一步地，表 5-4 展示对应的混淆矩阵，可见当前审计样例中未出现误分类。</w:t>
      </w:r>
    </w:p>
    <w:tbl>
      <w:tblPr>
        <w:tblStyle w:val="af7"/>
        <w:tblW w:type="auto" w:w="0"/>
        <w:jc w:val="center"/>
        <w:tblLook w:firstColumn="1" w:firstRow="1" w:lastColumn="0" w:lastRow="0" w:noHBand="0" w:noVBand="1" w:val="04A0"/>
      </w:tblPr>
      <w:tblGrid>
        <w:gridCol w:w="1662"/>
        <w:gridCol w:w="1662"/>
        <w:gridCol w:w="1662"/>
        <w:gridCol w:w="1662"/>
        <w:gridCol w:w="1662"/>
      </w:tblGrid>
      <w:tr>
        <w:tc>
          <w:tcPr>
            <w:tcW w:type="dxa" w:w="1662"/>
          </w:tcPr>
          <w:p>
            <w:r>
              <w:t>期望 \\ 实际</w:t>
            </w:r>
          </w:p>
        </w:tc>
        <w:tc>
          <w:tcPr>
            <w:tcW w:type="dxa" w:w="1662"/>
          </w:tcPr>
          <w:p>
            <w:r>
              <w:t>memory_fallback</w:t>
            </w:r>
          </w:p>
        </w:tc>
        <w:tc>
          <w:tcPr>
            <w:tcW w:type="dxa" w:w="1662"/>
          </w:tcPr>
          <w:p>
            <w:r>
              <w:t>none</w:t>
            </w:r>
          </w:p>
        </w:tc>
        <w:tc>
          <w:tcPr>
            <w:tcW w:type="dxa" w:w="1662"/>
          </w:tcPr>
          <w:p>
            <w:r>
              <w:t>hit</w:t>
            </w:r>
          </w:p>
        </w:tc>
        <w:tc>
          <w:tcPr>
            <w:tcW w:type="dxa" w:w="1662"/>
          </w:tcPr>
          <w:p>
            <w:r>
              <w:t>smalltalk</w:t>
            </w:r>
          </w:p>
        </w:tc>
      </w:tr>
      <w:tr>
        <w:tc>
          <w:tcPr>
            <w:tcW w:type="dxa" w:w="1662"/>
          </w:tcPr>
          <w:p>
            <w:r>
              <w:t>memory_fallback</w:t>
            </w:r>
          </w:p>
        </w:tc>
        <w:tc>
          <w:tcPr>
            <w:tcW w:type="dxa" w:w="1662"/>
          </w:tcPr>
          <w:p>
            <w:r>
              <w:t>2</w:t>
            </w:r>
          </w:p>
        </w:tc>
        <w:tc>
          <w:tcPr>
            <w:tcW w:type="dxa" w:w="1662"/>
          </w:tcPr>
          <w:p>
            <w:r>
              <w:t>0</w:t>
            </w:r>
          </w:p>
        </w:tc>
        <w:tc>
          <w:tcPr>
            <w:tcW w:type="dxa" w:w="1662"/>
          </w:tcPr>
          <w:p>
            <w:r>
              <w:t>0</w:t>
            </w:r>
          </w:p>
        </w:tc>
        <w:tc>
          <w:tcPr>
            <w:tcW w:type="dxa" w:w="1662"/>
          </w:tcPr>
          <w:p>
            <w:r>
              <w:t>0</w:t>
            </w:r>
          </w:p>
        </w:tc>
      </w:tr>
      <w:tr>
        <w:tc>
          <w:tcPr>
            <w:tcW w:type="dxa" w:w="1662"/>
          </w:tcPr>
          <w:p>
            <w:r>
              <w:t>none</w:t>
            </w:r>
          </w:p>
        </w:tc>
        <w:tc>
          <w:tcPr>
            <w:tcW w:type="dxa" w:w="1662"/>
          </w:tcPr>
          <w:p>
            <w:r>
              <w:t>0</w:t>
            </w:r>
          </w:p>
        </w:tc>
        <w:tc>
          <w:tcPr>
            <w:tcW w:type="dxa" w:w="1662"/>
          </w:tcPr>
          <w:p>
            <w:r>
              <w:t>2</w:t>
            </w:r>
          </w:p>
        </w:tc>
        <w:tc>
          <w:tcPr>
            <w:tcW w:type="dxa" w:w="1662"/>
          </w:tcPr>
          <w:p>
            <w:r>
              <w:t>0</w:t>
            </w:r>
          </w:p>
        </w:tc>
        <w:tc>
          <w:tcPr>
            <w:tcW w:type="dxa" w:w="1662"/>
          </w:tcPr>
          <w:p>
            <w:r>
              <w:t>0</w:t>
            </w:r>
          </w:p>
        </w:tc>
      </w:tr>
      <w:tr>
        <w:tc>
          <w:tcPr>
            <w:tcW w:type="dxa" w:w="1662"/>
          </w:tcPr>
          <w:p>
            <w:r>
              <w:t>hit</w:t>
            </w:r>
          </w:p>
        </w:tc>
        <w:tc>
          <w:tcPr>
            <w:tcW w:type="dxa" w:w="1662"/>
          </w:tcPr>
          <w:p>
            <w:r>
              <w:t>0</w:t>
            </w:r>
          </w:p>
        </w:tc>
        <w:tc>
          <w:tcPr>
            <w:tcW w:type="dxa" w:w="1662"/>
          </w:tcPr>
          <w:p>
            <w:r>
              <w:t>0</w:t>
            </w:r>
          </w:p>
        </w:tc>
        <w:tc>
          <w:tcPr>
            <w:tcW w:type="dxa" w:w="1662"/>
          </w:tcPr>
          <w:p>
            <w:r>
              <w:t>1</w:t>
            </w:r>
          </w:p>
        </w:tc>
        <w:tc>
          <w:tcPr>
            <w:tcW w:type="dxa" w:w="1662"/>
          </w:tcPr>
          <w:p>
            <w:r>
              <w:t>0</w:t>
            </w:r>
          </w:p>
        </w:tc>
      </w:tr>
      <w:tr>
        <w:tc>
          <w:tcPr>
            <w:tcW w:type="dxa" w:w="1662"/>
          </w:tcPr>
          <w:p>
            <w:r>
              <w:t>smalltalk</w:t>
            </w:r>
          </w:p>
        </w:tc>
        <w:tc>
          <w:tcPr>
            <w:tcW w:type="dxa" w:w="1662"/>
          </w:tcPr>
          <w:p>
            <w:r>
              <w:t>0</w:t>
            </w:r>
          </w:p>
        </w:tc>
        <w:tc>
          <w:tcPr>
            <w:tcW w:type="dxa" w:w="1662"/>
          </w:tcPr>
          <w:p>
            <w:r>
              <w:t>0</w:t>
            </w:r>
          </w:p>
        </w:tc>
        <w:tc>
          <w:tcPr>
            <w:tcW w:type="dxa" w:w="1662"/>
          </w:tcPr>
          <w:p>
            <w:r>
              <w:t>0</w:t>
            </w:r>
          </w:p>
        </w:tc>
        <w:tc>
          <w:tcPr>
            <w:tcW w:type="dxa" w:w="1662"/>
          </w:tcPr>
          <w:p>
            <w:r>
              <w:t>1</w:t>
            </w:r>
          </w:p>
        </w:tc>
      </w:tr>
    </w:tbl>
    <w:p>
      <w:pPr/>
      <w:r>
        <w:t>尽管上述样例规模较小，但其方法意义在于，它验证了系统控制流的正确性，而非仅验证最终回答是否“看起来合理”。对于本地 RAG 系统而言，控制流正确性本身就是重要指标。因为一旦在路由阶段发生误判，后续即使模型生成质量较高，也可能建立在错误的检索路径之上，导致额外资源浪费或结果不可解释。因此，本文将意图路由审计作为系统验证的重要组成部分，而不是将其完全隐藏在最终问答指标之后。</w:t>
      </w:r>
    </w:p>
    <w:p>
      <w:pPr>
        <w:pStyle w:val="2"/>
      </w:pPr>
      <w:r>
        <w:t>5.4 长期记忆衰减与一致性验证</w:t>
      </w:r>
    </w:p>
    <w:p>
      <w:pPr/>
      <w:r>
        <w:t>为评估时间衰减机制与记忆去重策略的有效性，本文进一步开展了 8 天记忆生命周期模拟实验，结果如下：</w:t>
      </w:r>
    </w:p>
    <w:p>
      <w:pPr/>
      <w:r>
        <w:t>• 存活率：在 \lambda=0.08 的设定下，第 8 天时记忆权重衰减至初始值的约 52.7%，与“约半衰”预期基本一致，并能有效抑制陈旧记忆对 Prompt 的污染。</w:t>
      </w:r>
    </w:p>
    <w:p>
      <w:pPr/>
      <w:r>
        <w:t>• 裁剪效果：在当前验证样例中，记忆碎片数由 111 条降至 100 条，对应约 9.91% 的裁剪比例，说明该机制能够在保留高优先级记忆的同时抑制碎片数量持续膨胀。</w:t>
      </w:r>
    </w:p>
    <w:p>
      <w:pPr>
        <w:pStyle w:val="6"/>
      </w:pPr>
      <w:r>
        <w:t>表 5-5 给出了长期记忆机制的关键验证结果。</w:t>
      </w:r>
    </w:p>
    <w:tbl>
      <w:tblPr>
        <w:tblStyle w:val="af7"/>
        <w:tblW w:type="auto" w:w="0"/>
        <w:jc w:val="center"/>
        <w:tblLook w:firstColumn="1" w:firstRow="1" w:lastColumn="0" w:lastRow="0" w:noHBand="0" w:noVBand="1" w:val="04A0"/>
      </w:tblPr>
      <w:tblGrid>
        <w:gridCol w:w="2771"/>
        <w:gridCol w:w="2771"/>
        <w:gridCol w:w="2771"/>
      </w:tblGrid>
      <w:tr>
        <w:tc>
          <w:tcPr>
            <w:tcW w:type="dxa" w:w="2771"/>
          </w:tcPr>
          <w:p>
            <w:r>
              <w:t>指标</w:t>
            </w:r>
          </w:p>
        </w:tc>
        <w:tc>
          <w:tcPr>
            <w:tcW w:type="dxa" w:w="2771"/>
          </w:tcPr>
          <w:p>
            <w:r>
              <w:t>数值</w:t>
            </w:r>
          </w:p>
        </w:tc>
        <w:tc>
          <w:tcPr>
            <w:tcW w:type="dxa" w:w="2771"/>
          </w:tcPr>
          <w:p>
            <w:r>
              <w:t>说明</w:t>
            </w:r>
          </w:p>
        </w:tc>
      </w:tr>
      <w:tr>
        <w:tc>
          <w:tcPr>
            <w:tcW w:type="dxa" w:w="2771"/>
          </w:tcPr>
          <w:p>
            <w:r>
              <w:t>decay_lambda</w:t>
            </w:r>
          </w:p>
        </w:tc>
        <w:tc>
          <w:tcPr>
            <w:tcW w:type="dxa" w:w="2771"/>
          </w:tcPr>
          <w:p>
            <w:r>
              <w:t>0.08</w:t>
            </w:r>
          </w:p>
        </w:tc>
        <w:tc>
          <w:tcPr>
            <w:tcW w:type="dxa" w:w="2771"/>
          </w:tcPr>
          <w:p>
            <w:r>
              <w:t>时间衰减参数</w:t>
            </w:r>
          </w:p>
        </w:tc>
      </w:tr>
      <w:tr>
        <w:tc>
          <w:tcPr>
            <w:tcW w:type="dxa" w:w="2771"/>
          </w:tcPr>
          <w:p>
            <w:r>
              <w:t>fragments_before</w:t>
            </w:r>
          </w:p>
        </w:tc>
        <w:tc>
          <w:tcPr>
            <w:tcW w:type="dxa" w:w="2771"/>
          </w:tcPr>
          <w:p>
            <w:r>
              <w:t>111</w:t>
            </w:r>
          </w:p>
        </w:tc>
        <w:tc>
          <w:tcPr>
            <w:tcW w:type="dxa" w:w="2771"/>
          </w:tcPr>
          <w:p>
            <w:r>
              <w:t>衰减/裁剪前记忆碎片数</w:t>
            </w:r>
          </w:p>
        </w:tc>
      </w:tr>
      <w:tr>
        <w:tc>
          <w:tcPr>
            <w:tcW w:type="dxa" w:w="2771"/>
          </w:tcPr>
          <w:p>
            <w:r>
              <w:t>fragments_after</w:t>
            </w:r>
          </w:p>
        </w:tc>
        <w:tc>
          <w:tcPr>
            <w:tcW w:type="dxa" w:w="2771"/>
          </w:tcPr>
          <w:p>
            <w:r>
              <w:t>100</w:t>
            </w:r>
          </w:p>
        </w:tc>
        <w:tc>
          <w:tcPr>
            <w:tcW w:type="dxa" w:w="2771"/>
          </w:tcPr>
          <w:p>
            <w:r>
              <w:t>衰减/裁剪后记忆碎片数</w:t>
            </w:r>
          </w:p>
        </w:tc>
      </w:tr>
      <w:tr>
        <w:tc>
          <w:tcPr>
            <w:tcW w:type="dxa" w:w="2771"/>
          </w:tcPr>
          <w:p>
            <w:r>
              <w:t>pruning_ratio</w:t>
            </w:r>
          </w:p>
        </w:tc>
        <w:tc>
          <w:tcPr>
            <w:tcW w:type="dxa" w:w="2771"/>
          </w:tcPr>
          <w:p>
            <w:r>
              <w:t>9.91%</w:t>
            </w:r>
          </w:p>
        </w:tc>
        <w:tc>
          <w:tcPr>
            <w:tcW w:type="dxa" w:w="2771"/>
          </w:tcPr>
          <w:p>
            <w:r>
              <w:t>(111-100)/111</w:t>
            </w:r>
          </w:p>
        </w:tc>
      </w:tr>
      <w:tr>
        <w:tc>
          <w:tcPr>
            <w:tcW w:type="dxa" w:w="2771"/>
          </w:tcPr>
          <w:p>
            <w:r>
              <w:t>day_8_decay_score</w:t>
            </w:r>
          </w:p>
        </w:tc>
        <w:tc>
          <w:tcPr>
            <w:tcW w:type="dxa" w:w="2771"/>
          </w:tcPr>
          <w:p>
            <w:r>
              <w:t>0.5273</w:t>
            </w:r>
          </w:p>
        </w:tc>
        <w:tc>
          <w:tcPr>
            <w:tcW w:type="dxa" w:w="2771"/>
          </w:tcPr>
          <w:p>
            <w:r>
              <w:t>第 8 天权重约为初始值的 52.7%</w:t>
            </w:r>
          </w:p>
        </w:tc>
      </w:tr>
      <w:tr>
        <w:tc>
          <w:tcPr>
            <w:tcW w:type="dxa" w:w="2771"/>
          </w:tcPr>
          <w:p>
            <w:r>
              <w:t>cross_session_overall_pass</w:t>
            </w:r>
          </w:p>
        </w:tc>
        <w:tc>
          <w:tcPr>
            <w:tcW w:type="dxa" w:w="2771"/>
          </w:tcPr>
          <w:p>
            <w:r>
              <w:t>true</w:t>
            </w:r>
          </w:p>
        </w:tc>
        <w:tc>
          <w:tcPr>
            <w:tcW w:type="dxa" w:w="2771"/>
          </w:tcPr>
          <w:p>
            <w:r>
              <w:t>跨会话注入与读取验证通过</w:t>
            </w:r>
          </w:p>
        </w:tc>
      </w:tr>
    </w:tbl>
    <w:p>
      <w:pPr>
        <w:pStyle w:val="2"/>
      </w:pPr>
      <w:r>
        <w:t>5.5 系统损耗剖析与性能瓶颈</w:t>
      </w:r>
    </w:p>
    <w:p>
      <w:pPr/>
      <w:r>
        <w:t>结合图 5-1 的时延构成示意与终局复核结果，可得到如下结论：</w:t>
      </w:r>
    </w:p>
    <w:p>
      <w:pPr/>
      <w:r>
        <w:t>• 发现：在当前本地单机环境下，检索侧裁剪虽能带来绝对时延下降，但整体降幅有限。</w:t>
      </w:r>
    </w:p>
    <w:p>
      <w:pPr/>
      <w:r>
        <w:t>• 瓶颈判定：结合端到端结果可推断，系统主要耗时已集中于生成环节。这表明在当前本地 RAG 架构下，进一步优化检索算法对综合时延的边际贡献已呈递减趋势，未来的优化重点应更多转向底层推理框架的模型量化、解码优化与并发调度。</w:t>
      </w:r>
    </w:p>
    <w:p>
      <w:pPr>
        <w:pStyle w:val="6"/>
      </w:pPr>
      <w:r>
        <w:t>图 5-1 系统端到端流程中的分段时延占比</w:t>
      </w:r>
    </w:p>
    <w:p>
      <w:pPr>
        <w:jc w:val="center"/>
      </w:pPr>
      <w:r>
        <w:drawing>
          <wp:inline xmlns:a="http://schemas.openxmlformats.org/drawingml/2006/main" xmlns:pic="http://schemas.openxmlformats.org/drawingml/2006/picture">
            <wp:extent cx="5120640" cy="4138814"/>
            <wp:docPr id="1" name="Picture 1"/>
            <wp:cNvGraphicFramePr>
              <a:graphicFrameLocks noChangeAspect="1"/>
            </wp:cNvGraphicFramePr>
            <a:graphic>
              <a:graphicData uri="http://schemas.openxmlformats.org/drawingml/2006/picture">
                <pic:pic>
                  <pic:nvPicPr>
                    <pic:cNvPr id="0" name="bottleneck_pie.png"/>
                    <pic:cNvPicPr/>
                  </pic:nvPicPr>
                  <pic:blipFill>
                    <a:blip r:embed="rId23"/>
                    <a:stretch>
                      <a:fillRect/>
                    </a:stretch>
                  </pic:blipFill>
                  <pic:spPr>
                    <a:xfrm>
                      <a:off x="0" y="0"/>
                      <a:ext cx="5120640" cy="4138814"/>
                    </a:xfrm>
                    <a:prstGeom prst="rect"/>
                  </pic:spPr>
                </pic:pic>
              </a:graphicData>
            </a:graphic>
          </wp:inline>
        </w:drawing>
      </w:r>
    </w:p>
    <w:p>
      <w:pPr>
        <w:pStyle w:val="2"/>
      </w:pPr>
      <w:r>
        <w:t>5.6 双裁判终局复核（test40）</w:t>
      </w:r>
    </w:p>
    <w:p>
      <w:pPr/>
      <w:r>
        <w:t>为验证参数优化在严格口径下的稳定性，本文在 test40 数据集上执行双裁判终评，比较两组候选配置：</w:t>
      </w:r>
    </w:p>
    <w:p>
      <w:pPr/>
      <w:r>
        <w:t>• 候选 A（Top-8, Budget=1500）：Baseline Latency=91.147s，Optimized Latency=89.574s，时延下降 1.73%；Faithfulness drop=0.175（通过）。</w:t>
      </w:r>
    </w:p>
    <w:p>
      <w:pPr/>
      <w:r>
        <w:t>• 候选 B（Top-7, Budget=0）：Baseline Latency=92.649s，Optimized Latency=89.644s，时延下降 3.24%；Faithfulness drop=-0.012（通过）。</w:t>
      </w:r>
    </w:p>
    <w:p>
      <w:pPr>
        <w:pStyle w:val="6"/>
      </w:pPr>
      <w:r>
        <w:t>表 5-6 给出终局复核的结构化对比结果。</w:t>
      </w:r>
    </w:p>
    <w:tbl>
      <w:tblPr>
        <w:tblStyle w:val="af7"/>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r>
              <w:t>配置</w:t>
            </w:r>
          </w:p>
        </w:tc>
        <w:tc>
          <w:tcPr>
            <w:tcW w:type="dxa" w:w="924"/>
          </w:tcPr>
          <w:p>
            <w:r>
              <w:t>Baseline Faithfulness (merged)</w:t>
            </w:r>
          </w:p>
        </w:tc>
        <w:tc>
          <w:tcPr>
            <w:tcW w:type="dxa" w:w="924"/>
          </w:tcPr>
          <w:p>
            <w:r>
              <w:t>Optimized Faithfulness (merged)</w:t>
            </w:r>
          </w:p>
        </w:tc>
        <w:tc>
          <w:tcPr>
            <w:tcW w:type="dxa" w:w="924"/>
          </w:tcPr>
          <w:p>
            <w:r>
              <w:t>Faithfulness Drop</w:t>
            </w:r>
          </w:p>
        </w:tc>
        <w:tc>
          <w:tcPr>
            <w:tcW w:type="dxa" w:w="924"/>
          </w:tcPr>
          <w:p>
            <w:r>
              <w:t>Baseline Latency (s)</w:t>
            </w:r>
          </w:p>
        </w:tc>
        <w:tc>
          <w:tcPr>
            <w:tcW w:type="dxa" w:w="924"/>
          </w:tcPr>
          <w:p>
            <w:r>
              <w:t>Optimized Latency (s)</w:t>
            </w:r>
          </w:p>
        </w:tc>
        <w:tc>
          <w:tcPr>
            <w:tcW w:type="dxa" w:w="924"/>
          </w:tcPr>
          <w:p>
            <w:r>
              <w:t>Latency Drop (%)</w:t>
            </w:r>
          </w:p>
        </w:tc>
        <w:tc>
          <w:tcPr>
            <w:tcW w:type="dxa" w:w="924"/>
          </w:tcPr>
          <w:p>
            <w:r>
              <w:t>质量约束（≤0.2）</w:t>
            </w:r>
          </w:p>
        </w:tc>
        <w:tc>
          <w:tcPr>
            <w:tcW w:type="dxa" w:w="924"/>
          </w:tcPr>
          <w:p>
            <w:r>
              <w:t>时延约束（≥10%）</w:t>
            </w:r>
          </w:p>
        </w:tc>
      </w:tr>
      <w:tr>
        <w:tc>
          <w:tcPr>
            <w:tcW w:type="dxa" w:w="924"/>
          </w:tcPr>
          <w:p>
            <w:r>
              <w:t>候选 A（Top-8 / 1500）</w:t>
            </w:r>
          </w:p>
        </w:tc>
        <w:tc>
          <w:tcPr>
            <w:tcW w:type="dxa" w:w="924"/>
          </w:tcPr>
          <w:p>
            <w:r>
              <w:t>8.275</w:t>
            </w:r>
          </w:p>
        </w:tc>
        <w:tc>
          <w:tcPr>
            <w:tcW w:type="dxa" w:w="924"/>
          </w:tcPr>
          <w:p>
            <w:r>
              <w:t>8.100</w:t>
            </w:r>
          </w:p>
        </w:tc>
        <w:tc>
          <w:tcPr>
            <w:tcW w:type="dxa" w:w="924"/>
          </w:tcPr>
          <w:p>
            <w:r>
              <w:t>0.175</w:t>
            </w:r>
          </w:p>
        </w:tc>
        <w:tc>
          <w:tcPr>
            <w:tcW w:type="dxa" w:w="924"/>
          </w:tcPr>
          <w:p>
            <w:r>
              <w:t>91.147</w:t>
            </w:r>
          </w:p>
        </w:tc>
        <w:tc>
          <w:tcPr>
            <w:tcW w:type="dxa" w:w="924"/>
          </w:tcPr>
          <w:p>
            <w:r>
              <w:t>89.574</w:t>
            </w:r>
          </w:p>
        </w:tc>
        <w:tc>
          <w:tcPr>
            <w:tcW w:type="dxa" w:w="924"/>
          </w:tcPr>
          <w:p>
            <w:r>
              <w:t>1.73</w:t>
            </w:r>
          </w:p>
        </w:tc>
        <w:tc>
          <w:tcPr>
            <w:tcW w:type="dxa" w:w="924"/>
          </w:tcPr>
          <w:p>
            <w:r>
              <w:t>通过</w:t>
            </w:r>
          </w:p>
        </w:tc>
        <w:tc>
          <w:tcPr>
            <w:tcW w:type="dxa" w:w="924"/>
          </w:tcPr>
          <w:p>
            <w:r>
              <w:t>未通过</w:t>
            </w:r>
          </w:p>
        </w:tc>
      </w:tr>
      <w:tr>
        <w:tc>
          <w:tcPr>
            <w:tcW w:type="dxa" w:w="924"/>
          </w:tcPr>
          <w:p>
            <w:r>
              <w:t>候选 B（Top-7 / 0）</w:t>
            </w:r>
          </w:p>
        </w:tc>
        <w:tc>
          <w:tcPr>
            <w:tcW w:type="dxa" w:w="924"/>
          </w:tcPr>
          <w:p>
            <w:r>
              <w:t>8.150</w:t>
            </w:r>
          </w:p>
        </w:tc>
        <w:tc>
          <w:tcPr>
            <w:tcW w:type="dxa" w:w="924"/>
          </w:tcPr>
          <w:p>
            <w:r>
              <w:t>8.162</w:t>
            </w:r>
          </w:p>
        </w:tc>
        <w:tc>
          <w:tcPr>
            <w:tcW w:type="dxa" w:w="924"/>
          </w:tcPr>
          <w:p>
            <w:r>
              <w:t>-0.012</w:t>
            </w:r>
          </w:p>
        </w:tc>
        <w:tc>
          <w:tcPr>
            <w:tcW w:type="dxa" w:w="924"/>
          </w:tcPr>
          <w:p>
            <w:r>
              <w:t>92.649</w:t>
            </w:r>
          </w:p>
        </w:tc>
        <w:tc>
          <w:tcPr>
            <w:tcW w:type="dxa" w:w="924"/>
          </w:tcPr>
          <w:p>
            <w:r>
              <w:t>89.644</w:t>
            </w:r>
          </w:p>
        </w:tc>
        <w:tc>
          <w:tcPr>
            <w:tcW w:type="dxa" w:w="924"/>
          </w:tcPr>
          <w:p>
            <w:r>
              <w:t>3.24</w:t>
            </w:r>
          </w:p>
        </w:tc>
        <w:tc>
          <w:tcPr>
            <w:tcW w:type="dxa" w:w="924"/>
          </w:tcPr>
          <w:p>
            <w:r>
              <w:t>通过</w:t>
            </w:r>
          </w:p>
        </w:tc>
        <w:tc>
          <w:tcPr>
            <w:tcW w:type="dxa" w:w="924"/>
          </w:tcPr>
          <w:p>
            <w:r>
              <w:t>未通过</w:t>
            </w:r>
          </w:p>
        </w:tc>
      </w:tr>
    </w:tbl>
    <w:p>
      <w:pPr/>
      <w:r>
        <w:t>复核结论表明：两组候选均满足忠实度（Faithfulness）约束，但均未达到“Latency 下降 ≥10%”的工程阈值。该结果与 60 样本双裁判结果方向一致，说明检索侧裁剪能够带来绝对时延下降，但在当前本地推理链路下难以实现大比例压降。因此，从工程优化视角看，系统后续更值得关注的方向是生成侧而非继续单独压缩检索侧开销。</w:t>
      </w:r>
    </w:p>
    <w:p>
      <w:pPr>
        <w:pStyle w:val="6"/>
      </w:pPr>
      <w:r>
        <w:t>图 5-2 展示“Faithfulness Drop 与 Latency Drop 的双约束判定平面”：横轴为 Latency Drop（%），纵轴为 Faithfulness Drop，并标注验收边界线（Faithfulness Drop = 0.2、Latency Drop = 10%），用于直观呈现“质量过线但时延不过线”的终局状态。</w:t>
      </w:r>
    </w:p>
    <w:p>
      <w:pPr>
        <w:pStyle w:val="6"/>
      </w:pPr>
      <w:r>
        <w:t>图 5-2 的绘图数据点如下：</w:t>
      </w:r>
    </w:p>
    <w:p>
      <w:pPr/>
      <w:r>
        <w:t>• 候选 A：(Latency Drop=1.73, Faithfulness Drop=0.175)</w:t>
      </w:r>
    </w:p>
    <w:p>
      <w:pPr/>
      <w:r>
        <w:t>• 候选 B：(Latency Drop=3.24, Faithfulness Drop=-0.012)</w:t>
      </w:r>
    </w:p>
    <w:p>
      <w:pPr>
        <w:pStyle w:val="6"/>
      </w:pPr>
      <w:r>
        <w:t>图 5-2 采用三个区域标注：</w:t>
      </w:r>
    </w:p>
    <w:p>
      <w:pPr/>
      <w:r>
        <w:t>1）质量与时延均通过区；2）仅质量通过区；3）质量未通过区。 按本研究结果，候选 A/B 均落在“仅质量通过区”。</w:t>
      </w:r>
    </w:p>
    <w:p>
      <w:pPr/>
      <w:r>
        <w:t>图注：图 5-2 双裁判终局复核的双约束判定平面。 横轴表示 Latency Drop（%），纵轴表示 Faithfulness Drop。竖线 x=10 表示时延验收阈值，横线 y=0.2 表示忠实度退化阈值。候选 A（1.73, 0.175）与候选 B（3.24, -0.012）均位于“忠实度约束通过、时延约束未通过”区域，说明在当前本地推理链路中，检索侧裁剪可获得绝对时延下降，但难以达到 10% 的比例压降目标。</w:t>
      </w:r>
    </w:p>
    <w:p>
      <w:pPr/>
      <w:r>
        <w:t>如图 5-2 所示，两组候选配置均位于双约束判定平面中“仅质量通过”的区域，即 Faithfulness 约束满足而 Latency 约束未满足。这一结果与表 5-6 的数值判定一致，进一步支持了本文关于“检索侧优化边际收益受限、后续应转向生成侧优化”的结论。</w:t>
      </w:r>
    </w:p>
    <w:p>
      <w:pPr>
        <w:pStyle w:val="2"/>
      </w:pPr>
      <w:r>
        <w:t>5.7 有效性威胁与结果解释</w:t>
      </w:r>
    </w:p>
    <w:p>
      <w:pPr/>
      <w:r>
        <w:t>为避免对实验结论进行过度外推，本文进一步讨论以下有效性威胁。第一，样本规模与题型分布仍可能影响统计稳定性，尽管本文已采用 dev-test 分离与双裁判 merged 口径，但方法在更大规模数据集上的泛化能力仍需后续验证。第二，双裁判之间仍存在一定打分差异，说明 LLM-as-a-Judge 机制本身具有评估噪声，因此本文在结论中同时保留数值结果与约束判定，而不依赖单一指标作出过强推断。第三，当前结论依赖于特定本地硬件与模型组合，若推理引擎、量化策略或模型规模发生变化，Latency 降幅边界也可能发生改变。基于上述因素，本文将“忠实度约束可稳定满足而时延比例阈值未满足”视为当前配置下的稳健结论，并将更高比例压降目标留作后续生成侧优化方向。</w:t>
      </w:r>
    </w:p>
    <w:p>
      <w:pPr/>
      <w:r>
        <w:t>除上述因素外，本文还需面对一个典型的工程研究风险，即“系统实现演化快于论文写作”。由于 MemoraRAG 在开发过程中存在多轮迭代，若不及时固化实验口径与结果文件，论文中描述的系统版本、评测配置和最终结论之间容易出现错位。为避免这一问题，本文在写作阶段明确以归档结果文件和快照索引作为唯一依据，并优先使用可被结构化结果直接支撑的表述。这也是本文在多处结论上采用相对保守措辞的重要原因。</w:t>
      </w:r>
    </w:p>
    <w:p>
      <w:pPr/>
      <w:r>
        <w:t>此外，当前研究尚未纳入学校正式模板下的大规模人工专家评审结果，故本文的质量判断主要仍依赖人工金标与 LLM 双裁判结合的方式。虽然该方案在效率与一致性之间取得了较好平衡，但其本质仍属于自动化辅助评价，而非完全替代人工评阅。因此，本文将实验结果定位为“工程研究证据”，而非对所有场景普适成立的理论结论。这种边界意识对于本科毕业论文而言尤为重要，因为其有助于在研究贡献与结论外推之间保持适当克制。</w:t>
      </w:r>
    </w:p>
    <w:p>
      <w:pPr>
        <w:pStyle w:val="2"/>
      </w:pPr>
      <w:r>
        <w:t>5.8 本章小结</w:t>
      </w:r>
    </w:p>
    <w:p>
      <w:pPr/>
      <w:r>
        <w:t>本章通过消融实验、双裁判终局复核与有效性威胁分析，给出了从“指标现象”到“机制解释”的完整证据链。核心结论是：在当前本地环境下，检索侧优化可以实现绝对时延收益并维持 Faithfulness 约束，但难以单独突破 10% Latency 比例阈值。该结论为第六章的总结与展望提供了实证基础。</w:t>
      </w:r>
    </w:p>
    <w:p>
      <w:pPr>
        <w:pStyle w:val="1"/>
      </w:pPr>
      <w:r>
        <w:t>第六章 总结与展望</w:t>
      </w:r>
    </w:p>
    <w:p>
      <w:pPr/>
      <w:r>
        <w:t>在前文系统设计与实验分析基础上，本章对全文工作进行总结，并结合实验结论讨论当前方案的局限性与后续可拓展方向。</w:t>
      </w:r>
    </w:p>
    <w:p>
      <w:pPr>
        <w:pStyle w:val="2"/>
      </w:pPr>
      <w:r>
        <w:t>6.1 研究总结</w:t>
      </w:r>
    </w:p>
    <w:p>
      <w:pPr/>
      <w:r>
        <w:t>本文围绕本地私有部署场景，设计并实现了问答系统 MemoraRAG。通过引入自适应意图路由、混合检索与碎片化记忆机制，系统在 Apple Silicon 平台上表现出较好的工程稳定性与可用性。实验结果表明，混合检索能够较好地兼顾语义匹配与术语精度；双裁判终局复核进一步表明，检索侧参数优化可在 Faithfulness 约束下实现绝对时延下降，但尚不足以单独达到 10% 的 Latency 比例阈值。综合终局结果与时延构成分析可见，当前系统的主要性能瓶颈更可能集中于生成端，这为后续从生成侧开展推理优化提供了明确方向。总体而言，本文的研究价值不仅体现在系统实现本身，还体现在其提供了一套面向本地 RAG 场景、可复核且可迁移的实验分析范式。</w:t>
      </w:r>
    </w:p>
    <w:p>
      <w:pPr>
        <w:pStyle w:val="2"/>
      </w:pPr>
      <w:r>
        <w:t>6.2 局限性与未来展望</w:t>
      </w:r>
    </w:p>
    <w:p>
      <w:pPr/>
      <w:r>
        <w:t>推理加速与量化优化：针对生成端的性能瓶颈，后续可研究 KV Cache 状态管理与推理加速引擎的深度集成。</w:t>
      </w:r>
    </w:p>
    <w:p>
      <w:pPr/>
      <w:r>
        <w:t>多模态知识处理：目前的检索体系仍侧重于纯文本，未来可探索多模态 RAG 以支持本地图片及视频资料的解析。</w:t>
      </w:r>
    </w:p>
    <w:p>
      <w:pPr/>
      <w:r>
        <w:t>长程逻辑推理：进一步优化记忆碎片的关联逻辑，使系统具备处理更长跨度及更复杂逻辑依赖的问答能力。</w:t>
      </w:r>
    </w:p>
    <w:p>
      <w:pPr/>
      <w:r>
        <w:t>就本研究的当前形态而言，其局限性还体现在两个层面。其一，本文的实验环境主要围绕单机 Apple Silicon 平台展开，虽然该平台具有一定代表性，但尚不足以覆盖更广泛的本地部署环境，如 Windows 家用 PC、轻量级 Linux 工作站或移动边缘设备。其二，当前系统更强调问答链路的稳健性与可追溯性，对生成风格、交互体验和多轮任务执行能力的关注相对有限。后续若面向产品化场景推进，仍需在“研究系统”与“可用工具”之间进一步打通。</w:t>
      </w:r>
    </w:p>
    <w:p>
      <w:pPr>
        <w:pStyle w:val="2"/>
      </w:pPr>
      <w:r>
        <w:t>6.3 可复现性与工程落地价值</w:t>
      </w:r>
    </w:p>
    <w:p>
      <w:pPr/>
      <w:r>
        <w:t>本文在研究过程中同步建设了可复现实验资产，包括固定评测口径、结果文件归档与阶段日志记录机制。相较于仅报告最终指标，本文更强调“过程可审计”的工程研究范式，即每一项结论均应能够追溯到对应配置与结果文件。该范式不仅提高了论文结论的可信度，也为后续团队复用、系统迭代与跨硬件迁移提供了可操作基础。</w:t>
      </w:r>
    </w:p>
    <w:p>
      <w:pPr>
        <w:pStyle w:val="2"/>
      </w:pPr>
      <w:r>
        <w:t>6.4 后续研究路线</w:t>
      </w:r>
    </w:p>
    <w:p>
      <w:pPr/>
      <w:r>
        <w:t>基于本文结论，后续研究可沿三条主线推进：第一，围绕生成侧瓶颈开展模型量化、并发调度与解码策略优化，验证更高比例 Latency 压降的可达性；第二，在保持 Faithfulness 约束前提下扩展多模态输入，评估图文混合知识库的路由与检索稳定性；第三，构建更大规模且多领域的评测集，进一步检验本文方法在跨场景迁移中的稳健性。</w:t>
      </w:r>
    </w:p>
    <w:p>
      <w:pPr/>
      <w:r>
        <w:t>致谢 在本文的完成过程中，特别感谢每一位协作成员的支持，感谢本地 RAG 开源社区提供的技术灵感。</w:t>
      </w:r>
    </w:p>
    <w:p>
      <w:pPr>
        <w:pStyle w:val="1"/>
      </w:pPr>
      <w:r>
        <w:t>参考文献</w:t>
      </w:r>
    </w:p>
    <w:p>
      <w:pPr>
        <w:pStyle w:val="af4"/>
      </w:pPr>
      <w:r>
        <w:t>Lewis P, Perez E, Piktus A, et al. Retrieval-Augmented Generation for Knowledge-Intensive NLP Tasks[J]. Advances in Neural Information Processing Systems, 2020.</w:t>
      </w:r>
    </w:p>
    <w:p>
      <w:pPr>
        <w:pStyle w:val="af4"/>
      </w:pPr>
      <w:r>
        <w:t>Cormack G V, Clarke C L A, Buettcher S. Reciprocal Rank Fusion Outperforms Condorcet and Individual Rank Learning Methods[C]//Proceedings of the 32nd International ACM SIGIR Conference on Research and Development in Information Retrieval. 2009.</w:t>
      </w:r>
    </w:p>
    <w:p>
      <w:pPr>
        <w:pStyle w:val="af4"/>
      </w:pPr>
      <w:r>
        <w:t>Robertson S, Zaragoza H. The Probabilistic Relevance Framework: BM25 and Beyond[J]. Foundations and Trends in Information Retrieval, 2009.</w:t>
      </w:r>
    </w:p>
    <w:p>
      <w:pPr>
        <w:pStyle w:val="1"/>
      </w:pPr>
      <w:r>
        <w:t>致谢</w:t>
      </w:r>
    </w:p>
    <w:p>
      <w:pPr/>
      <w:r>
        <w:t>在本文的完成过程中，特别感谢每一位协作成员的支持，感谢本地 RAG 开源社区提供的技术灵感。</w:t>
      </w:r>
    </w:p>
    <w:sectPr w:rsidR="003C2E02" w:rsidRPr="003C2E02" w:rsidSect="00767E21">
      <w:headerReference w:type="default" r:id="rId19"/>
      <w:footerReference w:type="default" r:id="rId20"/>
      <w:pgSz w:w="11906" w:h="16838" w:code="9"/>
      <w:pgMar w:top="1440" w:right="1797" w:bottom="1440" w:left="1797" w:header="851" w:footer="992" w:gutter="0"/>
      <w:pgNumType w:start="1" w:chapStyle="1"/>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B4E" w:rsidRDefault="00D67B4E" w:rsidP="0023451E">
      <w:pPr>
        <w:spacing w:line="240" w:lineRule="auto"/>
        <w:ind w:firstLine="480"/>
      </w:pPr>
      <w:r>
        <w:separator/>
      </w:r>
    </w:p>
  </w:endnote>
  <w:endnote w:type="continuationSeparator" w:id="0">
    <w:p w:rsidR="00D67B4E" w:rsidRDefault="00D67B4E" w:rsidP="0023451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79B" w:rsidRDefault="0096779B" w:rsidP="001D1992">
    <w:pPr>
      <w:pStyle w:val="a4"/>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8289845"/>
      <w:docPartObj>
        <w:docPartGallery w:val="Page Numbers (Bottom of Page)"/>
        <w:docPartUnique/>
      </w:docPartObj>
    </w:sdtPr>
    <w:sdtEndPr/>
    <w:sdtContent>
      <w:p w:rsidR="0096779B" w:rsidRDefault="0096779B" w:rsidP="001D1992">
        <w:pPr>
          <w:pStyle w:val="a4"/>
          <w:ind w:firstLine="360"/>
          <w:jc w:val="center"/>
        </w:pPr>
        <w:r>
          <w:fldChar w:fldCharType="begin"/>
        </w:r>
        <w:r>
          <w:instrText>PAGE   \* MERGEFORMAT</w:instrText>
        </w:r>
        <w:r>
          <w:fldChar w:fldCharType="separate"/>
        </w:r>
        <w:r w:rsidR="00681E9C">
          <w:rPr>
            <w:noProof/>
          </w:rPr>
          <w:t>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3657971"/>
      <w:docPartObj>
        <w:docPartGallery w:val="Page Numbers (Bottom of Page)"/>
        <w:docPartUnique/>
      </w:docPartObj>
    </w:sdtPr>
    <w:sdtEndPr/>
    <w:sdtContent>
      <w:p w:rsidR="0096779B" w:rsidRDefault="0096779B" w:rsidP="001D1992">
        <w:pPr>
          <w:pStyle w:val="a4"/>
          <w:ind w:firstLine="360"/>
          <w:jc w:val="center"/>
        </w:pPr>
        <w:r>
          <w:fldChar w:fldCharType="begin"/>
        </w:r>
        <w:r>
          <w:instrText>PAGE   \* MERGEFORMAT</w:instrText>
        </w:r>
        <w:r>
          <w:fldChar w:fldCharType="separate"/>
        </w:r>
        <w:r w:rsidR="00681E9C" w:rsidRPr="00681E9C">
          <w:rPr>
            <w:noProof/>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0400944"/>
      <w:docPartObj>
        <w:docPartGallery w:val="Page Numbers (Bottom of Page)"/>
        <w:docPartUnique/>
      </w:docPartObj>
    </w:sdtPr>
    <w:sdtEndPr/>
    <w:sdtContent>
      <w:p w:rsidR="0096779B" w:rsidRDefault="0096779B" w:rsidP="001D1992">
        <w:pPr>
          <w:pStyle w:val="a4"/>
          <w:ind w:firstLine="360"/>
          <w:jc w:val="center"/>
        </w:pPr>
        <w:r>
          <w:fldChar w:fldCharType="begin"/>
        </w:r>
        <w:r>
          <w:instrText>PAGE   \* MERGEFORMAT</w:instrText>
        </w:r>
        <w:r>
          <w:fldChar w:fldCharType="separate"/>
        </w:r>
        <w:r w:rsidR="00681E9C" w:rsidRPr="00681E9C">
          <w:rPr>
            <w:noProof/>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B4E" w:rsidRDefault="00D67B4E" w:rsidP="00AA1A6F">
      <w:pPr>
        <w:spacing w:line="240" w:lineRule="auto"/>
        <w:ind w:firstLine="480"/>
      </w:pPr>
      <w:r>
        <w:separator/>
      </w:r>
    </w:p>
  </w:footnote>
  <w:footnote w:type="continuationSeparator" w:id="0">
    <w:p w:rsidR="00D67B4E" w:rsidRDefault="00D67B4E" w:rsidP="0023451E">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79B" w:rsidRPr="00FA3C16" w:rsidRDefault="0096779B" w:rsidP="001D1992">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79B" w:rsidRPr="008D27E7" w:rsidRDefault="0096779B" w:rsidP="00474886">
    <w:pPr>
      <w:pStyle w:val="a3"/>
      <w:ind w:firstLineChars="0" w:firstLine="0"/>
      <w:rPr>
        <w:sz w:val="21"/>
        <w:szCs w:val="21"/>
      </w:rPr>
    </w:pPr>
    <w:r>
      <w:rPr>
        <w:rFonts w:hint="eastAsia"/>
        <w:sz w:val="21"/>
        <w:szCs w:val="21"/>
      </w:rPr>
      <w:t>青岛农业大学学士学位论文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79B" w:rsidRPr="00A13039" w:rsidRDefault="0096779B" w:rsidP="00A13039">
    <w:pPr>
      <w:ind w:left="480" w:firstLineChars="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
    <w:nsid w:val="00000004"/>
    <w:multiLevelType w:val="multilevel"/>
    <w:tmpl w:val="1D4AE24A"/>
    <w:lvl w:ilvl="0">
      <w:start w:val="1"/>
      <w:numFmt w:val="decimal"/>
      <w:lvlText w:val="（%1）"/>
      <w:lvlJc w:val="left"/>
      <w:pPr>
        <w:tabs>
          <w:tab w:val="num" w:pos="840"/>
        </w:tabs>
        <w:ind w:left="840" w:hanging="420"/>
      </w:pPr>
      <w:rPr>
        <w:rFonts w:ascii="Times New Roman" w:eastAsia="Times New Roman" w:hAnsi="Times New Roman" w:cs="Times New Roman"/>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nsid w:val="00000005"/>
    <w:multiLevelType w:val="singleLevel"/>
    <w:tmpl w:val="00000005"/>
    <w:lvl w:ilvl="0">
      <w:start w:val="1"/>
      <w:numFmt w:val="decimal"/>
      <w:suff w:val="nothing"/>
      <w:lvlText w:val="（%1）"/>
      <w:lvlJc w:val="left"/>
      <w:pPr>
        <w:ind w:left="0" w:firstLine="400"/>
      </w:pPr>
      <w:rPr>
        <w:rFonts w:ascii="宋体" w:eastAsia="宋体" w:hAnsi="宋体" w:hint="default"/>
      </w:rPr>
    </w:lvl>
  </w:abstractNum>
  <w:abstractNum w:abstractNumId="3">
    <w:nsid w:val="00000008"/>
    <w:multiLevelType w:val="multilevel"/>
    <w:tmpl w:val="00000008"/>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nsid w:val="0000000A"/>
    <w:multiLevelType w:val="multilevel"/>
    <w:tmpl w:val="0000000A"/>
    <w:lvl w:ilvl="0">
      <w:start w:val="1"/>
      <w:numFmt w:val="decimal"/>
      <w:lvlText w:val="%1."/>
      <w:lvlJc w:val="left"/>
      <w:pPr>
        <w:tabs>
          <w:tab w:val="num" w:pos="930"/>
        </w:tabs>
        <w:ind w:left="930" w:hanging="360"/>
      </w:pPr>
      <w:rPr>
        <w:rFonts w:hint="default"/>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5">
    <w:nsid w:val="0000000C"/>
    <w:multiLevelType w:val="multilevel"/>
    <w:tmpl w:val="0000000C"/>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6">
    <w:nsid w:val="00000010"/>
    <w:multiLevelType w:val="multilevel"/>
    <w:tmpl w:val="00000010"/>
    <w:lvl w:ilvl="0">
      <w:start w:val="1"/>
      <w:numFmt w:val="decimal"/>
      <w:lvlText w:val="%1."/>
      <w:lvlJc w:val="left"/>
      <w:pPr>
        <w:tabs>
          <w:tab w:val="num" w:pos="930"/>
        </w:tabs>
        <w:ind w:left="930" w:hanging="360"/>
      </w:pPr>
      <w:rPr>
        <w:rFonts w:ascii="Times New Roman" w:eastAsia="宋体" w:hint="default"/>
        <w:b w:val="0"/>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7">
    <w:nsid w:val="000026A6"/>
    <w:multiLevelType w:val="hybridMultilevel"/>
    <w:tmpl w:val="3FA62DCE"/>
    <w:lvl w:ilvl="0" w:tplc="93F47168">
      <w:start w:val="1"/>
      <w:numFmt w:val="bullet"/>
      <w:lvlText w:val="第"/>
      <w:lvlJc w:val="left"/>
    </w:lvl>
    <w:lvl w:ilvl="1" w:tplc="1DBC05C2">
      <w:start w:val="1"/>
      <w:numFmt w:val="bullet"/>
      <w:lvlText w:val="第"/>
      <w:lvlJc w:val="left"/>
    </w:lvl>
    <w:lvl w:ilvl="2" w:tplc="1F30EC00">
      <w:numFmt w:val="decimal"/>
      <w:lvlText w:val=""/>
      <w:lvlJc w:val="left"/>
    </w:lvl>
    <w:lvl w:ilvl="3" w:tplc="81FC218A">
      <w:numFmt w:val="decimal"/>
      <w:lvlText w:val=""/>
      <w:lvlJc w:val="left"/>
    </w:lvl>
    <w:lvl w:ilvl="4" w:tplc="12E66608">
      <w:numFmt w:val="decimal"/>
      <w:lvlText w:val=""/>
      <w:lvlJc w:val="left"/>
    </w:lvl>
    <w:lvl w:ilvl="5" w:tplc="A09C239C">
      <w:numFmt w:val="decimal"/>
      <w:lvlText w:val=""/>
      <w:lvlJc w:val="left"/>
    </w:lvl>
    <w:lvl w:ilvl="6" w:tplc="A344DEEC">
      <w:numFmt w:val="decimal"/>
      <w:lvlText w:val=""/>
      <w:lvlJc w:val="left"/>
    </w:lvl>
    <w:lvl w:ilvl="7" w:tplc="965E1F6E">
      <w:numFmt w:val="decimal"/>
      <w:lvlText w:val=""/>
      <w:lvlJc w:val="left"/>
    </w:lvl>
    <w:lvl w:ilvl="8" w:tplc="1274692E">
      <w:numFmt w:val="decimal"/>
      <w:lvlText w:val=""/>
      <w:lvlJc w:val="left"/>
    </w:lvl>
  </w:abstractNum>
  <w:abstractNum w:abstractNumId="8">
    <w:nsid w:val="00004E45"/>
    <w:multiLevelType w:val="hybridMultilevel"/>
    <w:tmpl w:val="64F6A6FE"/>
    <w:lvl w:ilvl="0" w:tplc="FBEA0CE8">
      <w:start w:val="1"/>
      <w:numFmt w:val="decimal"/>
      <w:lvlText w:val="[%1]"/>
      <w:lvlJc w:val="left"/>
    </w:lvl>
    <w:lvl w:ilvl="1" w:tplc="A188753E">
      <w:numFmt w:val="decimal"/>
      <w:lvlText w:val=""/>
      <w:lvlJc w:val="left"/>
    </w:lvl>
    <w:lvl w:ilvl="2" w:tplc="55121D02">
      <w:numFmt w:val="decimal"/>
      <w:lvlText w:val=""/>
      <w:lvlJc w:val="left"/>
    </w:lvl>
    <w:lvl w:ilvl="3" w:tplc="15EA1B1E">
      <w:numFmt w:val="decimal"/>
      <w:lvlText w:val=""/>
      <w:lvlJc w:val="left"/>
    </w:lvl>
    <w:lvl w:ilvl="4" w:tplc="BA1C6D20">
      <w:numFmt w:val="decimal"/>
      <w:lvlText w:val=""/>
      <w:lvlJc w:val="left"/>
    </w:lvl>
    <w:lvl w:ilvl="5" w:tplc="EA2A10CC">
      <w:numFmt w:val="decimal"/>
      <w:lvlText w:val=""/>
      <w:lvlJc w:val="left"/>
    </w:lvl>
    <w:lvl w:ilvl="6" w:tplc="BF64DD5E">
      <w:numFmt w:val="decimal"/>
      <w:lvlText w:val=""/>
      <w:lvlJc w:val="left"/>
    </w:lvl>
    <w:lvl w:ilvl="7" w:tplc="12246F18">
      <w:numFmt w:val="decimal"/>
      <w:lvlText w:val=""/>
      <w:lvlJc w:val="left"/>
    </w:lvl>
    <w:lvl w:ilvl="8" w:tplc="43849EF0">
      <w:numFmt w:val="decimal"/>
      <w:lvlText w:val=""/>
      <w:lvlJc w:val="left"/>
    </w:lvl>
  </w:abstractNum>
  <w:abstractNum w:abstractNumId="9">
    <w:nsid w:val="08B70BD9"/>
    <w:multiLevelType w:val="hybridMultilevel"/>
    <w:tmpl w:val="1A685B68"/>
    <w:lvl w:ilvl="0" w:tplc="EB4C8B30">
      <w:start w:val="1"/>
      <w:numFmt w:val="decimal"/>
      <w:lvlText w:val="第%1章"/>
      <w:lvlJc w:val="left"/>
      <w:pPr>
        <w:ind w:left="1200" w:hanging="12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73B69EE"/>
    <w:multiLevelType w:val="hybridMultilevel"/>
    <w:tmpl w:val="BE3ECCA0"/>
    <w:lvl w:ilvl="0" w:tplc="A426AD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8702979"/>
    <w:multiLevelType w:val="hybridMultilevel"/>
    <w:tmpl w:val="24ECEAB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nsid w:val="24AC2614"/>
    <w:multiLevelType w:val="hybridMultilevel"/>
    <w:tmpl w:val="6F6CE012"/>
    <w:lvl w:ilvl="0" w:tplc="FBEA0CE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63905B4"/>
    <w:multiLevelType w:val="hybridMultilevel"/>
    <w:tmpl w:val="ABD23764"/>
    <w:lvl w:ilvl="0" w:tplc="22429FD2">
      <w:start w:val="1"/>
      <w:numFmt w:val="decimal"/>
      <w:lvlText w:val="%1."/>
      <w:lvlJc w:val="left"/>
      <w:pPr>
        <w:ind w:left="1591" w:hanging="600"/>
      </w:pPr>
      <w:rPr>
        <w:rFonts w:hint="default"/>
      </w:rPr>
    </w:lvl>
    <w:lvl w:ilvl="1" w:tplc="04090019" w:tentative="1">
      <w:start w:val="1"/>
      <w:numFmt w:val="lowerLetter"/>
      <w:lvlText w:val="%2)"/>
      <w:lvlJc w:val="left"/>
      <w:pPr>
        <w:ind w:left="1831" w:hanging="420"/>
      </w:pPr>
    </w:lvl>
    <w:lvl w:ilvl="2" w:tplc="0409001B" w:tentative="1">
      <w:start w:val="1"/>
      <w:numFmt w:val="lowerRoman"/>
      <w:lvlText w:val="%3."/>
      <w:lvlJc w:val="right"/>
      <w:pPr>
        <w:ind w:left="2251" w:hanging="420"/>
      </w:pPr>
    </w:lvl>
    <w:lvl w:ilvl="3" w:tplc="0409000F" w:tentative="1">
      <w:start w:val="1"/>
      <w:numFmt w:val="decimal"/>
      <w:lvlText w:val="%4."/>
      <w:lvlJc w:val="left"/>
      <w:pPr>
        <w:ind w:left="2671" w:hanging="420"/>
      </w:pPr>
    </w:lvl>
    <w:lvl w:ilvl="4" w:tplc="04090019" w:tentative="1">
      <w:start w:val="1"/>
      <w:numFmt w:val="lowerLetter"/>
      <w:lvlText w:val="%5)"/>
      <w:lvlJc w:val="left"/>
      <w:pPr>
        <w:ind w:left="3091" w:hanging="420"/>
      </w:pPr>
    </w:lvl>
    <w:lvl w:ilvl="5" w:tplc="0409001B" w:tentative="1">
      <w:start w:val="1"/>
      <w:numFmt w:val="lowerRoman"/>
      <w:lvlText w:val="%6."/>
      <w:lvlJc w:val="right"/>
      <w:pPr>
        <w:ind w:left="3511" w:hanging="420"/>
      </w:pPr>
    </w:lvl>
    <w:lvl w:ilvl="6" w:tplc="0409000F" w:tentative="1">
      <w:start w:val="1"/>
      <w:numFmt w:val="decimal"/>
      <w:lvlText w:val="%7."/>
      <w:lvlJc w:val="left"/>
      <w:pPr>
        <w:ind w:left="3931" w:hanging="420"/>
      </w:pPr>
    </w:lvl>
    <w:lvl w:ilvl="7" w:tplc="04090019" w:tentative="1">
      <w:start w:val="1"/>
      <w:numFmt w:val="lowerLetter"/>
      <w:lvlText w:val="%8)"/>
      <w:lvlJc w:val="left"/>
      <w:pPr>
        <w:ind w:left="4351" w:hanging="420"/>
      </w:pPr>
    </w:lvl>
    <w:lvl w:ilvl="8" w:tplc="0409001B" w:tentative="1">
      <w:start w:val="1"/>
      <w:numFmt w:val="lowerRoman"/>
      <w:lvlText w:val="%9."/>
      <w:lvlJc w:val="right"/>
      <w:pPr>
        <w:ind w:left="4771" w:hanging="420"/>
      </w:pPr>
    </w:lvl>
  </w:abstractNum>
  <w:abstractNum w:abstractNumId="14">
    <w:nsid w:val="287F4887"/>
    <w:multiLevelType w:val="hybridMultilevel"/>
    <w:tmpl w:val="BA502BDC"/>
    <w:lvl w:ilvl="0" w:tplc="FBEA0CE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BA925CC"/>
    <w:multiLevelType w:val="hybridMultilevel"/>
    <w:tmpl w:val="41641EDE"/>
    <w:lvl w:ilvl="0" w:tplc="FBEA0CE8">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3FB55DC"/>
    <w:multiLevelType w:val="multilevel"/>
    <w:tmpl w:val="4A7847F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nsid w:val="39AB14C4"/>
    <w:multiLevelType w:val="hybridMultilevel"/>
    <w:tmpl w:val="6FA46CC6"/>
    <w:lvl w:ilvl="0" w:tplc="65D293D2">
      <w:start w:val="1"/>
      <w:numFmt w:val="japaneseCounting"/>
      <w:lvlText w:val="%1、"/>
      <w:lvlJc w:val="left"/>
      <w:pPr>
        <w:ind w:left="1224" w:hanging="720"/>
      </w:pPr>
      <w:rPr>
        <w:rFonts w:hint="default"/>
      </w:rPr>
    </w:lvl>
    <w:lvl w:ilvl="1" w:tplc="8A16DFC8">
      <w:start w:val="1"/>
      <w:numFmt w:val="decimal"/>
      <w:lvlText w:val="%2、"/>
      <w:lvlJc w:val="left"/>
      <w:pPr>
        <w:ind w:left="1146" w:hanging="720"/>
      </w:pPr>
      <w:rPr>
        <w:rFonts w:ascii="仿宋_GB2312" w:eastAsia="仿宋_GB2312" w:hAnsi="Times New Roman" w:cs="Times New Roman"/>
      </w:r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18">
    <w:nsid w:val="3CE7293F"/>
    <w:multiLevelType w:val="hybridMultilevel"/>
    <w:tmpl w:val="3E7EECC2"/>
    <w:lvl w:ilvl="0" w:tplc="F4168CCE">
      <w:start w:val="1"/>
      <w:numFmt w:val="japaneseCounting"/>
      <w:lvlText w:val="（%1）"/>
      <w:lvlJc w:val="left"/>
      <w:pPr>
        <w:ind w:left="864" w:hanging="86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8A22303"/>
    <w:multiLevelType w:val="hybridMultilevel"/>
    <w:tmpl w:val="0A500942"/>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20">
    <w:nsid w:val="499C1F5E"/>
    <w:multiLevelType w:val="hybridMultilevel"/>
    <w:tmpl w:val="0444DED8"/>
    <w:lvl w:ilvl="0" w:tplc="11FA17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C4A0470"/>
    <w:multiLevelType w:val="hybridMultilevel"/>
    <w:tmpl w:val="F1283AE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2">
    <w:nsid w:val="52281718"/>
    <w:multiLevelType w:val="hybridMultilevel"/>
    <w:tmpl w:val="A07AEA58"/>
    <w:lvl w:ilvl="0" w:tplc="169E09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3C27734"/>
    <w:multiLevelType w:val="hybridMultilevel"/>
    <w:tmpl w:val="37261CAE"/>
    <w:lvl w:ilvl="0" w:tplc="DEC497B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4">
    <w:nsid w:val="6B4F0289"/>
    <w:multiLevelType w:val="hybridMultilevel"/>
    <w:tmpl w:val="7F5EBEAE"/>
    <w:lvl w:ilvl="0" w:tplc="B7FE426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7C97076D"/>
    <w:multiLevelType w:val="hybridMultilevel"/>
    <w:tmpl w:val="7C0C4F3C"/>
    <w:lvl w:ilvl="0" w:tplc="C122F194">
      <w:start w:val="1"/>
      <w:numFmt w:val="decimal"/>
      <w:lvlText w:val="第%1章"/>
      <w:lvlJc w:val="left"/>
      <w:pPr>
        <w:ind w:left="1050" w:hanging="10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5"/>
  </w:num>
  <w:num w:numId="4">
    <w:abstractNumId w:val="3"/>
  </w:num>
  <w:num w:numId="5">
    <w:abstractNumId w:val="4"/>
  </w:num>
  <w:num w:numId="6">
    <w:abstractNumId w:val="6"/>
  </w:num>
  <w:num w:numId="7">
    <w:abstractNumId w:val="2"/>
  </w:num>
  <w:num w:numId="8">
    <w:abstractNumId w:val="2"/>
    <w:lvlOverride w:ilvl="0">
      <w:startOverride w:val="1"/>
    </w:lvlOverride>
  </w:num>
  <w:num w:numId="9">
    <w:abstractNumId w:val="2"/>
    <w:lvlOverride w:ilvl="0">
      <w:startOverride w:val="1"/>
    </w:lvlOverride>
  </w:num>
  <w:num w:numId="10">
    <w:abstractNumId w:val="17"/>
  </w:num>
  <w:num w:numId="11">
    <w:abstractNumId w:val="23"/>
  </w:num>
  <w:num w:numId="12">
    <w:abstractNumId w:val="22"/>
  </w:num>
  <w:num w:numId="13">
    <w:abstractNumId w:val="16"/>
  </w:num>
  <w:num w:numId="14">
    <w:abstractNumId w:val="19"/>
  </w:num>
  <w:num w:numId="15">
    <w:abstractNumId w:val="8"/>
  </w:num>
  <w:num w:numId="16">
    <w:abstractNumId w:val="7"/>
  </w:num>
  <w:num w:numId="17">
    <w:abstractNumId w:val="24"/>
  </w:num>
  <w:num w:numId="18">
    <w:abstractNumId w:val="21"/>
  </w:num>
  <w:num w:numId="19">
    <w:abstractNumId w:val="25"/>
  </w:num>
  <w:num w:numId="20">
    <w:abstractNumId w:val="9"/>
  </w:num>
  <w:num w:numId="21">
    <w:abstractNumId w:val="11"/>
  </w:num>
  <w:num w:numId="22">
    <w:abstractNumId w:val="15"/>
  </w:num>
  <w:num w:numId="23">
    <w:abstractNumId w:val="14"/>
  </w:num>
  <w:num w:numId="24">
    <w:abstractNumId w:val="12"/>
  </w:num>
  <w:num w:numId="25">
    <w:abstractNumId w:val="13"/>
  </w:num>
  <w:num w:numId="26">
    <w:abstractNumId w:val="18"/>
  </w:num>
  <w:num w:numId="27">
    <w:abstractNumId w:val="10"/>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attachedTemplate r:id="rId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43C"/>
    <w:rsid w:val="000118CE"/>
    <w:rsid w:val="00011DA1"/>
    <w:rsid w:val="000344D3"/>
    <w:rsid w:val="0004246A"/>
    <w:rsid w:val="00050364"/>
    <w:rsid w:val="00050D45"/>
    <w:rsid w:val="00053C42"/>
    <w:rsid w:val="00054190"/>
    <w:rsid w:val="00054331"/>
    <w:rsid w:val="00054D1E"/>
    <w:rsid w:val="00064894"/>
    <w:rsid w:val="000653AA"/>
    <w:rsid w:val="00065D20"/>
    <w:rsid w:val="00071D25"/>
    <w:rsid w:val="00072644"/>
    <w:rsid w:val="00082484"/>
    <w:rsid w:val="00082789"/>
    <w:rsid w:val="00084FD2"/>
    <w:rsid w:val="00091696"/>
    <w:rsid w:val="000939E6"/>
    <w:rsid w:val="000A37CC"/>
    <w:rsid w:val="000C3E8C"/>
    <w:rsid w:val="000C4758"/>
    <w:rsid w:val="000E0D96"/>
    <w:rsid w:val="000F18DA"/>
    <w:rsid w:val="000F3E61"/>
    <w:rsid w:val="00116E3B"/>
    <w:rsid w:val="001215F6"/>
    <w:rsid w:val="00121C4B"/>
    <w:rsid w:val="001333FF"/>
    <w:rsid w:val="00133EDD"/>
    <w:rsid w:val="00140EC6"/>
    <w:rsid w:val="00141500"/>
    <w:rsid w:val="0014589B"/>
    <w:rsid w:val="00150C57"/>
    <w:rsid w:val="001511BE"/>
    <w:rsid w:val="00154F82"/>
    <w:rsid w:val="00156016"/>
    <w:rsid w:val="0017032C"/>
    <w:rsid w:val="00173633"/>
    <w:rsid w:val="00183151"/>
    <w:rsid w:val="00183611"/>
    <w:rsid w:val="00191881"/>
    <w:rsid w:val="00192F14"/>
    <w:rsid w:val="001A383F"/>
    <w:rsid w:val="001A52EF"/>
    <w:rsid w:val="001C3765"/>
    <w:rsid w:val="001C49D1"/>
    <w:rsid w:val="001D1992"/>
    <w:rsid w:val="001D2362"/>
    <w:rsid w:val="001E5A4D"/>
    <w:rsid w:val="001F6019"/>
    <w:rsid w:val="00217930"/>
    <w:rsid w:val="002209F9"/>
    <w:rsid w:val="00226216"/>
    <w:rsid w:val="00231B6C"/>
    <w:rsid w:val="0023451E"/>
    <w:rsid w:val="00240732"/>
    <w:rsid w:val="00250F84"/>
    <w:rsid w:val="00251910"/>
    <w:rsid w:val="00253906"/>
    <w:rsid w:val="00255F4D"/>
    <w:rsid w:val="0025647A"/>
    <w:rsid w:val="00275D62"/>
    <w:rsid w:val="00283A5D"/>
    <w:rsid w:val="0029247F"/>
    <w:rsid w:val="002A1D01"/>
    <w:rsid w:val="002A6684"/>
    <w:rsid w:val="002B05F0"/>
    <w:rsid w:val="002B146B"/>
    <w:rsid w:val="002B4199"/>
    <w:rsid w:val="002C14EA"/>
    <w:rsid w:val="002C3605"/>
    <w:rsid w:val="002E5B0B"/>
    <w:rsid w:val="002E6123"/>
    <w:rsid w:val="002F3B38"/>
    <w:rsid w:val="002F7E18"/>
    <w:rsid w:val="00300249"/>
    <w:rsid w:val="00312E92"/>
    <w:rsid w:val="00317D99"/>
    <w:rsid w:val="003323F4"/>
    <w:rsid w:val="00336084"/>
    <w:rsid w:val="00343FAF"/>
    <w:rsid w:val="0036325B"/>
    <w:rsid w:val="003633B2"/>
    <w:rsid w:val="00364056"/>
    <w:rsid w:val="00367B66"/>
    <w:rsid w:val="0037529A"/>
    <w:rsid w:val="00375F21"/>
    <w:rsid w:val="0038424F"/>
    <w:rsid w:val="00384295"/>
    <w:rsid w:val="00387543"/>
    <w:rsid w:val="003A2A1E"/>
    <w:rsid w:val="003A352A"/>
    <w:rsid w:val="003A49D8"/>
    <w:rsid w:val="003A67B4"/>
    <w:rsid w:val="003A78BD"/>
    <w:rsid w:val="003B6D6E"/>
    <w:rsid w:val="003C2E02"/>
    <w:rsid w:val="003C3BAE"/>
    <w:rsid w:val="003D0818"/>
    <w:rsid w:val="003D2B86"/>
    <w:rsid w:val="003E47CD"/>
    <w:rsid w:val="003F0D78"/>
    <w:rsid w:val="003F40B0"/>
    <w:rsid w:val="003F69A8"/>
    <w:rsid w:val="004008EB"/>
    <w:rsid w:val="00403758"/>
    <w:rsid w:val="0041751F"/>
    <w:rsid w:val="00422F15"/>
    <w:rsid w:val="00426701"/>
    <w:rsid w:val="00431107"/>
    <w:rsid w:val="00431D9D"/>
    <w:rsid w:val="004344A3"/>
    <w:rsid w:val="00445E69"/>
    <w:rsid w:val="00454DC8"/>
    <w:rsid w:val="0045567F"/>
    <w:rsid w:val="00457A71"/>
    <w:rsid w:val="00462800"/>
    <w:rsid w:val="00463E27"/>
    <w:rsid w:val="004745B4"/>
    <w:rsid w:val="00474886"/>
    <w:rsid w:val="00475B29"/>
    <w:rsid w:val="004A459D"/>
    <w:rsid w:val="004B6264"/>
    <w:rsid w:val="004C0A6A"/>
    <w:rsid w:val="004C34BA"/>
    <w:rsid w:val="004C6AE4"/>
    <w:rsid w:val="004D2708"/>
    <w:rsid w:val="004D45F1"/>
    <w:rsid w:val="004D4E99"/>
    <w:rsid w:val="004E021A"/>
    <w:rsid w:val="004E0475"/>
    <w:rsid w:val="004E06E7"/>
    <w:rsid w:val="004E093B"/>
    <w:rsid w:val="004F16C1"/>
    <w:rsid w:val="005030CE"/>
    <w:rsid w:val="00511540"/>
    <w:rsid w:val="00517703"/>
    <w:rsid w:val="0053504A"/>
    <w:rsid w:val="00547B56"/>
    <w:rsid w:val="00553A27"/>
    <w:rsid w:val="00561712"/>
    <w:rsid w:val="005707E9"/>
    <w:rsid w:val="00571EB2"/>
    <w:rsid w:val="005724F6"/>
    <w:rsid w:val="005761E1"/>
    <w:rsid w:val="00584B4A"/>
    <w:rsid w:val="00585701"/>
    <w:rsid w:val="00590867"/>
    <w:rsid w:val="005A3976"/>
    <w:rsid w:val="005A61CC"/>
    <w:rsid w:val="005A7FC2"/>
    <w:rsid w:val="005B229F"/>
    <w:rsid w:val="005B417A"/>
    <w:rsid w:val="005C3795"/>
    <w:rsid w:val="005D201E"/>
    <w:rsid w:val="005D20BF"/>
    <w:rsid w:val="006051EB"/>
    <w:rsid w:val="006112B4"/>
    <w:rsid w:val="006310A4"/>
    <w:rsid w:val="00633A4E"/>
    <w:rsid w:val="00636F4A"/>
    <w:rsid w:val="00644ED2"/>
    <w:rsid w:val="0064659D"/>
    <w:rsid w:val="00652367"/>
    <w:rsid w:val="00674FBE"/>
    <w:rsid w:val="00674FFB"/>
    <w:rsid w:val="0067697D"/>
    <w:rsid w:val="00681E9C"/>
    <w:rsid w:val="00686109"/>
    <w:rsid w:val="00691AD4"/>
    <w:rsid w:val="00692163"/>
    <w:rsid w:val="00692E0E"/>
    <w:rsid w:val="006B321D"/>
    <w:rsid w:val="006C311F"/>
    <w:rsid w:val="006C3EE5"/>
    <w:rsid w:val="006E010B"/>
    <w:rsid w:val="006E39DB"/>
    <w:rsid w:val="00701EF1"/>
    <w:rsid w:val="0070710A"/>
    <w:rsid w:val="0071010D"/>
    <w:rsid w:val="00715C5B"/>
    <w:rsid w:val="00733D2D"/>
    <w:rsid w:val="007346AF"/>
    <w:rsid w:val="007359BE"/>
    <w:rsid w:val="00735B01"/>
    <w:rsid w:val="00753E5E"/>
    <w:rsid w:val="00766746"/>
    <w:rsid w:val="00767E21"/>
    <w:rsid w:val="007765BF"/>
    <w:rsid w:val="00797614"/>
    <w:rsid w:val="007A2FBD"/>
    <w:rsid w:val="007A4BB9"/>
    <w:rsid w:val="007B0966"/>
    <w:rsid w:val="007B1388"/>
    <w:rsid w:val="007B5C70"/>
    <w:rsid w:val="007D134F"/>
    <w:rsid w:val="007D631A"/>
    <w:rsid w:val="007D7717"/>
    <w:rsid w:val="007E3376"/>
    <w:rsid w:val="007F14D7"/>
    <w:rsid w:val="007F2418"/>
    <w:rsid w:val="007F77C4"/>
    <w:rsid w:val="00801738"/>
    <w:rsid w:val="00804636"/>
    <w:rsid w:val="00820313"/>
    <w:rsid w:val="008215B6"/>
    <w:rsid w:val="00822621"/>
    <w:rsid w:val="008229F5"/>
    <w:rsid w:val="0082404A"/>
    <w:rsid w:val="008262D3"/>
    <w:rsid w:val="008337A2"/>
    <w:rsid w:val="00840E69"/>
    <w:rsid w:val="008522F4"/>
    <w:rsid w:val="00854E9A"/>
    <w:rsid w:val="0085691A"/>
    <w:rsid w:val="00865188"/>
    <w:rsid w:val="008746BE"/>
    <w:rsid w:val="0088370F"/>
    <w:rsid w:val="008B0FA0"/>
    <w:rsid w:val="008C1BD9"/>
    <w:rsid w:val="008D0538"/>
    <w:rsid w:val="008D27E7"/>
    <w:rsid w:val="008E58E1"/>
    <w:rsid w:val="008E5A78"/>
    <w:rsid w:val="008F19DC"/>
    <w:rsid w:val="00911A22"/>
    <w:rsid w:val="0091555C"/>
    <w:rsid w:val="00916CEF"/>
    <w:rsid w:val="00916D1E"/>
    <w:rsid w:val="009238A3"/>
    <w:rsid w:val="00934D75"/>
    <w:rsid w:val="0093518F"/>
    <w:rsid w:val="00943BC7"/>
    <w:rsid w:val="009503C1"/>
    <w:rsid w:val="00961364"/>
    <w:rsid w:val="009636F9"/>
    <w:rsid w:val="0096779B"/>
    <w:rsid w:val="009762A5"/>
    <w:rsid w:val="00984A9A"/>
    <w:rsid w:val="00987336"/>
    <w:rsid w:val="009905C7"/>
    <w:rsid w:val="00995F6C"/>
    <w:rsid w:val="009A2C5F"/>
    <w:rsid w:val="009A4D64"/>
    <w:rsid w:val="009A4F11"/>
    <w:rsid w:val="009A7632"/>
    <w:rsid w:val="009B0E52"/>
    <w:rsid w:val="009D23FE"/>
    <w:rsid w:val="009D3E94"/>
    <w:rsid w:val="009D4CCE"/>
    <w:rsid w:val="009D7CB0"/>
    <w:rsid w:val="009E40FF"/>
    <w:rsid w:val="009E6081"/>
    <w:rsid w:val="009F2D9B"/>
    <w:rsid w:val="009F68BF"/>
    <w:rsid w:val="00A0743D"/>
    <w:rsid w:val="00A13039"/>
    <w:rsid w:val="00A16E1D"/>
    <w:rsid w:val="00A17CD8"/>
    <w:rsid w:val="00A20588"/>
    <w:rsid w:val="00A21C8B"/>
    <w:rsid w:val="00A316D2"/>
    <w:rsid w:val="00A31837"/>
    <w:rsid w:val="00A42A9D"/>
    <w:rsid w:val="00A61ED7"/>
    <w:rsid w:val="00A7228C"/>
    <w:rsid w:val="00A73264"/>
    <w:rsid w:val="00A81313"/>
    <w:rsid w:val="00A860D0"/>
    <w:rsid w:val="00A870A0"/>
    <w:rsid w:val="00A924EC"/>
    <w:rsid w:val="00AA1A6F"/>
    <w:rsid w:val="00AA2B19"/>
    <w:rsid w:val="00AB00F5"/>
    <w:rsid w:val="00AD2815"/>
    <w:rsid w:val="00AD7EDF"/>
    <w:rsid w:val="00AE7D77"/>
    <w:rsid w:val="00AF744C"/>
    <w:rsid w:val="00B02BB8"/>
    <w:rsid w:val="00B0375C"/>
    <w:rsid w:val="00B1455B"/>
    <w:rsid w:val="00B20C33"/>
    <w:rsid w:val="00B21535"/>
    <w:rsid w:val="00B3457D"/>
    <w:rsid w:val="00B40379"/>
    <w:rsid w:val="00B40FE7"/>
    <w:rsid w:val="00B43005"/>
    <w:rsid w:val="00B638EE"/>
    <w:rsid w:val="00B65A94"/>
    <w:rsid w:val="00B66408"/>
    <w:rsid w:val="00B67A92"/>
    <w:rsid w:val="00B73567"/>
    <w:rsid w:val="00B86EBD"/>
    <w:rsid w:val="00BA114F"/>
    <w:rsid w:val="00BA1D25"/>
    <w:rsid w:val="00BA62F2"/>
    <w:rsid w:val="00BA692F"/>
    <w:rsid w:val="00BB2708"/>
    <w:rsid w:val="00BC0A70"/>
    <w:rsid w:val="00BC2C34"/>
    <w:rsid w:val="00BC49C7"/>
    <w:rsid w:val="00BC77C8"/>
    <w:rsid w:val="00BD17DA"/>
    <w:rsid w:val="00BD18FD"/>
    <w:rsid w:val="00BD2C07"/>
    <w:rsid w:val="00BE25B4"/>
    <w:rsid w:val="00BE5117"/>
    <w:rsid w:val="00BF3590"/>
    <w:rsid w:val="00C02646"/>
    <w:rsid w:val="00C04284"/>
    <w:rsid w:val="00C15148"/>
    <w:rsid w:val="00C25B82"/>
    <w:rsid w:val="00C3787B"/>
    <w:rsid w:val="00C47687"/>
    <w:rsid w:val="00C52EA2"/>
    <w:rsid w:val="00C53272"/>
    <w:rsid w:val="00C5677D"/>
    <w:rsid w:val="00C611FA"/>
    <w:rsid w:val="00C62989"/>
    <w:rsid w:val="00C70F38"/>
    <w:rsid w:val="00C81147"/>
    <w:rsid w:val="00C84728"/>
    <w:rsid w:val="00C86EB2"/>
    <w:rsid w:val="00C9745F"/>
    <w:rsid w:val="00CA02B7"/>
    <w:rsid w:val="00CA4F48"/>
    <w:rsid w:val="00CA4F60"/>
    <w:rsid w:val="00CA5BD9"/>
    <w:rsid w:val="00CB3DD5"/>
    <w:rsid w:val="00CB7BA2"/>
    <w:rsid w:val="00CC311C"/>
    <w:rsid w:val="00CC3A7F"/>
    <w:rsid w:val="00CD0637"/>
    <w:rsid w:val="00CD6782"/>
    <w:rsid w:val="00CE185F"/>
    <w:rsid w:val="00CE2281"/>
    <w:rsid w:val="00CE493F"/>
    <w:rsid w:val="00CF272D"/>
    <w:rsid w:val="00D064B0"/>
    <w:rsid w:val="00D06D94"/>
    <w:rsid w:val="00D124EC"/>
    <w:rsid w:val="00D20C26"/>
    <w:rsid w:val="00D41981"/>
    <w:rsid w:val="00D436A7"/>
    <w:rsid w:val="00D46A30"/>
    <w:rsid w:val="00D54CCE"/>
    <w:rsid w:val="00D6143C"/>
    <w:rsid w:val="00D63C5B"/>
    <w:rsid w:val="00D67B4E"/>
    <w:rsid w:val="00D71081"/>
    <w:rsid w:val="00D75454"/>
    <w:rsid w:val="00D80B9F"/>
    <w:rsid w:val="00D83E6F"/>
    <w:rsid w:val="00D84324"/>
    <w:rsid w:val="00D92FFE"/>
    <w:rsid w:val="00D9540D"/>
    <w:rsid w:val="00DA1952"/>
    <w:rsid w:val="00DA5016"/>
    <w:rsid w:val="00DA52EF"/>
    <w:rsid w:val="00DB4F0E"/>
    <w:rsid w:val="00DC0009"/>
    <w:rsid w:val="00DC06EC"/>
    <w:rsid w:val="00DC65FB"/>
    <w:rsid w:val="00DD6452"/>
    <w:rsid w:val="00DD6947"/>
    <w:rsid w:val="00DE2007"/>
    <w:rsid w:val="00DF17F7"/>
    <w:rsid w:val="00E03546"/>
    <w:rsid w:val="00E2354A"/>
    <w:rsid w:val="00E32AD9"/>
    <w:rsid w:val="00E34278"/>
    <w:rsid w:val="00E37349"/>
    <w:rsid w:val="00E41B93"/>
    <w:rsid w:val="00E52597"/>
    <w:rsid w:val="00E532E3"/>
    <w:rsid w:val="00E656E1"/>
    <w:rsid w:val="00E903D6"/>
    <w:rsid w:val="00EA6E72"/>
    <w:rsid w:val="00EB55BC"/>
    <w:rsid w:val="00EB5AF7"/>
    <w:rsid w:val="00EC1379"/>
    <w:rsid w:val="00ED0214"/>
    <w:rsid w:val="00EF0B90"/>
    <w:rsid w:val="00EF4E2E"/>
    <w:rsid w:val="00EF5997"/>
    <w:rsid w:val="00EF7ED7"/>
    <w:rsid w:val="00F115FB"/>
    <w:rsid w:val="00F12754"/>
    <w:rsid w:val="00F21F4A"/>
    <w:rsid w:val="00F23C6C"/>
    <w:rsid w:val="00F246B2"/>
    <w:rsid w:val="00F3229C"/>
    <w:rsid w:val="00F46F73"/>
    <w:rsid w:val="00F5013F"/>
    <w:rsid w:val="00F53B95"/>
    <w:rsid w:val="00F63FEB"/>
    <w:rsid w:val="00F85083"/>
    <w:rsid w:val="00F93D35"/>
    <w:rsid w:val="00FB0759"/>
    <w:rsid w:val="00FD4242"/>
    <w:rsid w:val="00FE1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HTML Preformatted"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正文文字"/>
    <w:qFormat/>
    <w:rsid w:val="00CA5BD9"/>
    <w:pPr>
      <w:spacing w:line="400" w:lineRule="exact"/>
      <w:ind w:firstLineChars="200" w:firstLine="200"/>
      <w:jc w:val="both"/>
    </w:pPr>
    <w:rPr>
      <w:rFonts w:ascii="Times New Roman" w:hAnsi="Times New Roman" w:cs="Times New Roman"/>
      <w:kern w:val="0"/>
      <w:sz w:val="24"/>
    </w:rPr>
  </w:style>
  <w:style w:type="paragraph" w:styleId="1">
    <w:name w:val="heading 1"/>
    <w:basedOn w:val="a"/>
    <w:next w:val="a"/>
    <w:link w:val="1Char"/>
    <w:qFormat/>
    <w:rsid w:val="00DE2007"/>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Char"/>
    <w:qFormat/>
    <w:rsid w:val="00F246B2"/>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link w:val="3Char"/>
    <w:qFormat/>
    <w:rsid w:val="00F246B2"/>
    <w:pPr>
      <w:keepNext/>
      <w:keepLines/>
      <w:widowControl w:val="0"/>
      <w:spacing w:before="240" w:after="120"/>
      <w:ind w:firstLineChars="0" w:firstLine="0"/>
      <w:outlineLvl w:val="2"/>
    </w:pPr>
    <w:rPr>
      <w:rFonts w:ascii="黑体" w:eastAsia="黑体" w:hAnsi="黑体"/>
      <w:kern w:val="2"/>
      <w:sz w:val="26"/>
      <w:szCs w:val="20"/>
    </w:rPr>
  </w:style>
  <w:style w:type="paragraph" w:styleId="4">
    <w:name w:val="heading 4"/>
    <w:basedOn w:val="a"/>
    <w:next w:val="a"/>
    <w:link w:val="4Char"/>
    <w:qFormat/>
    <w:rsid w:val="00D20C26"/>
    <w:pPr>
      <w:keepNext/>
      <w:widowControl w:val="0"/>
      <w:spacing w:before="240" w:after="120"/>
      <w:ind w:firstLineChars="0" w:firstLine="0"/>
      <w:jc w:val="left"/>
      <w:outlineLvl w:val="3"/>
    </w:pPr>
    <w:rPr>
      <w:rFonts w:ascii="黑体" w:eastAsia="黑体" w:hAnsi="黑体"/>
      <w:kern w:val="2"/>
      <w:szCs w:val="20"/>
    </w:rPr>
  </w:style>
  <w:style w:type="paragraph" w:styleId="5">
    <w:name w:val="heading 5"/>
    <w:aliases w:val="表题"/>
    <w:basedOn w:val="a"/>
    <w:next w:val="a"/>
    <w:link w:val="5Char"/>
    <w:qFormat/>
    <w:rsid w:val="000A37CC"/>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aliases w:val="图题"/>
    <w:basedOn w:val="a"/>
    <w:next w:val="a"/>
    <w:link w:val="6Char"/>
    <w:uiPriority w:val="9"/>
    <w:unhideWhenUsed/>
    <w:qFormat/>
    <w:rsid w:val="00BA692F"/>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11A2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11A22"/>
    <w:rPr>
      <w:rFonts w:ascii="Times New Roman" w:hAnsi="Times New Roman" w:cs="Times New Roman"/>
      <w:kern w:val="0"/>
      <w:sz w:val="18"/>
      <w:szCs w:val="18"/>
    </w:rPr>
  </w:style>
  <w:style w:type="paragraph" w:styleId="a4">
    <w:name w:val="footer"/>
    <w:basedOn w:val="a"/>
    <w:link w:val="Char0"/>
    <w:uiPriority w:val="99"/>
    <w:unhideWhenUsed/>
    <w:rsid w:val="00911A22"/>
    <w:pPr>
      <w:tabs>
        <w:tab w:val="center" w:pos="4153"/>
        <w:tab w:val="right" w:pos="8306"/>
      </w:tabs>
      <w:snapToGrid w:val="0"/>
    </w:pPr>
    <w:rPr>
      <w:sz w:val="18"/>
      <w:szCs w:val="18"/>
    </w:rPr>
  </w:style>
  <w:style w:type="character" w:customStyle="1" w:styleId="Char0">
    <w:name w:val="页脚 Char"/>
    <w:basedOn w:val="a0"/>
    <w:link w:val="a4"/>
    <w:uiPriority w:val="99"/>
    <w:rsid w:val="00911A22"/>
    <w:rPr>
      <w:rFonts w:ascii="Times New Roman" w:hAnsi="Times New Roman" w:cs="Times New Roman"/>
      <w:kern w:val="0"/>
      <w:sz w:val="18"/>
      <w:szCs w:val="18"/>
    </w:rPr>
  </w:style>
  <w:style w:type="character" w:customStyle="1" w:styleId="1Char">
    <w:name w:val="标题 1 Char"/>
    <w:basedOn w:val="a0"/>
    <w:link w:val="1"/>
    <w:rsid w:val="00DE2007"/>
    <w:rPr>
      <w:rFonts w:ascii="黑体" w:eastAsia="黑体" w:hAnsi="宋体" w:cs="Times New Roman"/>
      <w:sz w:val="30"/>
      <w:szCs w:val="20"/>
    </w:rPr>
  </w:style>
  <w:style w:type="character" w:customStyle="1" w:styleId="2Char">
    <w:name w:val="标题 2 Char"/>
    <w:basedOn w:val="a0"/>
    <w:link w:val="2"/>
    <w:rsid w:val="00F246B2"/>
    <w:rPr>
      <w:rFonts w:ascii="黑体" w:eastAsia="黑体" w:hAnsi="黑体" w:cs="Times New Roman"/>
      <w:sz w:val="28"/>
      <w:szCs w:val="20"/>
    </w:rPr>
  </w:style>
  <w:style w:type="character" w:customStyle="1" w:styleId="3Char">
    <w:name w:val="标题 3 Char"/>
    <w:basedOn w:val="a0"/>
    <w:link w:val="3"/>
    <w:rsid w:val="00F246B2"/>
    <w:rPr>
      <w:rFonts w:ascii="黑体" w:eastAsia="黑体" w:hAnsi="黑体" w:cs="Times New Roman"/>
      <w:sz w:val="26"/>
      <w:szCs w:val="20"/>
    </w:rPr>
  </w:style>
  <w:style w:type="character" w:customStyle="1" w:styleId="4Char">
    <w:name w:val="标题 4 Char"/>
    <w:basedOn w:val="a0"/>
    <w:link w:val="4"/>
    <w:rsid w:val="00D20C26"/>
    <w:rPr>
      <w:rFonts w:ascii="黑体" w:eastAsia="黑体" w:hAnsi="黑体" w:cs="Times New Roman"/>
      <w:sz w:val="24"/>
      <w:szCs w:val="20"/>
    </w:rPr>
  </w:style>
  <w:style w:type="character" w:customStyle="1" w:styleId="5Char">
    <w:name w:val="标题 5 Char"/>
    <w:aliases w:val="表题 Char"/>
    <w:basedOn w:val="a0"/>
    <w:link w:val="5"/>
    <w:rsid w:val="000A37CC"/>
    <w:rPr>
      <w:rFonts w:ascii="黑体" w:eastAsia="黑体" w:hAnsi="黑体" w:cs="Times New Roman"/>
      <w:sz w:val="22"/>
      <w:szCs w:val="20"/>
    </w:rPr>
  </w:style>
  <w:style w:type="character" w:styleId="a5">
    <w:name w:val="Hyperlink"/>
    <w:uiPriority w:val="99"/>
    <w:rsid w:val="00191881"/>
    <w:rPr>
      <w:color w:val="0000FF"/>
      <w:u w:val="single"/>
    </w:rPr>
  </w:style>
  <w:style w:type="character" w:styleId="a6">
    <w:name w:val="page number"/>
    <w:basedOn w:val="a0"/>
    <w:rsid w:val="00191881"/>
  </w:style>
  <w:style w:type="paragraph" w:styleId="a7">
    <w:name w:val="caption"/>
    <w:aliases w:val="表注"/>
    <w:basedOn w:val="a"/>
    <w:next w:val="a"/>
    <w:qFormat/>
    <w:rsid w:val="000A37CC"/>
    <w:pPr>
      <w:widowControl w:val="0"/>
      <w:spacing w:before="60" w:after="60"/>
      <w:ind w:firstLineChars="0" w:firstLine="0"/>
    </w:pPr>
    <w:rPr>
      <w:kern w:val="2"/>
      <w:sz w:val="21"/>
      <w:szCs w:val="20"/>
    </w:rPr>
  </w:style>
  <w:style w:type="paragraph" w:styleId="a8">
    <w:name w:val="Balloon Text"/>
    <w:basedOn w:val="a"/>
    <w:link w:val="Char1"/>
    <w:rsid w:val="00191881"/>
    <w:pPr>
      <w:widowControl w:val="0"/>
    </w:pPr>
    <w:rPr>
      <w:rFonts w:eastAsia="宋体"/>
      <w:kern w:val="2"/>
      <w:sz w:val="18"/>
      <w:szCs w:val="20"/>
    </w:rPr>
  </w:style>
  <w:style w:type="character" w:customStyle="1" w:styleId="Char1">
    <w:name w:val="批注框文本 Char"/>
    <w:basedOn w:val="a0"/>
    <w:link w:val="a8"/>
    <w:rsid w:val="00191881"/>
    <w:rPr>
      <w:rFonts w:ascii="Times New Roman" w:eastAsia="宋体" w:hAnsi="Times New Roman" w:cs="Times New Roman"/>
      <w:sz w:val="18"/>
      <w:szCs w:val="20"/>
    </w:rPr>
  </w:style>
  <w:style w:type="paragraph" w:styleId="20">
    <w:name w:val="toc 2"/>
    <w:basedOn w:val="a"/>
    <w:next w:val="a"/>
    <w:uiPriority w:val="39"/>
    <w:qFormat/>
    <w:rsid w:val="00191881"/>
    <w:pPr>
      <w:widowControl w:val="0"/>
      <w:ind w:left="210"/>
      <w:jc w:val="left"/>
    </w:pPr>
    <w:rPr>
      <w:rFonts w:eastAsia="宋体"/>
      <w:smallCaps/>
      <w:kern w:val="2"/>
      <w:sz w:val="20"/>
      <w:szCs w:val="20"/>
    </w:rPr>
  </w:style>
  <w:style w:type="paragraph" w:styleId="a9">
    <w:name w:val="Date"/>
    <w:basedOn w:val="a"/>
    <w:next w:val="a"/>
    <w:link w:val="Char2"/>
    <w:rsid w:val="00191881"/>
    <w:pPr>
      <w:widowControl w:val="0"/>
      <w:ind w:leftChars="2500" w:left="100"/>
    </w:pPr>
    <w:rPr>
      <w:rFonts w:eastAsia="宋体"/>
      <w:kern w:val="2"/>
      <w:szCs w:val="20"/>
    </w:rPr>
  </w:style>
  <w:style w:type="character" w:customStyle="1" w:styleId="Char2">
    <w:name w:val="日期 Char"/>
    <w:basedOn w:val="a0"/>
    <w:link w:val="a9"/>
    <w:rsid w:val="00191881"/>
    <w:rPr>
      <w:rFonts w:ascii="Times New Roman" w:eastAsia="宋体" w:hAnsi="Times New Roman" w:cs="Times New Roman"/>
      <w:sz w:val="24"/>
      <w:szCs w:val="20"/>
    </w:rPr>
  </w:style>
  <w:style w:type="paragraph" w:styleId="aa">
    <w:name w:val="Body Text Indent"/>
    <w:basedOn w:val="a"/>
    <w:link w:val="Char3"/>
    <w:rsid w:val="00191881"/>
    <w:pPr>
      <w:widowControl w:val="0"/>
      <w:spacing w:beforeLines="50" w:before="156" w:afterLines="50" w:after="156" w:line="360" w:lineRule="exact"/>
      <w:ind w:firstLine="480"/>
    </w:pPr>
    <w:rPr>
      <w:rFonts w:eastAsia="宋体"/>
      <w:kern w:val="2"/>
      <w:szCs w:val="20"/>
    </w:rPr>
  </w:style>
  <w:style w:type="character" w:customStyle="1" w:styleId="Char3">
    <w:name w:val="正文文本缩进 Char"/>
    <w:basedOn w:val="a0"/>
    <w:link w:val="aa"/>
    <w:rsid w:val="00191881"/>
    <w:rPr>
      <w:rFonts w:ascii="Times New Roman" w:eastAsia="宋体" w:hAnsi="Times New Roman" w:cs="Times New Roman"/>
      <w:sz w:val="24"/>
      <w:szCs w:val="20"/>
    </w:rPr>
  </w:style>
  <w:style w:type="paragraph" w:styleId="ab">
    <w:name w:val="Normal (Web)"/>
    <w:basedOn w:val="a"/>
    <w:rsid w:val="00191881"/>
    <w:pPr>
      <w:spacing w:before="100" w:beforeAutospacing="1" w:after="100" w:afterAutospacing="1"/>
      <w:jc w:val="left"/>
    </w:pPr>
    <w:rPr>
      <w:rFonts w:ascii="宋体" w:eastAsia="宋体" w:hAnsi="宋体"/>
      <w:szCs w:val="20"/>
    </w:rPr>
  </w:style>
  <w:style w:type="paragraph" w:styleId="21">
    <w:name w:val="Body Text Indent 2"/>
    <w:basedOn w:val="a"/>
    <w:link w:val="2Char0"/>
    <w:rsid w:val="00191881"/>
    <w:pPr>
      <w:widowControl w:val="0"/>
      <w:spacing w:beforeLines="50" w:before="156" w:afterLines="50" w:after="156" w:line="360" w:lineRule="exact"/>
      <w:ind w:left="561" w:firstLine="480"/>
    </w:pPr>
    <w:rPr>
      <w:rFonts w:eastAsia="宋体"/>
      <w:kern w:val="2"/>
      <w:szCs w:val="20"/>
    </w:rPr>
  </w:style>
  <w:style w:type="character" w:customStyle="1" w:styleId="2Char0">
    <w:name w:val="正文文本缩进 2 Char"/>
    <w:basedOn w:val="a0"/>
    <w:link w:val="21"/>
    <w:rsid w:val="00191881"/>
    <w:rPr>
      <w:rFonts w:ascii="Times New Roman" w:eastAsia="宋体" w:hAnsi="Times New Roman" w:cs="Times New Roman"/>
      <w:sz w:val="24"/>
      <w:szCs w:val="20"/>
    </w:rPr>
  </w:style>
  <w:style w:type="paragraph" w:styleId="ac">
    <w:name w:val="Body Text"/>
    <w:basedOn w:val="a"/>
    <w:link w:val="Char4"/>
    <w:rsid w:val="00191881"/>
    <w:pPr>
      <w:widowControl w:val="0"/>
      <w:spacing w:after="120"/>
    </w:pPr>
    <w:rPr>
      <w:rFonts w:eastAsia="宋体"/>
      <w:kern w:val="2"/>
      <w:szCs w:val="20"/>
    </w:rPr>
  </w:style>
  <w:style w:type="character" w:customStyle="1" w:styleId="Char4">
    <w:name w:val="正文文本 Char"/>
    <w:basedOn w:val="a0"/>
    <w:link w:val="ac"/>
    <w:rsid w:val="00191881"/>
    <w:rPr>
      <w:rFonts w:ascii="Times New Roman" w:eastAsia="宋体" w:hAnsi="Times New Roman" w:cs="Times New Roman"/>
      <w:sz w:val="24"/>
      <w:szCs w:val="20"/>
    </w:rPr>
  </w:style>
  <w:style w:type="paragraph" w:styleId="10">
    <w:name w:val="toc 1"/>
    <w:basedOn w:val="a"/>
    <w:next w:val="a"/>
    <w:uiPriority w:val="39"/>
    <w:qFormat/>
    <w:rsid w:val="00191881"/>
    <w:pPr>
      <w:widowControl w:val="0"/>
      <w:spacing w:before="120" w:after="120"/>
      <w:jc w:val="left"/>
    </w:pPr>
    <w:rPr>
      <w:rFonts w:eastAsia="宋体"/>
      <w:b/>
      <w:bCs/>
      <w:caps/>
      <w:kern w:val="2"/>
      <w:sz w:val="20"/>
      <w:szCs w:val="20"/>
    </w:rPr>
  </w:style>
  <w:style w:type="paragraph" w:styleId="ad">
    <w:name w:val="Plain Text"/>
    <w:basedOn w:val="a"/>
    <w:link w:val="Char5"/>
    <w:rsid w:val="00191881"/>
    <w:pPr>
      <w:widowControl w:val="0"/>
    </w:pPr>
    <w:rPr>
      <w:rFonts w:ascii="宋体" w:eastAsia="宋体" w:hAnsi="Courier New" w:hint="eastAsia"/>
      <w:kern w:val="2"/>
      <w:szCs w:val="20"/>
    </w:rPr>
  </w:style>
  <w:style w:type="character" w:customStyle="1" w:styleId="Char5">
    <w:name w:val="纯文本 Char"/>
    <w:basedOn w:val="a0"/>
    <w:link w:val="ad"/>
    <w:rsid w:val="00191881"/>
    <w:rPr>
      <w:rFonts w:ascii="宋体" w:eastAsia="宋体" w:hAnsi="Courier New" w:cs="Times New Roman"/>
      <w:sz w:val="24"/>
      <w:szCs w:val="20"/>
    </w:rPr>
  </w:style>
  <w:style w:type="paragraph" w:customStyle="1" w:styleId="11">
    <w:name w:val="样式1"/>
    <w:basedOn w:val="a"/>
    <w:link w:val="1Char0"/>
    <w:autoRedefine/>
    <w:rsid w:val="00191881"/>
    <w:pPr>
      <w:widowControl w:val="0"/>
      <w:tabs>
        <w:tab w:val="left" w:pos="4500"/>
      </w:tabs>
      <w:spacing w:beforeLines="50" w:before="120" w:afterLines="50" w:after="120"/>
      <w:ind w:firstLine="504"/>
      <w:jc w:val="left"/>
      <w:outlineLvl w:val="1"/>
    </w:pPr>
    <w:rPr>
      <w:rFonts w:ascii="仿宋_GB2312" w:eastAsia="仿宋_GB2312"/>
      <w:bCs/>
      <w:spacing w:val="6"/>
      <w:kern w:val="22"/>
      <w:szCs w:val="24"/>
    </w:rPr>
  </w:style>
  <w:style w:type="character" w:customStyle="1" w:styleId="1Char0">
    <w:name w:val="样式1 Char"/>
    <w:link w:val="11"/>
    <w:rsid w:val="00191881"/>
    <w:rPr>
      <w:rFonts w:ascii="仿宋_GB2312" w:eastAsia="仿宋_GB2312" w:hAnsi="Times New Roman" w:cs="Times New Roman"/>
      <w:bCs/>
      <w:spacing w:val="6"/>
      <w:kern w:val="22"/>
      <w:sz w:val="24"/>
      <w:szCs w:val="24"/>
    </w:rPr>
  </w:style>
  <w:style w:type="paragraph" w:styleId="30">
    <w:name w:val="toc 3"/>
    <w:basedOn w:val="a"/>
    <w:next w:val="a"/>
    <w:autoRedefine/>
    <w:uiPriority w:val="39"/>
    <w:qFormat/>
    <w:rsid w:val="00191881"/>
    <w:pPr>
      <w:widowControl w:val="0"/>
      <w:ind w:left="420"/>
      <w:jc w:val="left"/>
    </w:pPr>
    <w:rPr>
      <w:rFonts w:eastAsia="宋体"/>
      <w:i/>
      <w:iCs/>
      <w:kern w:val="2"/>
      <w:sz w:val="20"/>
      <w:szCs w:val="20"/>
    </w:rPr>
  </w:style>
  <w:style w:type="paragraph" w:styleId="40">
    <w:name w:val="toc 4"/>
    <w:basedOn w:val="a"/>
    <w:next w:val="a"/>
    <w:autoRedefine/>
    <w:semiHidden/>
    <w:rsid w:val="00191881"/>
    <w:pPr>
      <w:widowControl w:val="0"/>
      <w:ind w:left="630"/>
      <w:jc w:val="left"/>
    </w:pPr>
    <w:rPr>
      <w:rFonts w:eastAsia="宋体"/>
      <w:kern w:val="2"/>
      <w:sz w:val="18"/>
      <w:szCs w:val="18"/>
    </w:rPr>
  </w:style>
  <w:style w:type="paragraph" w:styleId="50">
    <w:name w:val="toc 5"/>
    <w:basedOn w:val="a"/>
    <w:next w:val="a"/>
    <w:autoRedefine/>
    <w:semiHidden/>
    <w:rsid w:val="00191881"/>
    <w:pPr>
      <w:widowControl w:val="0"/>
      <w:ind w:left="840"/>
      <w:jc w:val="left"/>
    </w:pPr>
    <w:rPr>
      <w:rFonts w:eastAsia="宋体"/>
      <w:kern w:val="2"/>
      <w:sz w:val="18"/>
      <w:szCs w:val="18"/>
    </w:rPr>
  </w:style>
  <w:style w:type="paragraph" w:styleId="60">
    <w:name w:val="toc 6"/>
    <w:basedOn w:val="a"/>
    <w:next w:val="a"/>
    <w:autoRedefine/>
    <w:semiHidden/>
    <w:rsid w:val="00191881"/>
    <w:pPr>
      <w:widowControl w:val="0"/>
      <w:ind w:left="1050"/>
      <w:jc w:val="left"/>
    </w:pPr>
    <w:rPr>
      <w:rFonts w:eastAsia="宋体"/>
      <w:kern w:val="2"/>
      <w:sz w:val="18"/>
      <w:szCs w:val="18"/>
    </w:rPr>
  </w:style>
  <w:style w:type="paragraph" w:styleId="7">
    <w:name w:val="toc 7"/>
    <w:basedOn w:val="a"/>
    <w:next w:val="a"/>
    <w:autoRedefine/>
    <w:semiHidden/>
    <w:rsid w:val="00191881"/>
    <w:pPr>
      <w:widowControl w:val="0"/>
      <w:ind w:left="1260"/>
      <w:jc w:val="left"/>
    </w:pPr>
    <w:rPr>
      <w:rFonts w:eastAsia="宋体"/>
      <w:kern w:val="2"/>
      <w:sz w:val="18"/>
      <w:szCs w:val="18"/>
    </w:rPr>
  </w:style>
  <w:style w:type="paragraph" w:styleId="8">
    <w:name w:val="toc 8"/>
    <w:basedOn w:val="a"/>
    <w:next w:val="a"/>
    <w:autoRedefine/>
    <w:semiHidden/>
    <w:rsid w:val="00191881"/>
    <w:pPr>
      <w:widowControl w:val="0"/>
      <w:ind w:left="1470"/>
      <w:jc w:val="left"/>
    </w:pPr>
    <w:rPr>
      <w:rFonts w:eastAsia="宋体"/>
      <w:kern w:val="2"/>
      <w:sz w:val="18"/>
      <w:szCs w:val="18"/>
    </w:rPr>
  </w:style>
  <w:style w:type="paragraph" w:styleId="9">
    <w:name w:val="toc 9"/>
    <w:basedOn w:val="a"/>
    <w:next w:val="a"/>
    <w:autoRedefine/>
    <w:semiHidden/>
    <w:rsid w:val="00191881"/>
    <w:pPr>
      <w:widowControl w:val="0"/>
      <w:ind w:left="1680"/>
      <w:jc w:val="left"/>
    </w:pPr>
    <w:rPr>
      <w:rFonts w:eastAsia="宋体"/>
      <w:kern w:val="2"/>
      <w:sz w:val="18"/>
      <w:szCs w:val="18"/>
    </w:rPr>
  </w:style>
  <w:style w:type="paragraph" w:customStyle="1" w:styleId="CharChar">
    <w:name w:val="Char Char"/>
    <w:basedOn w:val="a"/>
    <w:autoRedefine/>
    <w:rsid w:val="00191881"/>
    <w:pPr>
      <w:spacing w:after="160" w:line="240" w:lineRule="exact"/>
      <w:jc w:val="left"/>
    </w:pPr>
    <w:rPr>
      <w:rFonts w:ascii="Verdana" w:eastAsia="仿宋_GB2312" w:hAnsi="Verdana"/>
      <w:sz w:val="30"/>
      <w:szCs w:val="30"/>
      <w:lang w:eastAsia="en-US"/>
    </w:rPr>
  </w:style>
  <w:style w:type="paragraph" w:styleId="HTML">
    <w:name w:val="HTML Preformatted"/>
    <w:basedOn w:val="a"/>
    <w:link w:val="HTMLChar"/>
    <w:rsid w:val="00191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Cs w:val="24"/>
    </w:rPr>
  </w:style>
  <w:style w:type="character" w:customStyle="1" w:styleId="HTMLChar">
    <w:name w:val="HTML 预设格式 Char"/>
    <w:basedOn w:val="a0"/>
    <w:link w:val="HTML"/>
    <w:rsid w:val="00191881"/>
    <w:rPr>
      <w:rFonts w:ascii="宋体" w:eastAsia="宋体" w:hAnsi="宋体" w:cs="宋体"/>
      <w:kern w:val="0"/>
      <w:sz w:val="24"/>
      <w:szCs w:val="24"/>
    </w:rPr>
  </w:style>
  <w:style w:type="character" w:customStyle="1" w:styleId="answer-collapse-content">
    <w:name w:val="answer-collapse-content"/>
    <w:rsid w:val="00191881"/>
  </w:style>
  <w:style w:type="paragraph" w:styleId="ae">
    <w:name w:val="footnote text"/>
    <w:basedOn w:val="a"/>
    <w:link w:val="Char6"/>
    <w:rsid w:val="00191881"/>
    <w:pPr>
      <w:widowControl w:val="0"/>
      <w:snapToGrid w:val="0"/>
      <w:jc w:val="left"/>
    </w:pPr>
    <w:rPr>
      <w:rFonts w:eastAsia="宋体"/>
      <w:kern w:val="2"/>
      <w:sz w:val="18"/>
      <w:szCs w:val="18"/>
    </w:rPr>
  </w:style>
  <w:style w:type="character" w:customStyle="1" w:styleId="Char6">
    <w:name w:val="脚注文本 Char"/>
    <w:basedOn w:val="a0"/>
    <w:link w:val="ae"/>
    <w:rsid w:val="00191881"/>
    <w:rPr>
      <w:rFonts w:ascii="Times New Roman" w:eastAsia="宋体" w:hAnsi="Times New Roman" w:cs="Times New Roman"/>
      <w:sz w:val="18"/>
      <w:szCs w:val="18"/>
    </w:rPr>
  </w:style>
  <w:style w:type="character" w:styleId="af">
    <w:name w:val="footnote reference"/>
    <w:rsid w:val="00191881"/>
    <w:rPr>
      <w:vertAlign w:val="superscript"/>
    </w:rPr>
  </w:style>
  <w:style w:type="character" w:customStyle="1" w:styleId="answer-expand-content">
    <w:name w:val="answer-expand-content"/>
    <w:rsid w:val="00191881"/>
  </w:style>
  <w:style w:type="paragraph" w:customStyle="1" w:styleId="reader-word-layerreader-word-s4-9">
    <w:name w:val="reader-word-layer reader-word-s4-9"/>
    <w:basedOn w:val="a"/>
    <w:rsid w:val="00191881"/>
    <w:pPr>
      <w:spacing w:before="100" w:beforeAutospacing="1" w:after="100" w:afterAutospacing="1"/>
      <w:jc w:val="left"/>
    </w:pPr>
    <w:rPr>
      <w:rFonts w:ascii="宋体" w:eastAsia="宋体" w:hAnsi="宋体" w:cs="宋体"/>
      <w:szCs w:val="24"/>
    </w:rPr>
  </w:style>
  <w:style w:type="paragraph" w:customStyle="1" w:styleId="reader-word-layerreader-word-s3-4">
    <w:name w:val="reader-word-layer reader-word-s3-4"/>
    <w:basedOn w:val="a"/>
    <w:rsid w:val="00191881"/>
    <w:pPr>
      <w:spacing w:before="100" w:beforeAutospacing="1" w:after="100" w:afterAutospacing="1"/>
      <w:jc w:val="left"/>
    </w:pPr>
    <w:rPr>
      <w:rFonts w:ascii="宋体" w:eastAsia="宋体" w:hAnsi="宋体" w:cs="宋体"/>
      <w:szCs w:val="24"/>
    </w:rPr>
  </w:style>
  <w:style w:type="paragraph" w:styleId="af0">
    <w:name w:val="No Spacing"/>
    <w:link w:val="Char7"/>
    <w:uiPriority w:val="1"/>
    <w:qFormat/>
    <w:rsid w:val="00191881"/>
    <w:rPr>
      <w:rFonts w:ascii="Calibri" w:eastAsia="宋体" w:hAnsi="Calibri" w:cs="Times New Roman"/>
      <w:kern w:val="0"/>
      <w:sz w:val="22"/>
    </w:rPr>
  </w:style>
  <w:style w:type="character" w:customStyle="1" w:styleId="Char7">
    <w:name w:val="无间隔 Char"/>
    <w:link w:val="af0"/>
    <w:uiPriority w:val="1"/>
    <w:rsid w:val="00191881"/>
    <w:rPr>
      <w:rFonts w:ascii="Calibri" w:eastAsia="宋体" w:hAnsi="Calibri" w:cs="Times New Roman"/>
      <w:kern w:val="0"/>
      <w:sz w:val="22"/>
    </w:rPr>
  </w:style>
  <w:style w:type="character" w:styleId="af1">
    <w:name w:val="annotation reference"/>
    <w:uiPriority w:val="99"/>
    <w:rsid w:val="00191881"/>
    <w:rPr>
      <w:sz w:val="21"/>
      <w:szCs w:val="21"/>
    </w:rPr>
  </w:style>
  <w:style w:type="paragraph" w:styleId="af2">
    <w:name w:val="annotation text"/>
    <w:basedOn w:val="a"/>
    <w:link w:val="Char8"/>
    <w:rsid w:val="00191881"/>
    <w:pPr>
      <w:widowControl w:val="0"/>
      <w:jc w:val="left"/>
    </w:pPr>
    <w:rPr>
      <w:rFonts w:eastAsia="宋体"/>
      <w:kern w:val="2"/>
      <w:szCs w:val="20"/>
    </w:rPr>
  </w:style>
  <w:style w:type="character" w:customStyle="1" w:styleId="Char8">
    <w:name w:val="批注文字 Char"/>
    <w:basedOn w:val="a0"/>
    <w:link w:val="af2"/>
    <w:rsid w:val="00191881"/>
    <w:rPr>
      <w:rFonts w:ascii="Times New Roman" w:eastAsia="宋体" w:hAnsi="Times New Roman" w:cs="Times New Roman"/>
      <w:sz w:val="24"/>
      <w:szCs w:val="20"/>
    </w:rPr>
  </w:style>
  <w:style w:type="paragraph" w:styleId="af3">
    <w:name w:val="annotation subject"/>
    <w:basedOn w:val="af2"/>
    <w:next w:val="af2"/>
    <w:link w:val="Char9"/>
    <w:rsid w:val="00191881"/>
    <w:rPr>
      <w:b/>
      <w:bCs/>
    </w:rPr>
  </w:style>
  <w:style w:type="character" w:customStyle="1" w:styleId="Char9">
    <w:name w:val="批注主题 Char"/>
    <w:basedOn w:val="Char8"/>
    <w:link w:val="af3"/>
    <w:rsid w:val="00191881"/>
    <w:rPr>
      <w:rFonts w:ascii="Times New Roman" w:eastAsia="宋体" w:hAnsi="Times New Roman" w:cs="Times New Roman"/>
      <w:b/>
      <w:bCs/>
      <w:sz w:val="24"/>
      <w:szCs w:val="20"/>
    </w:rPr>
  </w:style>
  <w:style w:type="character" w:customStyle="1" w:styleId="6Char">
    <w:name w:val="标题 6 Char"/>
    <w:aliases w:val="图题 Char"/>
    <w:basedOn w:val="a0"/>
    <w:link w:val="6"/>
    <w:uiPriority w:val="9"/>
    <w:rsid w:val="00BA692F"/>
    <w:rPr>
      <w:rFonts w:ascii="Times New Roman" w:eastAsia="黑体" w:hAnsi="Times New Roman" w:cstheme="majorBidi"/>
      <w:bCs/>
      <w:kern w:val="0"/>
      <w:sz w:val="22"/>
      <w:szCs w:val="24"/>
    </w:rPr>
  </w:style>
  <w:style w:type="paragraph" w:styleId="af4">
    <w:name w:val="Quote"/>
    <w:aliases w:val="参考文献"/>
    <w:basedOn w:val="a"/>
    <w:next w:val="a"/>
    <w:link w:val="Chara"/>
    <w:uiPriority w:val="29"/>
    <w:qFormat/>
    <w:rsid w:val="00AA1A6F"/>
    <w:pPr>
      <w:spacing w:before="60" w:line="320" w:lineRule="exact"/>
      <w:ind w:firstLineChars="0" w:firstLine="0"/>
    </w:pPr>
    <w:rPr>
      <w:iCs/>
      <w:color w:val="000000" w:themeColor="text1"/>
      <w:sz w:val="21"/>
    </w:rPr>
  </w:style>
  <w:style w:type="character" w:customStyle="1" w:styleId="Chara">
    <w:name w:val="引用 Char"/>
    <w:aliases w:val="参考文献 Char"/>
    <w:basedOn w:val="a0"/>
    <w:link w:val="af4"/>
    <w:uiPriority w:val="29"/>
    <w:rsid w:val="00AA1A6F"/>
    <w:rPr>
      <w:rFonts w:ascii="Times New Roman" w:hAnsi="Times New Roman" w:cs="Times New Roman"/>
      <w:iCs/>
      <w:color w:val="000000" w:themeColor="text1"/>
      <w:kern w:val="0"/>
    </w:rPr>
  </w:style>
  <w:style w:type="paragraph" w:styleId="af5">
    <w:name w:val="List Paragraph"/>
    <w:basedOn w:val="a"/>
    <w:uiPriority w:val="34"/>
    <w:qFormat/>
    <w:rsid w:val="00D064B0"/>
    <w:pPr>
      <w:ind w:firstLine="420"/>
    </w:pPr>
  </w:style>
  <w:style w:type="character" w:styleId="af6">
    <w:name w:val="line number"/>
    <w:basedOn w:val="a0"/>
    <w:uiPriority w:val="99"/>
    <w:semiHidden/>
    <w:unhideWhenUsed/>
    <w:rsid w:val="00916CEF"/>
  </w:style>
  <w:style w:type="paragraph" w:styleId="TOC">
    <w:name w:val="TOC Heading"/>
    <w:basedOn w:val="1"/>
    <w:next w:val="a"/>
    <w:uiPriority w:val="39"/>
    <w:unhideWhenUsed/>
    <w:qFormat/>
    <w:rsid w:val="00DE2007"/>
    <w:pPr>
      <w:widowControl/>
      <w:spacing w:before="480" w:after="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paragraph" w:customStyle="1" w:styleId="Default">
    <w:name w:val="Default"/>
    <w:rsid w:val="00116E3B"/>
    <w:pPr>
      <w:widowControl w:val="0"/>
      <w:autoSpaceDE w:val="0"/>
      <w:autoSpaceDN w:val="0"/>
      <w:adjustRightInd w:val="0"/>
    </w:pPr>
    <w:rPr>
      <w:rFonts w:ascii="黑体" w:hAnsi="黑体" w:cs="黑体"/>
      <w:color w:val="000000"/>
      <w:kern w:val="0"/>
      <w:sz w:val="24"/>
      <w:szCs w:val="24"/>
    </w:rPr>
  </w:style>
  <w:style w:type="table" w:styleId="af7">
    <w:name w:val="Table Grid"/>
    <w:basedOn w:val="a1"/>
    <w:uiPriority w:val="59"/>
    <w:rsid w:val="009D23F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HTML Preformatted"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正文文字"/>
    <w:qFormat/>
    <w:rsid w:val="00CA5BD9"/>
    <w:pPr>
      <w:spacing w:line="400" w:lineRule="exact"/>
      <w:ind w:firstLineChars="200" w:firstLine="200"/>
      <w:jc w:val="both"/>
    </w:pPr>
    <w:rPr>
      <w:rFonts w:ascii="Times New Roman" w:hAnsi="Times New Roman" w:cs="Times New Roman"/>
      <w:kern w:val="0"/>
      <w:sz w:val="24"/>
    </w:rPr>
  </w:style>
  <w:style w:type="paragraph" w:styleId="1">
    <w:name w:val="heading 1"/>
    <w:basedOn w:val="a"/>
    <w:next w:val="a"/>
    <w:link w:val="1Char"/>
    <w:qFormat/>
    <w:rsid w:val="00DE2007"/>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Char"/>
    <w:qFormat/>
    <w:rsid w:val="00F246B2"/>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link w:val="3Char"/>
    <w:qFormat/>
    <w:rsid w:val="00F246B2"/>
    <w:pPr>
      <w:keepNext/>
      <w:keepLines/>
      <w:widowControl w:val="0"/>
      <w:spacing w:before="240" w:after="120"/>
      <w:ind w:firstLineChars="0" w:firstLine="0"/>
      <w:outlineLvl w:val="2"/>
    </w:pPr>
    <w:rPr>
      <w:rFonts w:ascii="黑体" w:eastAsia="黑体" w:hAnsi="黑体"/>
      <w:kern w:val="2"/>
      <w:sz w:val="26"/>
      <w:szCs w:val="20"/>
    </w:rPr>
  </w:style>
  <w:style w:type="paragraph" w:styleId="4">
    <w:name w:val="heading 4"/>
    <w:basedOn w:val="a"/>
    <w:next w:val="a"/>
    <w:link w:val="4Char"/>
    <w:qFormat/>
    <w:rsid w:val="00D20C26"/>
    <w:pPr>
      <w:keepNext/>
      <w:widowControl w:val="0"/>
      <w:spacing w:before="240" w:after="120"/>
      <w:ind w:firstLineChars="0" w:firstLine="0"/>
      <w:jc w:val="left"/>
      <w:outlineLvl w:val="3"/>
    </w:pPr>
    <w:rPr>
      <w:rFonts w:ascii="黑体" w:eastAsia="黑体" w:hAnsi="黑体"/>
      <w:kern w:val="2"/>
      <w:szCs w:val="20"/>
    </w:rPr>
  </w:style>
  <w:style w:type="paragraph" w:styleId="5">
    <w:name w:val="heading 5"/>
    <w:aliases w:val="表题"/>
    <w:basedOn w:val="a"/>
    <w:next w:val="a"/>
    <w:link w:val="5Char"/>
    <w:qFormat/>
    <w:rsid w:val="000A37CC"/>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aliases w:val="图题"/>
    <w:basedOn w:val="a"/>
    <w:next w:val="a"/>
    <w:link w:val="6Char"/>
    <w:uiPriority w:val="9"/>
    <w:unhideWhenUsed/>
    <w:qFormat/>
    <w:rsid w:val="00BA692F"/>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11A2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11A22"/>
    <w:rPr>
      <w:rFonts w:ascii="Times New Roman" w:hAnsi="Times New Roman" w:cs="Times New Roman"/>
      <w:kern w:val="0"/>
      <w:sz w:val="18"/>
      <w:szCs w:val="18"/>
    </w:rPr>
  </w:style>
  <w:style w:type="paragraph" w:styleId="a4">
    <w:name w:val="footer"/>
    <w:basedOn w:val="a"/>
    <w:link w:val="Char0"/>
    <w:uiPriority w:val="99"/>
    <w:unhideWhenUsed/>
    <w:rsid w:val="00911A22"/>
    <w:pPr>
      <w:tabs>
        <w:tab w:val="center" w:pos="4153"/>
        <w:tab w:val="right" w:pos="8306"/>
      </w:tabs>
      <w:snapToGrid w:val="0"/>
    </w:pPr>
    <w:rPr>
      <w:sz w:val="18"/>
      <w:szCs w:val="18"/>
    </w:rPr>
  </w:style>
  <w:style w:type="character" w:customStyle="1" w:styleId="Char0">
    <w:name w:val="页脚 Char"/>
    <w:basedOn w:val="a0"/>
    <w:link w:val="a4"/>
    <w:uiPriority w:val="99"/>
    <w:rsid w:val="00911A22"/>
    <w:rPr>
      <w:rFonts w:ascii="Times New Roman" w:hAnsi="Times New Roman" w:cs="Times New Roman"/>
      <w:kern w:val="0"/>
      <w:sz w:val="18"/>
      <w:szCs w:val="18"/>
    </w:rPr>
  </w:style>
  <w:style w:type="character" w:customStyle="1" w:styleId="1Char">
    <w:name w:val="标题 1 Char"/>
    <w:basedOn w:val="a0"/>
    <w:link w:val="1"/>
    <w:rsid w:val="00DE2007"/>
    <w:rPr>
      <w:rFonts w:ascii="黑体" w:eastAsia="黑体" w:hAnsi="宋体" w:cs="Times New Roman"/>
      <w:sz w:val="30"/>
      <w:szCs w:val="20"/>
    </w:rPr>
  </w:style>
  <w:style w:type="character" w:customStyle="1" w:styleId="2Char">
    <w:name w:val="标题 2 Char"/>
    <w:basedOn w:val="a0"/>
    <w:link w:val="2"/>
    <w:rsid w:val="00F246B2"/>
    <w:rPr>
      <w:rFonts w:ascii="黑体" w:eastAsia="黑体" w:hAnsi="黑体" w:cs="Times New Roman"/>
      <w:sz w:val="28"/>
      <w:szCs w:val="20"/>
    </w:rPr>
  </w:style>
  <w:style w:type="character" w:customStyle="1" w:styleId="3Char">
    <w:name w:val="标题 3 Char"/>
    <w:basedOn w:val="a0"/>
    <w:link w:val="3"/>
    <w:rsid w:val="00F246B2"/>
    <w:rPr>
      <w:rFonts w:ascii="黑体" w:eastAsia="黑体" w:hAnsi="黑体" w:cs="Times New Roman"/>
      <w:sz w:val="26"/>
      <w:szCs w:val="20"/>
    </w:rPr>
  </w:style>
  <w:style w:type="character" w:customStyle="1" w:styleId="4Char">
    <w:name w:val="标题 4 Char"/>
    <w:basedOn w:val="a0"/>
    <w:link w:val="4"/>
    <w:rsid w:val="00D20C26"/>
    <w:rPr>
      <w:rFonts w:ascii="黑体" w:eastAsia="黑体" w:hAnsi="黑体" w:cs="Times New Roman"/>
      <w:sz w:val="24"/>
      <w:szCs w:val="20"/>
    </w:rPr>
  </w:style>
  <w:style w:type="character" w:customStyle="1" w:styleId="5Char">
    <w:name w:val="标题 5 Char"/>
    <w:aliases w:val="表题 Char"/>
    <w:basedOn w:val="a0"/>
    <w:link w:val="5"/>
    <w:rsid w:val="000A37CC"/>
    <w:rPr>
      <w:rFonts w:ascii="黑体" w:eastAsia="黑体" w:hAnsi="黑体" w:cs="Times New Roman"/>
      <w:sz w:val="22"/>
      <w:szCs w:val="20"/>
    </w:rPr>
  </w:style>
  <w:style w:type="character" w:styleId="a5">
    <w:name w:val="Hyperlink"/>
    <w:uiPriority w:val="99"/>
    <w:rsid w:val="00191881"/>
    <w:rPr>
      <w:color w:val="0000FF"/>
      <w:u w:val="single"/>
    </w:rPr>
  </w:style>
  <w:style w:type="character" w:styleId="a6">
    <w:name w:val="page number"/>
    <w:basedOn w:val="a0"/>
    <w:rsid w:val="00191881"/>
  </w:style>
  <w:style w:type="paragraph" w:styleId="a7">
    <w:name w:val="caption"/>
    <w:aliases w:val="表注"/>
    <w:basedOn w:val="a"/>
    <w:next w:val="a"/>
    <w:qFormat/>
    <w:rsid w:val="000A37CC"/>
    <w:pPr>
      <w:widowControl w:val="0"/>
      <w:spacing w:before="60" w:after="60"/>
      <w:ind w:firstLineChars="0" w:firstLine="0"/>
    </w:pPr>
    <w:rPr>
      <w:kern w:val="2"/>
      <w:sz w:val="21"/>
      <w:szCs w:val="20"/>
    </w:rPr>
  </w:style>
  <w:style w:type="paragraph" w:styleId="a8">
    <w:name w:val="Balloon Text"/>
    <w:basedOn w:val="a"/>
    <w:link w:val="Char1"/>
    <w:rsid w:val="00191881"/>
    <w:pPr>
      <w:widowControl w:val="0"/>
    </w:pPr>
    <w:rPr>
      <w:rFonts w:eastAsia="宋体"/>
      <w:kern w:val="2"/>
      <w:sz w:val="18"/>
      <w:szCs w:val="20"/>
    </w:rPr>
  </w:style>
  <w:style w:type="character" w:customStyle="1" w:styleId="Char1">
    <w:name w:val="批注框文本 Char"/>
    <w:basedOn w:val="a0"/>
    <w:link w:val="a8"/>
    <w:rsid w:val="00191881"/>
    <w:rPr>
      <w:rFonts w:ascii="Times New Roman" w:eastAsia="宋体" w:hAnsi="Times New Roman" w:cs="Times New Roman"/>
      <w:sz w:val="18"/>
      <w:szCs w:val="20"/>
    </w:rPr>
  </w:style>
  <w:style w:type="paragraph" w:styleId="20">
    <w:name w:val="toc 2"/>
    <w:basedOn w:val="a"/>
    <w:next w:val="a"/>
    <w:uiPriority w:val="39"/>
    <w:qFormat/>
    <w:rsid w:val="00191881"/>
    <w:pPr>
      <w:widowControl w:val="0"/>
      <w:ind w:left="210"/>
      <w:jc w:val="left"/>
    </w:pPr>
    <w:rPr>
      <w:rFonts w:eastAsia="宋体"/>
      <w:smallCaps/>
      <w:kern w:val="2"/>
      <w:sz w:val="20"/>
      <w:szCs w:val="20"/>
    </w:rPr>
  </w:style>
  <w:style w:type="paragraph" w:styleId="a9">
    <w:name w:val="Date"/>
    <w:basedOn w:val="a"/>
    <w:next w:val="a"/>
    <w:link w:val="Char2"/>
    <w:rsid w:val="00191881"/>
    <w:pPr>
      <w:widowControl w:val="0"/>
      <w:ind w:leftChars="2500" w:left="100"/>
    </w:pPr>
    <w:rPr>
      <w:rFonts w:eastAsia="宋体"/>
      <w:kern w:val="2"/>
      <w:szCs w:val="20"/>
    </w:rPr>
  </w:style>
  <w:style w:type="character" w:customStyle="1" w:styleId="Char2">
    <w:name w:val="日期 Char"/>
    <w:basedOn w:val="a0"/>
    <w:link w:val="a9"/>
    <w:rsid w:val="00191881"/>
    <w:rPr>
      <w:rFonts w:ascii="Times New Roman" w:eastAsia="宋体" w:hAnsi="Times New Roman" w:cs="Times New Roman"/>
      <w:sz w:val="24"/>
      <w:szCs w:val="20"/>
    </w:rPr>
  </w:style>
  <w:style w:type="paragraph" w:styleId="aa">
    <w:name w:val="Body Text Indent"/>
    <w:basedOn w:val="a"/>
    <w:link w:val="Char3"/>
    <w:rsid w:val="00191881"/>
    <w:pPr>
      <w:widowControl w:val="0"/>
      <w:spacing w:beforeLines="50" w:before="156" w:afterLines="50" w:after="156" w:line="360" w:lineRule="exact"/>
      <w:ind w:firstLine="480"/>
    </w:pPr>
    <w:rPr>
      <w:rFonts w:eastAsia="宋体"/>
      <w:kern w:val="2"/>
      <w:szCs w:val="20"/>
    </w:rPr>
  </w:style>
  <w:style w:type="character" w:customStyle="1" w:styleId="Char3">
    <w:name w:val="正文文本缩进 Char"/>
    <w:basedOn w:val="a0"/>
    <w:link w:val="aa"/>
    <w:rsid w:val="00191881"/>
    <w:rPr>
      <w:rFonts w:ascii="Times New Roman" w:eastAsia="宋体" w:hAnsi="Times New Roman" w:cs="Times New Roman"/>
      <w:sz w:val="24"/>
      <w:szCs w:val="20"/>
    </w:rPr>
  </w:style>
  <w:style w:type="paragraph" w:styleId="ab">
    <w:name w:val="Normal (Web)"/>
    <w:basedOn w:val="a"/>
    <w:rsid w:val="00191881"/>
    <w:pPr>
      <w:spacing w:before="100" w:beforeAutospacing="1" w:after="100" w:afterAutospacing="1"/>
      <w:jc w:val="left"/>
    </w:pPr>
    <w:rPr>
      <w:rFonts w:ascii="宋体" w:eastAsia="宋体" w:hAnsi="宋体"/>
      <w:szCs w:val="20"/>
    </w:rPr>
  </w:style>
  <w:style w:type="paragraph" w:styleId="21">
    <w:name w:val="Body Text Indent 2"/>
    <w:basedOn w:val="a"/>
    <w:link w:val="2Char0"/>
    <w:rsid w:val="00191881"/>
    <w:pPr>
      <w:widowControl w:val="0"/>
      <w:spacing w:beforeLines="50" w:before="156" w:afterLines="50" w:after="156" w:line="360" w:lineRule="exact"/>
      <w:ind w:left="561" w:firstLine="480"/>
    </w:pPr>
    <w:rPr>
      <w:rFonts w:eastAsia="宋体"/>
      <w:kern w:val="2"/>
      <w:szCs w:val="20"/>
    </w:rPr>
  </w:style>
  <w:style w:type="character" w:customStyle="1" w:styleId="2Char0">
    <w:name w:val="正文文本缩进 2 Char"/>
    <w:basedOn w:val="a0"/>
    <w:link w:val="21"/>
    <w:rsid w:val="00191881"/>
    <w:rPr>
      <w:rFonts w:ascii="Times New Roman" w:eastAsia="宋体" w:hAnsi="Times New Roman" w:cs="Times New Roman"/>
      <w:sz w:val="24"/>
      <w:szCs w:val="20"/>
    </w:rPr>
  </w:style>
  <w:style w:type="paragraph" w:styleId="ac">
    <w:name w:val="Body Text"/>
    <w:basedOn w:val="a"/>
    <w:link w:val="Char4"/>
    <w:rsid w:val="00191881"/>
    <w:pPr>
      <w:widowControl w:val="0"/>
      <w:spacing w:after="120"/>
    </w:pPr>
    <w:rPr>
      <w:rFonts w:eastAsia="宋体"/>
      <w:kern w:val="2"/>
      <w:szCs w:val="20"/>
    </w:rPr>
  </w:style>
  <w:style w:type="character" w:customStyle="1" w:styleId="Char4">
    <w:name w:val="正文文本 Char"/>
    <w:basedOn w:val="a0"/>
    <w:link w:val="ac"/>
    <w:rsid w:val="00191881"/>
    <w:rPr>
      <w:rFonts w:ascii="Times New Roman" w:eastAsia="宋体" w:hAnsi="Times New Roman" w:cs="Times New Roman"/>
      <w:sz w:val="24"/>
      <w:szCs w:val="20"/>
    </w:rPr>
  </w:style>
  <w:style w:type="paragraph" w:styleId="10">
    <w:name w:val="toc 1"/>
    <w:basedOn w:val="a"/>
    <w:next w:val="a"/>
    <w:uiPriority w:val="39"/>
    <w:qFormat/>
    <w:rsid w:val="00191881"/>
    <w:pPr>
      <w:widowControl w:val="0"/>
      <w:spacing w:before="120" w:after="120"/>
      <w:jc w:val="left"/>
    </w:pPr>
    <w:rPr>
      <w:rFonts w:eastAsia="宋体"/>
      <w:b/>
      <w:bCs/>
      <w:caps/>
      <w:kern w:val="2"/>
      <w:sz w:val="20"/>
      <w:szCs w:val="20"/>
    </w:rPr>
  </w:style>
  <w:style w:type="paragraph" w:styleId="ad">
    <w:name w:val="Plain Text"/>
    <w:basedOn w:val="a"/>
    <w:link w:val="Char5"/>
    <w:rsid w:val="00191881"/>
    <w:pPr>
      <w:widowControl w:val="0"/>
    </w:pPr>
    <w:rPr>
      <w:rFonts w:ascii="宋体" w:eastAsia="宋体" w:hAnsi="Courier New" w:hint="eastAsia"/>
      <w:kern w:val="2"/>
      <w:szCs w:val="20"/>
    </w:rPr>
  </w:style>
  <w:style w:type="character" w:customStyle="1" w:styleId="Char5">
    <w:name w:val="纯文本 Char"/>
    <w:basedOn w:val="a0"/>
    <w:link w:val="ad"/>
    <w:rsid w:val="00191881"/>
    <w:rPr>
      <w:rFonts w:ascii="宋体" w:eastAsia="宋体" w:hAnsi="Courier New" w:cs="Times New Roman"/>
      <w:sz w:val="24"/>
      <w:szCs w:val="20"/>
    </w:rPr>
  </w:style>
  <w:style w:type="paragraph" w:customStyle="1" w:styleId="11">
    <w:name w:val="样式1"/>
    <w:basedOn w:val="a"/>
    <w:link w:val="1Char0"/>
    <w:autoRedefine/>
    <w:rsid w:val="00191881"/>
    <w:pPr>
      <w:widowControl w:val="0"/>
      <w:tabs>
        <w:tab w:val="left" w:pos="4500"/>
      </w:tabs>
      <w:spacing w:beforeLines="50" w:before="120" w:afterLines="50" w:after="120"/>
      <w:ind w:firstLine="504"/>
      <w:jc w:val="left"/>
      <w:outlineLvl w:val="1"/>
    </w:pPr>
    <w:rPr>
      <w:rFonts w:ascii="仿宋_GB2312" w:eastAsia="仿宋_GB2312"/>
      <w:bCs/>
      <w:spacing w:val="6"/>
      <w:kern w:val="22"/>
      <w:szCs w:val="24"/>
    </w:rPr>
  </w:style>
  <w:style w:type="character" w:customStyle="1" w:styleId="1Char0">
    <w:name w:val="样式1 Char"/>
    <w:link w:val="11"/>
    <w:rsid w:val="00191881"/>
    <w:rPr>
      <w:rFonts w:ascii="仿宋_GB2312" w:eastAsia="仿宋_GB2312" w:hAnsi="Times New Roman" w:cs="Times New Roman"/>
      <w:bCs/>
      <w:spacing w:val="6"/>
      <w:kern w:val="22"/>
      <w:sz w:val="24"/>
      <w:szCs w:val="24"/>
    </w:rPr>
  </w:style>
  <w:style w:type="paragraph" w:styleId="30">
    <w:name w:val="toc 3"/>
    <w:basedOn w:val="a"/>
    <w:next w:val="a"/>
    <w:autoRedefine/>
    <w:uiPriority w:val="39"/>
    <w:qFormat/>
    <w:rsid w:val="00191881"/>
    <w:pPr>
      <w:widowControl w:val="0"/>
      <w:ind w:left="420"/>
      <w:jc w:val="left"/>
    </w:pPr>
    <w:rPr>
      <w:rFonts w:eastAsia="宋体"/>
      <w:i/>
      <w:iCs/>
      <w:kern w:val="2"/>
      <w:sz w:val="20"/>
      <w:szCs w:val="20"/>
    </w:rPr>
  </w:style>
  <w:style w:type="paragraph" w:styleId="40">
    <w:name w:val="toc 4"/>
    <w:basedOn w:val="a"/>
    <w:next w:val="a"/>
    <w:autoRedefine/>
    <w:semiHidden/>
    <w:rsid w:val="00191881"/>
    <w:pPr>
      <w:widowControl w:val="0"/>
      <w:ind w:left="630"/>
      <w:jc w:val="left"/>
    </w:pPr>
    <w:rPr>
      <w:rFonts w:eastAsia="宋体"/>
      <w:kern w:val="2"/>
      <w:sz w:val="18"/>
      <w:szCs w:val="18"/>
    </w:rPr>
  </w:style>
  <w:style w:type="paragraph" w:styleId="50">
    <w:name w:val="toc 5"/>
    <w:basedOn w:val="a"/>
    <w:next w:val="a"/>
    <w:autoRedefine/>
    <w:semiHidden/>
    <w:rsid w:val="00191881"/>
    <w:pPr>
      <w:widowControl w:val="0"/>
      <w:ind w:left="840"/>
      <w:jc w:val="left"/>
    </w:pPr>
    <w:rPr>
      <w:rFonts w:eastAsia="宋体"/>
      <w:kern w:val="2"/>
      <w:sz w:val="18"/>
      <w:szCs w:val="18"/>
    </w:rPr>
  </w:style>
  <w:style w:type="paragraph" w:styleId="60">
    <w:name w:val="toc 6"/>
    <w:basedOn w:val="a"/>
    <w:next w:val="a"/>
    <w:autoRedefine/>
    <w:semiHidden/>
    <w:rsid w:val="00191881"/>
    <w:pPr>
      <w:widowControl w:val="0"/>
      <w:ind w:left="1050"/>
      <w:jc w:val="left"/>
    </w:pPr>
    <w:rPr>
      <w:rFonts w:eastAsia="宋体"/>
      <w:kern w:val="2"/>
      <w:sz w:val="18"/>
      <w:szCs w:val="18"/>
    </w:rPr>
  </w:style>
  <w:style w:type="paragraph" w:styleId="7">
    <w:name w:val="toc 7"/>
    <w:basedOn w:val="a"/>
    <w:next w:val="a"/>
    <w:autoRedefine/>
    <w:semiHidden/>
    <w:rsid w:val="00191881"/>
    <w:pPr>
      <w:widowControl w:val="0"/>
      <w:ind w:left="1260"/>
      <w:jc w:val="left"/>
    </w:pPr>
    <w:rPr>
      <w:rFonts w:eastAsia="宋体"/>
      <w:kern w:val="2"/>
      <w:sz w:val="18"/>
      <w:szCs w:val="18"/>
    </w:rPr>
  </w:style>
  <w:style w:type="paragraph" w:styleId="8">
    <w:name w:val="toc 8"/>
    <w:basedOn w:val="a"/>
    <w:next w:val="a"/>
    <w:autoRedefine/>
    <w:semiHidden/>
    <w:rsid w:val="00191881"/>
    <w:pPr>
      <w:widowControl w:val="0"/>
      <w:ind w:left="1470"/>
      <w:jc w:val="left"/>
    </w:pPr>
    <w:rPr>
      <w:rFonts w:eastAsia="宋体"/>
      <w:kern w:val="2"/>
      <w:sz w:val="18"/>
      <w:szCs w:val="18"/>
    </w:rPr>
  </w:style>
  <w:style w:type="paragraph" w:styleId="9">
    <w:name w:val="toc 9"/>
    <w:basedOn w:val="a"/>
    <w:next w:val="a"/>
    <w:autoRedefine/>
    <w:semiHidden/>
    <w:rsid w:val="00191881"/>
    <w:pPr>
      <w:widowControl w:val="0"/>
      <w:ind w:left="1680"/>
      <w:jc w:val="left"/>
    </w:pPr>
    <w:rPr>
      <w:rFonts w:eastAsia="宋体"/>
      <w:kern w:val="2"/>
      <w:sz w:val="18"/>
      <w:szCs w:val="18"/>
    </w:rPr>
  </w:style>
  <w:style w:type="paragraph" w:customStyle="1" w:styleId="CharChar">
    <w:name w:val="Char Char"/>
    <w:basedOn w:val="a"/>
    <w:autoRedefine/>
    <w:rsid w:val="00191881"/>
    <w:pPr>
      <w:spacing w:after="160" w:line="240" w:lineRule="exact"/>
      <w:jc w:val="left"/>
    </w:pPr>
    <w:rPr>
      <w:rFonts w:ascii="Verdana" w:eastAsia="仿宋_GB2312" w:hAnsi="Verdana"/>
      <w:sz w:val="30"/>
      <w:szCs w:val="30"/>
      <w:lang w:eastAsia="en-US"/>
    </w:rPr>
  </w:style>
  <w:style w:type="paragraph" w:styleId="HTML">
    <w:name w:val="HTML Preformatted"/>
    <w:basedOn w:val="a"/>
    <w:link w:val="HTMLChar"/>
    <w:rsid w:val="00191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Cs w:val="24"/>
    </w:rPr>
  </w:style>
  <w:style w:type="character" w:customStyle="1" w:styleId="HTMLChar">
    <w:name w:val="HTML 预设格式 Char"/>
    <w:basedOn w:val="a0"/>
    <w:link w:val="HTML"/>
    <w:rsid w:val="00191881"/>
    <w:rPr>
      <w:rFonts w:ascii="宋体" w:eastAsia="宋体" w:hAnsi="宋体" w:cs="宋体"/>
      <w:kern w:val="0"/>
      <w:sz w:val="24"/>
      <w:szCs w:val="24"/>
    </w:rPr>
  </w:style>
  <w:style w:type="character" w:customStyle="1" w:styleId="answer-collapse-content">
    <w:name w:val="answer-collapse-content"/>
    <w:rsid w:val="00191881"/>
  </w:style>
  <w:style w:type="paragraph" w:styleId="ae">
    <w:name w:val="footnote text"/>
    <w:basedOn w:val="a"/>
    <w:link w:val="Char6"/>
    <w:rsid w:val="00191881"/>
    <w:pPr>
      <w:widowControl w:val="0"/>
      <w:snapToGrid w:val="0"/>
      <w:jc w:val="left"/>
    </w:pPr>
    <w:rPr>
      <w:rFonts w:eastAsia="宋体"/>
      <w:kern w:val="2"/>
      <w:sz w:val="18"/>
      <w:szCs w:val="18"/>
    </w:rPr>
  </w:style>
  <w:style w:type="character" w:customStyle="1" w:styleId="Char6">
    <w:name w:val="脚注文本 Char"/>
    <w:basedOn w:val="a0"/>
    <w:link w:val="ae"/>
    <w:rsid w:val="00191881"/>
    <w:rPr>
      <w:rFonts w:ascii="Times New Roman" w:eastAsia="宋体" w:hAnsi="Times New Roman" w:cs="Times New Roman"/>
      <w:sz w:val="18"/>
      <w:szCs w:val="18"/>
    </w:rPr>
  </w:style>
  <w:style w:type="character" w:styleId="af">
    <w:name w:val="footnote reference"/>
    <w:rsid w:val="00191881"/>
    <w:rPr>
      <w:vertAlign w:val="superscript"/>
    </w:rPr>
  </w:style>
  <w:style w:type="character" w:customStyle="1" w:styleId="answer-expand-content">
    <w:name w:val="answer-expand-content"/>
    <w:rsid w:val="00191881"/>
  </w:style>
  <w:style w:type="paragraph" w:customStyle="1" w:styleId="reader-word-layerreader-word-s4-9">
    <w:name w:val="reader-word-layer reader-word-s4-9"/>
    <w:basedOn w:val="a"/>
    <w:rsid w:val="00191881"/>
    <w:pPr>
      <w:spacing w:before="100" w:beforeAutospacing="1" w:after="100" w:afterAutospacing="1"/>
      <w:jc w:val="left"/>
    </w:pPr>
    <w:rPr>
      <w:rFonts w:ascii="宋体" w:eastAsia="宋体" w:hAnsi="宋体" w:cs="宋体"/>
      <w:szCs w:val="24"/>
    </w:rPr>
  </w:style>
  <w:style w:type="paragraph" w:customStyle="1" w:styleId="reader-word-layerreader-word-s3-4">
    <w:name w:val="reader-word-layer reader-word-s3-4"/>
    <w:basedOn w:val="a"/>
    <w:rsid w:val="00191881"/>
    <w:pPr>
      <w:spacing w:before="100" w:beforeAutospacing="1" w:after="100" w:afterAutospacing="1"/>
      <w:jc w:val="left"/>
    </w:pPr>
    <w:rPr>
      <w:rFonts w:ascii="宋体" w:eastAsia="宋体" w:hAnsi="宋体" w:cs="宋体"/>
      <w:szCs w:val="24"/>
    </w:rPr>
  </w:style>
  <w:style w:type="paragraph" w:styleId="af0">
    <w:name w:val="No Spacing"/>
    <w:link w:val="Char7"/>
    <w:uiPriority w:val="1"/>
    <w:qFormat/>
    <w:rsid w:val="00191881"/>
    <w:rPr>
      <w:rFonts w:ascii="Calibri" w:eastAsia="宋体" w:hAnsi="Calibri" w:cs="Times New Roman"/>
      <w:kern w:val="0"/>
      <w:sz w:val="22"/>
    </w:rPr>
  </w:style>
  <w:style w:type="character" w:customStyle="1" w:styleId="Char7">
    <w:name w:val="无间隔 Char"/>
    <w:link w:val="af0"/>
    <w:uiPriority w:val="1"/>
    <w:rsid w:val="00191881"/>
    <w:rPr>
      <w:rFonts w:ascii="Calibri" w:eastAsia="宋体" w:hAnsi="Calibri" w:cs="Times New Roman"/>
      <w:kern w:val="0"/>
      <w:sz w:val="22"/>
    </w:rPr>
  </w:style>
  <w:style w:type="character" w:styleId="af1">
    <w:name w:val="annotation reference"/>
    <w:uiPriority w:val="99"/>
    <w:rsid w:val="00191881"/>
    <w:rPr>
      <w:sz w:val="21"/>
      <w:szCs w:val="21"/>
    </w:rPr>
  </w:style>
  <w:style w:type="paragraph" w:styleId="af2">
    <w:name w:val="annotation text"/>
    <w:basedOn w:val="a"/>
    <w:link w:val="Char8"/>
    <w:rsid w:val="00191881"/>
    <w:pPr>
      <w:widowControl w:val="0"/>
      <w:jc w:val="left"/>
    </w:pPr>
    <w:rPr>
      <w:rFonts w:eastAsia="宋体"/>
      <w:kern w:val="2"/>
      <w:szCs w:val="20"/>
    </w:rPr>
  </w:style>
  <w:style w:type="character" w:customStyle="1" w:styleId="Char8">
    <w:name w:val="批注文字 Char"/>
    <w:basedOn w:val="a0"/>
    <w:link w:val="af2"/>
    <w:rsid w:val="00191881"/>
    <w:rPr>
      <w:rFonts w:ascii="Times New Roman" w:eastAsia="宋体" w:hAnsi="Times New Roman" w:cs="Times New Roman"/>
      <w:sz w:val="24"/>
      <w:szCs w:val="20"/>
    </w:rPr>
  </w:style>
  <w:style w:type="paragraph" w:styleId="af3">
    <w:name w:val="annotation subject"/>
    <w:basedOn w:val="af2"/>
    <w:next w:val="af2"/>
    <w:link w:val="Char9"/>
    <w:rsid w:val="00191881"/>
    <w:rPr>
      <w:b/>
      <w:bCs/>
    </w:rPr>
  </w:style>
  <w:style w:type="character" w:customStyle="1" w:styleId="Char9">
    <w:name w:val="批注主题 Char"/>
    <w:basedOn w:val="Char8"/>
    <w:link w:val="af3"/>
    <w:rsid w:val="00191881"/>
    <w:rPr>
      <w:rFonts w:ascii="Times New Roman" w:eastAsia="宋体" w:hAnsi="Times New Roman" w:cs="Times New Roman"/>
      <w:b/>
      <w:bCs/>
      <w:sz w:val="24"/>
      <w:szCs w:val="20"/>
    </w:rPr>
  </w:style>
  <w:style w:type="character" w:customStyle="1" w:styleId="6Char">
    <w:name w:val="标题 6 Char"/>
    <w:aliases w:val="图题 Char"/>
    <w:basedOn w:val="a0"/>
    <w:link w:val="6"/>
    <w:uiPriority w:val="9"/>
    <w:rsid w:val="00BA692F"/>
    <w:rPr>
      <w:rFonts w:ascii="Times New Roman" w:eastAsia="黑体" w:hAnsi="Times New Roman" w:cstheme="majorBidi"/>
      <w:bCs/>
      <w:kern w:val="0"/>
      <w:sz w:val="22"/>
      <w:szCs w:val="24"/>
    </w:rPr>
  </w:style>
  <w:style w:type="paragraph" w:styleId="af4">
    <w:name w:val="Quote"/>
    <w:aliases w:val="参考文献"/>
    <w:basedOn w:val="a"/>
    <w:next w:val="a"/>
    <w:link w:val="Chara"/>
    <w:uiPriority w:val="29"/>
    <w:qFormat/>
    <w:rsid w:val="00AA1A6F"/>
    <w:pPr>
      <w:spacing w:before="60" w:line="320" w:lineRule="exact"/>
      <w:ind w:firstLineChars="0" w:firstLine="0"/>
    </w:pPr>
    <w:rPr>
      <w:iCs/>
      <w:color w:val="000000" w:themeColor="text1"/>
      <w:sz w:val="21"/>
    </w:rPr>
  </w:style>
  <w:style w:type="character" w:customStyle="1" w:styleId="Chara">
    <w:name w:val="引用 Char"/>
    <w:aliases w:val="参考文献 Char"/>
    <w:basedOn w:val="a0"/>
    <w:link w:val="af4"/>
    <w:uiPriority w:val="29"/>
    <w:rsid w:val="00AA1A6F"/>
    <w:rPr>
      <w:rFonts w:ascii="Times New Roman" w:hAnsi="Times New Roman" w:cs="Times New Roman"/>
      <w:iCs/>
      <w:color w:val="000000" w:themeColor="text1"/>
      <w:kern w:val="0"/>
    </w:rPr>
  </w:style>
  <w:style w:type="paragraph" w:styleId="af5">
    <w:name w:val="List Paragraph"/>
    <w:basedOn w:val="a"/>
    <w:uiPriority w:val="34"/>
    <w:qFormat/>
    <w:rsid w:val="00D064B0"/>
    <w:pPr>
      <w:ind w:firstLine="420"/>
    </w:pPr>
  </w:style>
  <w:style w:type="character" w:styleId="af6">
    <w:name w:val="line number"/>
    <w:basedOn w:val="a0"/>
    <w:uiPriority w:val="99"/>
    <w:semiHidden/>
    <w:unhideWhenUsed/>
    <w:rsid w:val="00916CEF"/>
  </w:style>
  <w:style w:type="paragraph" w:styleId="TOC">
    <w:name w:val="TOC Heading"/>
    <w:basedOn w:val="1"/>
    <w:next w:val="a"/>
    <w:uiPriority w:val="39"/>
    <w:unhideWhenUsed/>
    <w:qFormat/>
    <w:rsid w:val="00DE2007"/>
    <w:pPr>
      <w:widowControl/>
      <w:spacing w:before="480" w:after="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paragraph" w:customStyle="1" w:styleId="Default">
    <w:name w:val="Default"/>
    <w:rsid w:val="00116E3B"/>
    <w:pPr>
      <w:widowControl w:val="0"/>
      <w:autoSpaceDE w:val="0"/>
      <w:autoSpaceDN w:val="0"/>
      <w:adjustRightInd w:val="0"/>
    </w:pPr>
    <w:rPr>
      <w:rFonts w:ascii="黑体" w:hAnsi="黑体" w:cs="黑体"/>
      <w:color w:val="000000"/>
      <w:kern w:val="0"/>
      <w:sz w:val="24"/>
      <w:szCs w:val="24"/>
    </w:rPr>
  </w:style>
  <w:style w:type="table" w:styleId="af7">
    <w:name w:val="Table Grid"/>
    <w:basedOn w:val="a1"/>
    <w:uiPriority w:val="59"/>
    <w:rsid w:val="009D23F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9538465">
      <w:bodyDiv w:val="1"/>
      <w:marLeft w:val="0"/>
      <w:marRight w:val="0"/>
      <w:marTop w:val="0"/>
      <w:marBottom w:val="0"/>
      <w:divBdr>
        <w:top w:val="none" w:sz="0" w:space="0" w:color="auto"/>
        <w:left w:val="none" w:sz="0" w:space="0" w:color="auto"/>
        <w:bottom w:val="none" w:sz="0" w:space="0" w:color="auto"/>
        <w:right w:val="none" w:sz="0" w:space="0" w:color="auto"/>
      </w:divBdr>
    </w:div>
    <w:div w:id="1070419091">
      <w:bodyDiv w:val="1"/>
      <w:marLeft w:val="0"/>
      <w:marRight w:val="0"/>
      <w:marTop w:val="0"/>
      <w:marBottom w:val="0"/>
      <w:divBdr>
        <w:top w:val="none" w:sz="0" w:space="0" w:color="auto"/>
        <w:left w:val="none" w:sz="0" w:space="0" w:color="auto"/>
        <w:bottom w:val="none" w:sz="0" w:space="0" w:color="auto"/>
        <w:right w:val="none" w:sz="0" w:space="0" w:color="auto"/>
      </w:divBdr>
      <w:divsChild>
        <w:div w:id="590506753">
          <w:marLeft w:val="0"/>
          <w:marRight w:val="0"/>
          <w:marTop w:val="0"/>
          <w:marBottom w:val="0"/>
          <w:divBdr>
            <w:top w:val="none" w:sz="0" w:space="0" w:color="auto"/>
            <w:left w:val="none" w:sz="0" w:space="0" w:color="auto"/>
            <w:bottom w:val="none" w:sz="0" w:space="0" w:color="auto"/>
            <w:right w:val="none" w:sz="0" w:space="0" w:color="auto"/>
          </w:divBdr>
        </w:div>
      </w:divsChild>
    </w:div>
    <w:div w:id="1077751086">
      <w:bodyDiv w:val="1"/>
      <w:marLeft w:val="0"/>
      <w:marRight w:val="0"/>
      <w:marTop w:val="0"/>
      <w:marBottom w:val="0"/>
      <w:divBdr>
        <w:top w:val="none" w:sz="0" w:space="0" w:color="auto"/>
        <w:left w:val="none" w:sz="0" w:space="0" w:color="auto"/>
        <w:bottom w:val="none" w:sz="0" w:space="0" w:color="auto"/>
        <w:right w:val="none" w:sz="0" w:space="0" w:color="auto"/>
      </w:divBdr>
    </w:div>
    <w:div w:id="1233853611">
      <w:bodyDiv w:val="1"/>
      <w:marLeft w:val="0"/>
      <w:marRight w:val="0"/>
      <w:marTop w:val="0"/>
      <w:marBottom w:val="0"/>
      <w:divBdr>
        <w:top w:val="none" w:sz="0" w:space="0" w:color="auto"/>
        <w:left w:val="none" w:sz="0" w:space="0" w:color="auto"/>
        <w:bottom w:val="none" w:sz="0" w:space="0" w:color="auto"/>
        <w:right w:val="none" w:sz="0" w:space="0" w:color="auto"/>
      </w:divBdr>
    </w:div>
    <w:div w:id="196295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4C521-ACE4-4F6B-AAD9-6F1B76E97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河北.dotx</Template>
  <TotalTime>9</TotalTime>
  <Pages>15</Pages>
  <Words>1017</Words>
  <Characters>5802</Characters>
  <Application>Microsoft Office Word</Application>
  <DocSecurity>0</DocSecurity>
  <Lines>48</Lines>
  <Paragraphs>13</Paragraphs>
  <ScaleCrop>false</ScaleCrop>
  <Company>china</Company>
  <LinksUpToDate>false</LinksUpToDate>
  <CharactersWithSpaces>6806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微软用户</cp:lastModifiedBy>
  <cp:revision>5</cp:revision>
  <cp:lastPrinted>2021-03-14T14:35:00Z</cp:lastPrinted>
  <dcterms:created xsi:type="dcterms:W3CDTF">2021-03-15T01:44:00Z</dcterms:created>
  <dcterms:modified xsi:type="dcterms:W3CDTF">2021-08-19T02:03:00Z</dcterms:modified>
</cp:coreProperties>
</file>