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5A8F" w:rsidRDefault="00BF5A8F" w:rsidP="000B201D">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Create a report in Microsoft Word, and answer the following questions:</w:t>
      </w:r>
    </w:p>
    <w:p w:rsidR="00BF5A8F" w:rsidRDefault="00BF5A8F" w:rsidP="00BF5A8F">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rsidR="00D06BB5" w:rsidRPr="000B201D" w:rsidRDefault="00D06BB5" w:rsidP="00094390">
      <w:pPr>
        <w:pStyle w:val="NormalWeb"/>
        <w:numPr>
          <w:ilvl w:val="2"/>
          <w:numId w:val="1"/>
        </w:numPr>
        <w:spacing w:before="150" w:beforeAutospacing="0" w:after="0" w:afterAutospacing="0" w:line="360" w:lineRule="atLeast"/>
        <w:rPr>
          <w:rFonts w:ascii="Roboto" w:hAnsi="Roboto"/>
          <w:color w:val="2B2B2B"/>
          <w:sz w:val="30"/>
          <w:szCs w:val="30"/>
        </w:rPr>
      </w:pPr>
      <w:r w:rsidRPr="000B201D">
        <w:rPr>
          <w:rFonts w:ascii="Roboto" w:hAnsi="Roboto"/>
          <w:color w:val="2B2B2B"/>
          <w:sz w:val="30"/>
          <w:szCs w:val="30"/>
        </w:rPr>
        <w:t>In parent categories t</w:t>
      </w:r>
      <w:r w:rsidR="00DB36E4" w:rsidRPr="000B201D">
        <w:rPr>
          <w:rFonts w:ascii="Roboto" w:hAnsi="Roboto"/>
          <w:color w:val="2B2B2B"/>
          <w:sz w:val="30"/>
          <w:szCs w:val="30"/>
        </w:rPr>
        <w:t xml:space="preserve">heater, film &amp; video, and music had the greatest number of successful funding. </w:t>
      </w:r>
      <w:r>
        <w:rPr>
          <w:noProof/>
        </w:rPr>
        <w:drawing>
          <wp:inline distT="0" distB="0" distL="0" distR="0" wp14:anchorId="752F2185" wp14:editId="34DAD610">
            <wp:extent cx="4594500" cy="2698400"/>
            <wp:effectExtent l="0" t="0" r="15875" b="6985"/>
            <wp:docPr id="820467374" name="Chart 1">
              <a:extLst xmlns:a="http://schemas.openxmlformats.org/drawingml/2006/main">
                <a:ext uri="{FF2B5EF4-FFF2-40B4-BE49-F238E27FC236}">
                  <a16:creationId xmlns:a16="http://schemas.microsoft.com/office/drawing/2014/main" id="{395C4694-4F4D-DE62-EE58-DEBE1C71CE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B36E4" w:rsidRDefault="00D06BB5" w:rsidP="00E97766">
      <w:pPr>
        <w:pStyle w:val="NormalWeb"/>
        <w:numPr>
          <w:ilvl w:val="2"/>
          <w:numId w:val="1"/>
        </w:numPr>
        <w:spacing w:before="150" w:beforeAutospacing="0" w:after="0" w:afterAutospacing="0" w:line="360" w:lineRule="atLeast"/>
        <w:ind w:left="1800"/>
        <w:rPr>
          <w:rFonts w:ascii="Roboto" w:hAnsi="Roboto"/>
          <w:color w:val="2B2B2B"/>
          <w:sz w:val="30"/>
          <w:szCs w:val="30"/>
        </w:rPr>
      </w:pPr>
      <w:r>
        <w:rPr>
          <w:rFonts w:ascii="Roboto" w:hAnsi="Roboto"/>
          <w:color w:val="2B2B2B"/>
          <w:sz w:val="30"/>
          <w:szCs w:val="30"/>
        </w:rPr>
        <w:t xml:space="preserve">In subcategories, play had the highest number of attempts at nearly 350 while all other categories had under 100. Plays had 187 successful </w:t>
      </w:r>
      <w:r w:rsidR="00D1422B">
        <w:rPr>
          <w:rFonts w:ascii="Roboto" w:hAnsi="Roboto"/>
          <w:color w:val="2B2B2B"/>
          <w:sz w:val="30"/>
          <w:szCs w:val="30"/>
        </w:rPr>
        <w:t>outcomes while all others had under 50.</w:t>
      </w:r>
    </w:p>
    <w:p w:rsidR="00D06BB5" w:rsidRDefault="00D06BB5" w:rsidP="00D06BB5">
      <w:pPr>
        <w:pStyle w:val="NormalWeb"/>
        <w:spacing w:before="150" w:beforeAutospacing="0" w:after="0" w:afterAutospacing="0" w:line="360" w:lineRule="atLeast"/>
        <w:ind w:left="1800"/>
        <w:rPr>
          <w:rFonts w:ascii="Roboto" w:hAnsi="Roboto"/>
          <w:color w:val="2B2B2B"/>
          <w:sz w:val="30"/>
          <w:szCs w:val="30"/>
        </w:rPr>
      </w:pPr>
      <w:r>
        <w:rPr>
          <w:noProof/>
        </w:rPr>
        <w:lastRenderedPageBreak/>
        <w:drawing>
          <wp:inline distT="0" distB="0" distL="0" distR="0" wp14:anchorId="563EA43D" wp14:editId="43E0E9D7">
            <wp:extent cx="5130800" cy="3615055"/>
            <wp:effectExtent l="0" t="0" r="12700" b="17145"/>
            <wp:docPr id="1855730158" name="Chart 1">
              <a:extLst xmlns:a="http://schemas.openxmlformats.org/drawingml/2006/main">
                <a:ext uri="{FF2B5EF4-FFF2-40B4-BE49-F238E27FC236}">
                  <a16:creationId xmlns:a16="http://schemas.microsoft.com/office/drawing/2014/main" id="{7CCE25EB-7B75-BAEC-BE0C-E99E7DBC56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06BB5" w:rsidRDefault="00D06BB5" w:rsidP="00D06BB5">
      <w:pPr>
        <w:pStyle w:val="NormalWeb"/>
        <w:numPr>
          <w:ilvl w:val="2"/>
          <w:numId w:val="1"/>
        </w:numPr>
        <w:spacing w:before="150" w:beforeAutospacing="0" w:after="0" w:afterAutospacing="0" w:line="360" w:lineRule="atLeast"/>
        <w:ind w:left="1800"/>
        <w:rPr>
          <w:rFonts w:ascii="Roboto" w:hAnsi="Roboto"/>
          <w:color w:val="2B2B2B"/>
          <w:sz w:val="30"/>
          <w:szCs w:val="30"/>
        </w:rPr>
      </w:pPr>
      <w:r>
        <w:rPr>
          <w:rFonts w:ascii="Roboto" w:hAnsi="Roboto"/>
          <w:color w:val="2B2B2B"/>
          <w:sz w:val="30"/>
          <w:szCs w:val="30"/>
        </w:rPr>
        <w:t xml:space="preserve">June and July are the best months for successful </w:t>
      </w:r>
      <w:r w:rsidR="000B201D">
        <w:rPr>
          <w:rFonts w:ascii="Roboto" w:hAnsi="Roboto"/>
          <w:color w:val="2B2B2B"/>
          <w:sz w:val="30"/>
          <w:szCs w:val="30"/>
        </w:rPr>
        <w:t>crowdfunding</w:t>
      </w:r>
      <w:r>
        <w:rPr>
          <w:rFonts w:ascii="Roboto" w:hAnsi="Roboto"/>
          <w:color w:val="2B2B2B"/>
          <w:sz w:val="30"/>
          <w:szCs w:val="30"/>
        </w:rPr>
        <w:t>. The rest of the months are generally similar.</w:t>
      </w:r>
    </w:p>
    <w:p w:rsidR="00D06BB5" w:rsidRPr="00D06BB5" w:rsidRDefault="00D1422B" w:rsidP="00D06BB5">
      <w:pPr>
        <w:pStyle w:val="NormalWeb"/>
        <w:spacing w:before="150" w:beforeAutospacing="0" w:after="0" w:afterAutospacing="0" w:line="360" w:lineRule="atLeast"/>
        <w:ind w:left="1800"/>
        <w:rPr>
          <w:rFonts w:ascii="Roboto" w:hAnsi="Roboto"/>
          <w:color w:val="2B2B2B"/>
          <w:sz w:val="30"/>
          <w:szCs w:val="30"/>
        </w:rPr>
      </w:pPr>
      <w:r>
        <w:rPr>
          <w:noProof/>
        </w:rPr>
        <w:drawing>
          <wp:inline distT="0" distB="0" distL="0" distR="0" wp14:anchorId="5A31FCE8" wp14:editId="6DD0651B">
            <wp:extent cx="5143500" cy="3371850"/>
            <wp:effectExtent l="0" t="0" r="12700" b="6350"/>
            <wp:docPr id="1248997876" name="Chart 1">
              <a:extLst xmlns:a="http://schemas.openxmlformats.org/drawingml/2006/main">
                <a:ext uri="{FF2B5EF4-FFF2-40B4-BE49-F238E27FC236}">
                  <a16:creationId xmlns:a16="http://schemas.microsoft.com/office/drawing/2014/main" id="{5E27C13F-21C1-9695-2799-1019DCFC3A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22A5A" w:rsidRDefault="00BF5A8F" w:rsidP="00122A5A">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rsidR="00A90D8A" w:rsidRDefault="00A90D8A" w:rsidP="00122A5A">
      <w:pPr>
        <w:pStyle w:val="NormalWeb"/>
        <w:numPr>
          <w:ilvl w:val="2"/>
          <w:numId w:val="1"/>
        </w:numPr>
        <w:spacing w:before="150" w:beforeAutospacing="0" w:after="0" w:afterAutospacing="0" w:line="360" w:lineRule="atLeast"/>
        <w:rPr>
          <w:rFonts w:ascii="Roboto" w:hAnsi="Roboto"/>
          <w:color w:val="2B2B2B"/>
          <w:sz w:val="30"/>
          <w:szCs w:val="30"/>
        </w:rPr>
      </w:pPr>
      <w:r w:rsidRPr="00122A5A">
        <w:rPr>
          <w:rFonts w:ascii="Roboto" w:hAnsi="Roboto"/>
          <w:color w:val="2B2B2B"/>
          <w:sz w:val="30"/>
          <w:szCs w:val="30"/>
        </w:rPr>
        <w:lastRenderedPageBreak/>
        <w:t xml:space="preserve">It is unclear what crowdfunding platform </w:t>
      </w:r>
      <w:r w:rsidR="00122A5A" w:rsidRPr="00122A5A">
        <w:rPr>
          <w:rFonts w:ascii="Roboto" w:hAnsi="Roboto"/>
          <w:color w:val="2B2B2B"/>
          <w:sz w:val="30"/>
          <w:szCs w:val="30"/>
        </w:rPr>
        <w:t>the campaign is from. Per background instructions they give examples like Kickstarter and Indiegogo. Does th</w:t>
      </w:r>
      <w:r w:rsidR="00122A5A">
        <w:rPr>
          <w:rFonts w:ascii="Roboto" w:hAnsi="Roboto"/>
          <w:color w:val="2B2B2B"/>
          <w:sz w:val="30"/>
          <w:szCs w:val="30"/>
        </w:rPr>
        <w:t xml:space="preserve">e data only include data for platforms like Kickstarter and Indiegogo. If so, which one is more successful? </w:t>
      </w:r>
    </w:p>
    <w:p w:rsidR="00122A5A" w:rsidRPr="00122A5A" w:rsidRDefault="00122A5A" w:rsidP="00122A5A">
      <w:pPr>
        <w:pStyle w:val="NormalWeb"/>
        <w:numPr>
          <w:ilvl w:val="2"/>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blurbs provide information on the “reason” for crowdfunding however the information is not sortable or categorized. It is possible that certain reasons for funding are more successful than others. However we cannot extract the correlation of reason for funding and success rate.</w:t>
      </w:r>
    </w:p>
    <w:p w:rsidR="00BF5A8F" w:rsidRDefault="00BF5A8F" w:rsidP="00DB36E4">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w:t>
      </w:r>
      <w:r w:rsidRPr="00DB36E4">
        <w:rPr>
          <w:rFonts w:ascii="Roboto" w:hAnsi="Roboto"/>
          <w:color w:val="2B2B2B"/>
          <w:sz w:val="30"/>
          <w:szCs w:val="30"/>
        </w:rPr>
        <w:t>hat we could create, and what additional value would they provide?</w:t>
      </w:r>
    </w:p>
    <w:p w:rsidR="004F0079" w:rsidRPr="00A90D8A" w:rsidRDefault="00F5651C" w:rsidP="00CB20B6">
      <w:pPr>
        <w:pStyle w:val="NormalWeb"/>
        <w:numPr>
          <w:ilvl w:val="2"/>
          <w:numId w:val="1"/>
        </w:numPr>
        <w:spacing w:before="150" w:beforeAutospacing="0" w:after="0" w:afterAutospacing="0" w:line="360" w:lineRule="atLeast"/>
      </w:pPr>
      <w:r>
        <w:rPr>
          <w:rFonts w:ascii="Roboto" w:hAnsi="Roboto"/>
          <w:color w:val="2B2B2B"/>
          <w:sz w:val="30"/>
          <w:szCs w:val="30"/>
        </w:rPr>
        <w:t>A table and graph with a new calculation of average amount donated per day for each category. This would help estimate how long you need to crowd fund for to reach your specific goal.</w:t>
      </w:r>
    </w:p>
    <w:p w:rsidR="00A90D8A" w:rsidRDefault="00A90D8A" w:rsidP="00A90D8A">
      <w:pPr>
        <w:pStyle w:val="NormalWeb"/>
        <w:numPr>
          <w:ilvl w:val="2"/>
          <w:numId w:val="1"/>
        </w:numPr>
        <w:spacing w:before="150" w:beforeAutospacing="0" w:after="0" w:afterAutospacing="0" w:line="360" w:lineRule="atLeast"/>
        <w:rPr>
          <w:rFonts w:ascii="Roboto" w:hAnsi="Roboto"/>
          <w:color w:val="2B2B2B"/>
          <w:sz w:val="30"/>
          <w:szCs w:val="30"/>
        </w:rPr>
      </w:pPr>
      <w:r w:rsidRPr="00A90D8A">
        <w:rPr>
          <w:rFonts w:ascii="Roboto" w:hAnsi="Roboto"/>
          <w:color w:val="2B2B2B"/>
          <w:sz w:val="30"/>
          <w:szCs w:val="30"/>
        </w:rPr>
        <w:t>A table and graph summarizing outcomes per country. This provides value on determining which countries are most successful or unsuccessful in crowdfunding.</w:t>
      </w:r>
    </w:p>
    <w:p w:rsidR="00A90D8A" w:rsidRPr="00A90D8A" w:rsidRDefault="00A90D8A" w:rsidP="00A90D8A">
      <w:pPr>
        <w:pStyle w:val="NormalWeb"/>
        <w:numPr>
          <w:ilvl w:val="2"/>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A table and graph summarizing outcomes per year to show a trend over time.</w:t>
      </w:r>
    </w:p>
    <w:p w:rsidR="00F5651C" w:rsidRDefault="00F5651C" w:rsidP="00F5651C">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STATISTICAL ANALYSIS</w:t>
      </w:r>
    </w:p>
    <w:p w:rsidR="00F5651C" w:rsidRPr="00F5651C" w:rsidRDefault="00F5651C" w:rsidP="00F5651C">
      <w:pPr>
        <w:pStyle w:val="NormalWeb"/>
        <w:numPr>
          <w:ilvl w:val="0"/>
          <w:numId w:val="1"/>
        </w:numPr>
        <w:spacing w:before="150" w:beforeAutospacing="0" w:after="0" w:afterAutospacing="0" w:line="360" w:lineRule="atLeast"/>
        <w:rPr>
          <w:rFonts w:ascii="Roboto" w:hAnsi="Roboto"/>
          <w:color w:val="2B2B2B"/>
          <w:sz w:val="30"/>
          <w:szCs w:val="30"/>
        </w:rPr>
      </w:pPr>
      <w:r w:rsidRPr="00F5651C">
        <w:rPr>
          <w:rFonts w:ascii="Roboto" w:hAnsi="Roboto"/>
          <w:color w:val="2B2B2B"/>
          <w:sz w:val="30"/>
          <w:szCs w:val="30"/>
        </w:rPr>
        <w:t>Use your data to determine whether the mean or the median better summarizes the data.</w:t>
      </w:r>
    </w:p>
    <w:p w:rsidR="00F5651C" w:rsidRPr="00F5651C" w:rsidRDefault="009F1421" w:rsidP="00F5651C">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 xml:space="preserve">Our data is not symmetrically distributed and has several outliers in the upper quartile so our data is skewed. </w:t>
      </w:r>
      <w:r w:rsidR="002A35D4">
        <w:rPr>
          <w:rFonts w:ascii="Roboto" w:hAnsi="Roboto"/>
          <w:color w:val="2B2B2B"/>
          <w:sz w:val="30"/>
          <w:szCs w:val="30"/>
        </w:rPr>
        <w:t xml:space="preserve">The mean is inflated due to the high outliers. </w:t>
      </w:r>
      <w:r w:rsidR="00C13A5E">
        <w:rPr>
          <w:rFonts w:ascii="Roboto" w:hAnsi="Roboto"/>
          <w:color w:val="2B2B2B"/>
          <w:sz w:val="30"/>
          <w:szCs w:val="30"/>
        </w:rPr>
        <w:t>Therefore,</w:t>
      </w:r>
      <w:r w:rsidR="002A35D4">
        <w:rPr>
          <w:rFonts w:ascii="Roboto" w:hAnsi="Roboto"/>
          <w:color w:val="2B2B2B"/>
          <w:sz w:val="30"/>
          <w:szCs w:val="30"/>
        </w:rPr>
        <w:t xml:space="preserve"> the m</w:t>
      </w:r>
      <w:r>
        <w:rPr>
          <w:rFonts w:ascii="Roboto" w:hAnsi="Roboto"/>
          <w:color w:val="2B2B2B"/>
          <w:sz w:val="30"/>
          <w:szCs w:val="30"/>
        </w:rPr>
        <w:t xml:space="preserve">edian is </w:t>
      </w:r>
      <w:r w:rsidR="002A35D4">
        <w:rPr>
          <w:rFonts w:ascii="Roboto" w:hAnsi="Roboto"/>
          <w:color w:val="2B2B2B"/>
          <w:sz w:val="30"/>
          <w:szCs w:val="30"/>
        </w:rPr>
        <w:t>the realistic and typical data point to summarize the successful and unsuccessful crowdfunding.</w:t>
      </w:r>
      <w:r>
        <w:rPr>
          <w:rFonts w:ascii="Roboto" w:hAnsi="Roboto"/>
          <w:color w:val="2B2B2B"/>
          <w:sz w:val="30"/>
          <w:szCs w:val="30"/>
        </w:rPr>
        <w:t xml:space="preserve"> </w:t>
      </w:r>
    </w:p>
    <w:p w:rsidR="00F5651C" w:rsidRDefault="00F5651C" w:rsidP="00F5651C">
      <w:pPr>
        <w:pStyle w:val="NormalWeb"/>
        <w:numPr>
          <w:ilvl w:val="0"/>
          <w:numId w:val="1"/>
        </w:numPr>
        <w:spacing w:before="150" w:beforeAutospacing="0" w:after="0" w:afterAutospacing="0" w:line="360" w:lineRule="atLeast"/>
        <w:rPr>
          <w:rFonts w:ascii="Roboto" w:hAnsi="Roboto"/>
          <w:color w:val="2B2B2B"/>
          <w:sz w:val="30"/>
          <w:szCs w:val="30"/>
        </w:rPr>
      </w:pPr>
      <w:r w:rsidRPr="00F5651C">
        <w:rPr>
          <w:rFonts w:ascii="Roboto" w:hAnsi="Roboto"/>
          <w:color w:val="2B2B2B"/>
          <w:sz w:val="30"/>
          <w:szCs w:val="30"/>
        </w:rPr>
        <w:lastRenderedPageBreak/>
        <w:t>Use your data to determine if there is more variability with successful or unsuccessful campaigns. Does this make sense? Why or why not?</w:t>
      </w:r>
    </w:p>
    <w:p w:rsidR="002A35D4" w:rsidRPr="002A35D4" w:rsidRDefault="002A35D4" w:rsidP="00C13A5E">
      <w:pPr>
        <w:pStyle w:val="NormalWeb"/>
        <w:spacing w:before="150" w:beforeAutospacing="0" w:after="0" w:afterAutospacing="0" w:line="360" w:lineRule="atLeast"/>
        <w:ind w:left="720"/>
        <w:rPr>
          <w:rFonts w:ascii="Calibri" w:hAnsi="Calibri" w:cs="Calibri"/>
          <w:color w:val="000000"/>
        </w:rPr>
      </w:pPr>
      <w:r>
        <w:rPr>
          <w:rFonts w:ascii="Roboto" w:hAnsi="Roboto"/>
          <w:color w:val="2B2B2B"/>
          <w:sz w:val="30"/>
          <w:szCs w:val="30"/>
        </w:rPr>
        <w:t>The successful campaigns variance (1,6</w:t>
      </w:r>
      <w:r w:rsidRPr="002A35D4">
        <w:rPr>
          <w:rFonts w:ascii="Roboto" w:hAnsi="Roboto"/>
          <w:color w:val="2B2B2B"/>
          <w:sz w:val="30"/>
          <w:szCs w:val="30"/>
        </w:rPr>
        <w:t>03,373.7</w:t>
      </w:r>
      <w:r>
        <w:rPr>
          <w:rFonts w:ascii="Roboto" w:hAnsi="Roboto"/>
          <w:color w:val="2B2B2B"/>
          <w:sz w:val="30"/>
          <w:szCs w:val="30"/>
        </w:rPr>
        <w:t xml:space="preserve">) is higher than the failed campaign variance (921,574.7). The higher the variance, the greater the variability. </w:t>
      </w:r>
      <w:r w:rsidR="00C13A5E">
        <w:rPr>
          <w:rFonts w:ascii="Roboto" w:hAnsi="Roboto"/>
          <w:color w:val="2B2B2B"/>
          <w:sz w:val="30"/>
          <w:szCs w:val="30"/>
        </w:rPr>
        <w:t>Therefore,</w:t>
      </w:r>
      <w:r>
        <w:rPr>
          <w:rFonts w:ascii="Roboto" w:hAnsi="Roboto"/>
          <w:color w:val="2B2B2B"/>
          <w:sz w:val="30"/>
          <w:szCs w:val="30"/>
        </w:rPr>
        <w:t xml:space="preserve"> there is more variability with successful campaigns. As an additional checkpoint, higher standard deviation means greater variability. The successful standard deviation (1,267.4) is also higher than the failed standard deviation (961.3) This makes sense as the range for MIN and MAX is also larger for successful campaigns (MIN: 16, MAX: 7,295</w:t>
      </w:r>
      <w:r w:rsidR="00C13A5E">
        <w:rPr>
          <w:rFonts w:ascii="Roboto" w:hAnsi="Roboto"/>
          <w:color w:val="2B2B2B"/>
          <w:sz w:val="30"/>
          <w:szCs w:val="30"/>
        </w:rPr>
        <w:t>, Delta:7,279</w:t>
      </w:r>
      <w:r>
        <w:rPr>
          <w:rFonts w:ascii="Roboto" w:hAnsi="Roboto"/>
          <w:color w:val="2B2B2B"/>
          <w:sz w:val="30"/>
          <w:szCs w:val="30"/>
        </w:rPr>
        <w:t xml:space="preserve">) </w:t>
      </w:r>
      <w:r w:rsidR="00C13A5E">
        <w:rPr>
          <w:rFonts w:ascii="Roboto" w:hAnsi="Roboto"/>
          <w:color w:val="2B2B2B"/>
          <w:sz w:val="30"/>
          <w:szCs w:val="30"/>
        </w:rPr>
        <w:t>in comparison to failed campaigns (MIN:0, MAX:6,080, Delta:6,080).</w:t>
      </w:r>
    </w:p>
    <w:p w:rsidR="002A35D4" w:rsidRPr="00F5651C" w:rsidRDefault="002A35D4" w:rsidP="002A35D4">
      <w:pPr>
        <w:pStyle w:val="NormalWeb"/>
        <w:spacing w:before="150" w:beforeAutospacing="0" w:after="0" w:afterAutospacing="0" w:line="360" w:lineRule="atLeast"/>
        <w:ind w:left="720"/>
        <w:rPr>
          <w:rFonts w:ascii="Roboto" w:hAnsi="Roboto"/>
          <w:color w:val="2B2B2B"/>
          <w:sz w:val="30"/>
          <w:szCs w:val="30"/>
        </w:rPr>
      </w:pPr>
    </w:p>
    <w:p w:rsidR="004C08E3" w:rsidRDefault="004C08E3" w:rsidP="004C08E3">
      <w:pPr>
        <w:pStyle w:val="NormalWeb"/>
        <w:spacing w:before="150" w:beforeAutospacing="0" w:after="0" w:afterAutospacing="0" w:line="360" w:lineRule="atLeast"/>
      </w:pPr>
    </w:p>
    <w:sectPr w:rsidR="004C0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316FE"/>
    <w:multiLevelType w:val="multilevel"/>
    <w:tmpl w:val="2444B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ascii="Roboto" w:eastAsia="Times New Roman" w:hAnsi="Roboto" w:cs="Times New Roman"/>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491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8F"/>
    <w:rsid w:val="000B201D"/>
    <w:rsid w:val="00122A5A"/>
    <w:rsid w:val="0012446A"/>
    <w:rsid w:val="002A35D4"/>
    <w:rsid w:val="004C08E3"/>
    <w:rsid w:val="004F0079"/>
    <w:rsid w:val="00825EDA"/>
    <w:rsid w:val="009F1421"/>
    <w:rsid w:val="00A90D8A"/>
    <w:rsid w:val="00BF5A8F"/>
    <w:rsid w:val="00C13A5E"/>
    <w:rsid w:val="00D06BB5"/>
    <w:rsid w:val="00D1422B"/>
    <w:rsid w:val="00DB36E4"/>
    <w:rsid w:val="00F56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A6813"/>
  <w15:chartTrackingRefBased/>
  <w15:docId w15:val="{D23519D9-6409-FD48-A9C0-340A1E46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A8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88372">
      <w:bodyDiv w:val="1"/>
      <w:marLeft w:val="0"/>
      <w:marRight w:val="0"/>
      <w:marTop w:val="0"/>
      <w:marBottom w:val="0"/>
      <w:divBdr>
        <w:top w:val="none" w:sz="0" w:space="0" w:color="auto"/>
        <w:left w:val="none" w:sz="0" w:space="0" w:color="auto"/>
        <w:bottom w:val="none" w:sz="0" w:space="0" w:color="auto"/>
        <w:right w:val="none" w:sz="0" w:space="0" w:color="auto"/>
      </w:divBdr>
    </w:div>
    <w:div w:id="95486451">
      <w:bodyDiv w:val="1"/>
      <w:marLeft w:val="0"/>
      <w:marRight w:val="0"/>
      <w:marTop w:val="0"/>
      <w:marBottom w:val="0"/>
      <w:divBdr>
        <w:top w:val="none" w:sz="0" w:space="0" w:color="auto"/>
        <w:left w:val="none" w:sz="0" w:space="0" w:color="auto"/>
        <w:bottom w:val="none" w:sz="0" w:space="0" w:color="auto"/>
        <w:right w:val="none" w:sz="0" w:space="0" w:color="auto"/>
      </w:divBdr>
    </w:div>
    <w:div w:id="854536895">
      <w:bodyDiv w:val="1"/>
      <w:marLeft w:val="0"/>
      <w:marRight w:val="0"/>
      <w:marTop w:val="0"/>
      <w:marBottom w:val="0"/>
      <w:divBdr>
        <w:top w:val="none" w:sz="0" w:space="0" w:color="auto"/>
        <w:left w:val="none" w:sz="0" w:space="0" w:color="auto"/>
        <w:bottom w:val="none" w:sz="0" w:space="0" w:color="auto"/>
        <w:right w:val="none" w:sz="0" w:space="0" w:color="auto"/>
      </w:divBdr>
    </w:div>
    <w:div w:id="982126414">
      <w:bodyDiv w:val="1"/>
      <w:marLeft w:val="0"/>
      <w:marRight w:val="0"/>
      <w:marTop w:val="0"/>
      <w:marBottom w:val="0"/>
      <w:divBdr>
        <w:top w:val="none" w:sz="0" w:space="0" w:color="auto"/>
        <w:left w:val="none" w:sz="0" w:space="0" w:color="auto"/>
        <w:bottom w:val="none" w:sz="0" w:space="0" w:color="auto"/>
        <w:right w:val="none" w:sz="0" w:space="0" w:color="auto"/>
      </w:divBdr>
    </w:div>
    <w:div w:id="1137257430">
      <w:bodyDiv w:val="1"/>
      <w:marLeft w:val="0"/>
      <w:marRight w:val="0"/>
      <w:marTop w:val="0"/>
      <w:marBottom w:val="0"/>
      <w:divBdr>
        <w:top w:val="none" w:sz="0" w:space="0" w:color="auto"/>
        <w:left w:val="none" w:sz="0" w:space="0" w:color="auto"/>
        <w:bottom w:val="none" w:sz="0" w:space="0" w:color="auto"/>
        <w:right w:val="none" w:sz="0" w:space="0" w:color="auto"/>
      </w:divBdr>
    </w:div>
    <w:div w:id="1700425412">
      <w:bodyDiv w:val="1"/>
      <w:marLeft w:val="0"/>
      <w:marRight w:val="0"/>
      <w:marTop w:val="0"/>
      <w:marBottom w:val="0"/>
      <w:divBdr>
        <w:top w:val="none" w:sz="0" w:space="0" w:color="auto"/>
        <w:left w:val="none" w:sz="0" w:space="0" w:color="auto"/>
        <w:bottom w:val="none" w:sz="0" w:space="0" w:color="auto"/>
        <w:right w:val="none" w:sz="0" w:space="0" w:color="auto"/>
      </w:divBdr>
    </w:div>
    <w:div w:id="194079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ebbielim/Desktop/DataClass/Class_Folder/Starter_Code/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ebbielim/Desktop/DataClass/Class_Folder/Starter_Code/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debbielim/Desktop/DataClass/Class_Folder/Starter_Code/Crowdfunding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[CrowdfundingBook.xlsx]Category!PivotTable1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Category</a:t>
            </a:r>
            <a:r>
              <a:rPr lang="en-US" baseline="0"/>
              <a:t> Outcomes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Category!$B$3:$B$4</c:f>
              <c:strCache>
                <c:ptCount val="1"/>
                <c:pt idx="0">
                  <c:v>canceled</c:v>
                </c:pt>
              </c:strCache>
            </c:strRef>
          </c:tx>
          <c:spPr>
            <a:solidFill>
              <a:schemeClr val="accent4"/>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31D7-6240-936E-E13366509D6C}"/>
            </c:ext>
          </c:extLst>
        </c:ser>
        <c:ser>
          <c:idx val="1"/>
          <c:order val="1"/>
          <c:tx>
            <c:strRef>
              <c:f>Category!$C$3:$C$4</c:f>
              <c:strCache>
                <c:ptCount val="1"/>
                <c:pt idx="0">
                  <c:v>failed</c:v>
                </c:pt>
              </c:strCache>
            </c:strRef>
          </c:tx>
          <c:spPr>
            <a:solidFill>
              <a:srgbClr val="0070C0"/>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31D7-6240-936E-E13366509D6C}"/>
            </c:ext>
          </c:extLst>
        </c:ser>
        <c:ser>
          <c:idx val="2"/>
          <c:order val="2"/>
          <c:tx>
            <c:strRef>
              <c:f>Category!$D$3:$D$4</c:f>
              <c:strCache>
                <c:ptCount val="1"/>
                <c:pt idx="0">
                  <c:v>live</c:v>
                </c:pt>
              </c:strCache>
            </c:strRef>
          </c:tx>
          <c:spPr>
            <a:solidFill>
              <a:schemeClr val="accent1">
                <a:lumMod val="50000"/>
              </a:schemeClr>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31D7-6240-936E-E13366509D6C}"/>
            </c:ext>
          </c:extLst>
        </c:ser>
        <c:ser>
          <c:idx val="3"/>
          <c:order val="3"/>
          <c:tx>
            <c:strRef>
              <c:f>Category!$E$3:$E$4</c:f>
              <c:strCache>
                <c:ptCount val="1"/>
                <c:pt idx="0">
                  <c:v>successful</c:v>
                </c:pt>
              </c:strCache>
            </c:strRef>
          </c:tx>
          <c:spPr>
            <a:solidFill>
              <a:srgbClr val="00B050"/>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31D7-6240-936E-E13366509D6C}"/>
            </c:ext>
          </c:extLst>
        </c:ser>
        <c:dLbls>
          <c:showLegendKey val="0"/>
          <c:showVal val="0"/>
          <c:showCatName val="0"/>
          <c:showSerName val="0"/>
          <c:showPercent val="0"/>
          <c:showBubbleSize val="0"/>
        </c:dLbls>
        <c:gapWidth val="150"/>
        <c:overlap val="100"/>
        <c:axId val="360144176"/>
        <c:axId val="360146720"/>
      </c:barChart>
      <c:catAx>
        <c:axId val="360144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Parent 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146720"/>
        <c:crosses val="autoZero"/>
        <c:auto val="1"/>
        <c:lblAlgn val="ctr"/>
        <c:lblOffset val="100"/>
        <c:noMultiLvlLbl val="0"/>
      </c:catAx>
      <c:valAx>
        <c:axId val="360146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Outcomes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144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[CrowdfundingBook.xlsx]Subcategories!PivotTable2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Subcategory Outcomes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Subcategories!$B$4:$B$5</c:f>
              <c:strCache>
                <c:ptCount val="1"/>
                <c:pt idx="0">
                  <c:v>canceled</c:v>
                </c:pt>
              </c:strCache>
            </c:strRef>
          </c:tx>
          <c:spPr>
            <a:solidFill>
              <a:srgbClr val="FFC000"/>
            </a:solidFill>
            <a:ln>
              <a:noFill/>
            </a:ln>
            <a:effectLst/>
          </c:spPr>
          <c:invertIfNegative val="0"/>
          <c:cat>
            <c:strRef>
              <c:f>Subcategories!$A$6:$A$30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Subcategories!$B$6:$B$30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C318-7943-B8FD-8FFE1CA7B0DA}"/>
            </c:ext>
          </c:extLst>
        </c:ser>
        <c:ser>
          <c:idx val="1"/>
          <c:order val="1"/>
          <c:tx>
            <c:strRef>
              <c:f>Subcategories!$C$4:$C$5</c:f>
              <c:strCache>
                <c:ptCount val="1"/>
                <c:pt idx="0">
                  <c:v>failed</c:v>
                </c:pt>
              </c:strCache>
            </c:strRef>
          </c:tx>
          <c:spPr>
            <a:solidFill>
              <a:srgbClr val="FF0000"/>
            </a:solidFill>
            <a:ln>
              <a:noFill/>
            </a:ln>
            <a:effectLst/>
          </c:spPr>
          <c:invertIfNegative val="0"/>
          <c:cat>
            <c:strRef>
              <c:f>Subcategories!$A$6:$A$30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Subcategories!$C$6:$C$30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C318-7943-B8FD-8FFE1CA7B0DA}"/>
            </c:ext>
          </c:extLst>
        </c:ser>
        <c:ser>
          <c:idx val="2"/>
          <c:order val="2"/>
          <c:tx>
            <c:strRef>
              <c:f>Subcategories!$D$4:$D$5</c:f>
              <c:strCache>
                <c:ptCount val="1"/>
                <c:pt idx="0">
                  <c:v>live</c:v>
                </c:pt>
              </c:strCache>
            </c:strRef>
          </c:tx>
          <c:spPr>
            <a:solidFill>
              <a:schemeClr val="accent3"/>
            </a:solidFill>
            <a:ln>
              <a:noFill/>
            </a:ln>
            <a:effectLst/>
          </c:spPr>
          <c:invertIfNegative val="0"/>
          <c:cat>
            <c:strRef>
              <c:f>Subcategories!$A$6:$A$30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Subcategories!$D$6:$D$30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C318-7943-B8FD-8FFE1CA7B0DA}"/>
            </c:ext>
          </c:extLst>
        </c:ser>
        <c:ser>
          <c:idx val="3"/>
          <c:order val="3"/>
          <c:tx>
            <c:strRef>
              <c:f>Subcategories!$E$4:$E$5</c:f>
              <c:strCache>
                <c:ptCount val="1"/>
                <c:pt idx="0">
                  <c:v>successful</c:v>
                </c:pt>
              </c:strCache>
            </c:strRef>
          </c:tx>
          <c:spPr>
            <a:solidFill>
              <a:srgbClr val="0070C0"/>
            </a:solidFill>
            <a:ln>
              <a:noFill/>
            </a:ln>
            <a:effectLst/>
          </c:spPr>
          <c:invertIfNegative val="0"/>
          <c:cat>
            <c:strRef>
              <c:f>Subcategories!$A$6:$A$30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Subcategories!$E$6:$E$30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C318-7943-B8FD-8FFE1CA7B0DA}"/>
            </c:ext>
          </c:extLst>
        </c:ser>
        <c:dLbls>
          <c:showLegendKey val="0"/>
          <c:showVal val="0"/>
          <c:showCatName val="0"/>
          <c:showSerName val="0"/>
          <c:showPercent val="0"/>
          <c:showBubbleSize val="0"/>
        </c:dLbls>
        <c:gapWidth val="219"/>
        <c:overlap val="100"/>
        <c:axId val="2023364960"/>
        <c:axId val="2023428400"/>
      </c:barChart>
      <c:catAx>
        <c:axId val="202336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3428400"/>
        <c:crosses val="autoZero"/>
        <c:auto val="1"/>
        <c:lblAlgn val="ctr"/>
        <c:lblOffset val="100"/>
        <c:noMultiLvlLbl val="0"/>
      </c:catAx>
      <c:valAx>
        <c:axId val="2023428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Outcomes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3364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[CrowdfundingBook.xlsx]Months!PivotTable1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a:t>
            </a:r>
            <a:r>
              <a:rPr lang="en-US" baseline="0"/>
              <a:t> by Month</a:t>
            </a:r>
            <a:endParaRPr lang="en-US"/>
          </a:p>
        </c:rich>
      </c:tx>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4"/>
            </a:solidFill>
            <a:round/>
          </a:ln>
          <a:effectLst/>
        </c:spPr>
        <c:marker>
          <c:symbol val="circle"/>
          <c:size val="5"/>
          <c:spPr>
            <a:solidFill>
              <a:schemeClr val="accent4"/>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4"/>
            </a:solidFill>
            <a:round/>
          </a:ln>
          <a:effectLst/>
        </c:spPr>
        <c:marker>
          <c:symbol val="circle"/>
          <c:size val="5"/>
          <c:spPr>
            <a:solidFill>
              <a:schemeClr val="accent4"/>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4"/>
            </a:solidFill>
            <a:round/>
          </a:ln>
          <a:effectLst/>
        </c:spPr>
        <c:marker>
          <c:symbol val="circle"/>
          <c:size val="5"/>
          <c:spPr>
            <a:solidFill>
              <a:schemeClr val="accent4"/>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Months!$B$4:$B$5</c:f>
              <c:strCache>
                <c:ptCount val="1"/>
                <c:pt idx="0">
                  <c:v>canceled</c:v>
                </c:pt>
              </c:strCache>
            </c:strRef>
          </c:tx>
          <c:spPr>
            <a:ln w="28575" cap="rnd">
              <a:solidFill>
                <a:schemeClr val="accent4"/>
              </a:solidFill>
              <a:round/>
            </a:ln>
            <a:effectLst/>
          </c:spPr>
          <c:marker>
            <c:symbol val="circle"/>
            <c:size val="5"/>
            <c:spPr>
              <a:solidFill>
                <a:schemeClr val="accent4"/>
              </a:solidFill>
              <a:ln w="9525">
                <a:solidFill>
                  <a:schemeClr val="accent1"/>
                </a:solidFill>
              </a:ln>
              <a:effectLst/>
            </c:spPr>
          </c:marker>
          <c:cat>
            <c:strRef>
              <c:f>Months!$A$6:$A$18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Months!$B$6:$B$18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02B4-1E41-B28C-374AB8D8359C}"/>
            </c:ext>
          </c:extLst>
        </c:ser>
        <c:ser>
          <c:idx val="1"/>
          <c:order val="1"/>
          <c:tx>
            <c:strRef>
              <c:f>Months!$C$4:$C$5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Months!$A$6:$A$18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Months!$C$6:$C$18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02B4-1E41-B28C-374AB8D8359C}"/>
            </c:ext>
          </c:extLst>
        </c:ser>
        <c:ser>
          <c:idx val="2"/>
          <c:order val="2"/>
          <c:tx>
            <c:strRef>
              <c:f>Months!$D$4:$D$5</c:f>
              <c:strCache>
                <c:ptCount val="1"/>
                <c:pt idx="0">
                  <c:v>successful</c:v>
                </c:pt>
              </c:strCache>
            </c:strRef>
          </c:tx>
          <c:spPr>
            <a:ln w="28575" cap="rnd">
              <a:solidFill>
                <a:schemeClr val="accent1"/>
              </a:solidFill>
              <a:round/>
            </a:ln>
            <a:effectLst/>
          </c:spPr>
          <c:marker>
            <c:symbol val="circle"/>
            <c:size val="5"/>
            <c:spPr>
              <a:solidFill>
                <a:schemeClr val="accent3"/>
              </a:solidFill>
              <a:ln w="9525">
                <a:solidFill>
                  <a:schemeClr val="accent3"/>
                </a:solidFill>
              </a:ln>
              <a:effectLst/>
            </c:spPr>
          </c:marker>
          <c:cat>
            <c:strRef>
              <c:f>Months!$A$6:$A$18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Months!$D$6:$D$18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02B4-1E41-B28C-374AB8D8359C}"/>
            </c:ext>
          </c:extLst>
        </c:ser>
        <c:dLbls>
          <c:showLegendKey val="0"/>
          <c:showVal val="0"/>
          <c:showCatName val="0"/>
          <c:showSerName val="0"/>
          <c:showPercent val="0"/>
          <c:showBubbleSize val="0"/>
        </c:dLbls>
        <c:marker val="1"/>
        <c:smooth val="0"/>
        <c:axId val="958934992"/>
        <c:axId val="958936704"/>
      </c:lineChart>
      <c:catAx>
        <c:axId val="958934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936704"/>
        <c:crosses val="autoZero"/>
        <c:auto val="1"/>
        <c:lblAlgn val="ctr"/>
        <c:lblOffset val="100"/>
        <c:noMultiLvlLbl val="0"/>
      </c:catAx>
      <c:valAx>
        <c:axId val="958936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Outcome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934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Lim</dc:creator>
  <cp:keywords/>
  <dc:description/>
  <cp:lastModifiedBy>Debbie Lim</cp:lastModifiedBy>
  <cp:revision>6</cp:revision>
  <dcterms:created xsi:type="dcterms:W3CDTF">2024-03-01T18:10:00Z</dcterms:created>
  <dcterms:modified xsi:type="dcterms:W3CDTF">2024-03-02T22:27:00Z</dcterms:modified>
</cp:coreProperties>
</file>