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Sistema de apertura automática de cajones</w:t>
      </w:r>
    </w:p>
    <w:p>
      <w:pPr>
        <w:spacing w:after="120"/>
      </w:pPr>
      <w:r>
        <w:rPr>
          <w:i/>
          <w:iCs/>
          <w:color w:val="555555"/>
        </w:rPr>
        <w:t xml:space="preserve">Proyecto final – Seminario de Mecatrónica  ·  Adaptación del sistema pick-to-light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20"/>
      </w:pPr>
      <w:r>
        <w:t xml:space="preserve">Diseñar un mecanismo que, dada una solicitud por software de una pieza almacenada en una cajonera de una sola fila (piezas chicas y livianas, tipo laboratorio), traslade un brazo hasta la columna correspondiente y abra el cajón lo suficiente para que la persona lo vea y lo termine de extraer a mano.</w:t>
      </w:r>
    </w:p>
    <w:p>
      <w:pPr>
        <w:pStyle w:val="Heading1"/>
        <w:spacing w:after="150" w:before="300"/>
      </w:pPr>
      <w:r>
        <w:t xml:space="preserve">2. Arquitectura general — 3 grados de libertad</w:t>
      </w:r>
    </w:p>
    <w:p>
      <w:pPr>
        <w:spacing w:after="120"/>
      </w:pPr>
      <w:r>
        <w:t xml:space="preserve">La cátedra exige un mínimo de 3 DOF actuados y justificados con esquema. El diseño los cubre así:</w:t>
      </w:r>
    </w:p>
    <w:p>
      <w:pPr>
        <w:pStyle w:val="ListParagraph"/>
        <w:numPr>
          <w:ilvl w:val="0"/>
          <w:numId w:val="1"/>
        </w:numPr>
      </w:pPr>
      <w:r>
        <w:t xml:space="preserve">X — traslación del carro sobre un riel ubicado por debajo de la cajonera (selecciona la columna, y también se reutiliza para despejar el brazo al guardarse).</w:t>
      </w:r>
    </w:p>
    <w:p>
      <w:pPr>
        <w:pStyle w:val="ListParagraph"/>
        <w:numPr>
          <w:ilvl w:val="0"/>
          <w:numId w:val="1"/>
        </w:numPr>
      </w:pPr>
      <w:r>
        <w:t xml:space="preserve">Z — extensión/retracción recta del vástago (lo acerca a la altura de la fila de cajones).</w:t>
      </w:r>
    </w:p>
    <w:p>
      <w:pPr>
        <w:pStyle w:val="ListParagraph"/>
        <w:numPr>
          <w:ilvl w:val="0"/>
          <w:numId w:val="1"/>
        </w:numPr>
      </w:pPr>
      <w:r>
        <w:t xml:space="preserve">Rotación — giro del brazo en la punta del vástago, que es lo que efectivamente abre el cajón.</w:t>
      </w:r>
    </w:p>
    <w:p>
      <w:pPr>
        <w:spacing w:after="120"/>
      </w:pPr>
      <w:r>
        <w:t xml:space="preserve">Actuadores: 2 (uno para el riel X, uno para el vástago que combina extensión y rotación mediante el mecanismo de trabas descripto en la sección 4). Cumple el mínimo de 2 actuadores pedido por la cátedra con margen.</w:t>
      </w:r>
    </w:p>
    <w:p>
      <w:pPr>
        <w:pStyle w:val="Heading1"/>
        <w:spacing w:after="150" w:before="300"/>
      </w:pPr>
      <w:r>
        <w:t xml:space="preserve">3. Secuencia de funcionamiento</w:t>
      </w:r>
    </w:p>
    <w:p>
      <w:pPr>
        <w:spacing w:after="150"/>
      </w:pPr>
      <w:r>
        <w:drawing>
          <wp:inline distT="0" distB="0" distL="0" distR="0">
            <wp:extent cx="5905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A. Reposo — vástago retraído, brazo plegado colgando bajo el riel. Posición segura por defecto: si se corta la energía, el brazo cae solo a esta posición (fail-safe por gravedad).</w:t>
      </w:r>
    </w:p>
    <w:p>
      <w:pPr>
        <w:pStyle w:val="ListParagraph"/>
        <w:numPr>
          <w:ilvl w:val="0"/>
          <w:numId w:val="1"/>
        </w:numPr>
      </w:pPr>
      <w:r>
        <w:t xml:space="preserve">B. Extensión — el carro se ubica en la columna pedida (X) y el vástago sube en línea recta (Z) hasta quedar a la altura de la fila de cajones.</w:t>
      </w:r>
    </w:p>
    <w:p>
      <w:pPr>
        <w:pStyle w:val="ListParagraph"/>
        <w:numPr>
          <w:ilvl w:val="0"/>
          <w:numId w:val="1"/>
        </w:numPr>
      </w:pPr>
      <w:r>
        <w:t xml:space="preserve">C. Rotación / apertura — el motor rota el brazo. El imán, montado descentrado respecto del eje (tipo excéntrica), toca la placa metálica del cajón y lo tira hacia afuera en un arco corto — solo lo necesario para destrabarlo y que se vea abierto.</w:t>
      </w:r>
    </w:p>
    <w:p>
      <w:pPr>
        <w:pStyle w:val="ListParagraph"/>
        <w:numPr>
          <w:ilvl w:val="0"/>
          <w:numId w:val="1"/>
        </w:numPr>
      </w:pPr>
      <w:r>
        <w:t xml:space="preserve">D. Sidestep + retracción — en vez de invertir la rotación (lo que empujaría el cajón de nuevo hacia adentro), el carro se desplaza sobre el eje X hacia una zona sin cajón abierto en el medio, y desde ahí el vástago se retrae en línea recta hacia abajo. Después vuelve por X a la posición de reposo/home.</w:t>
      </w:r>
    </w:p>
    <w:p>
      <w:pPr>
        <w:pStyle w:val="Heading1"/>
        <w:spacing w:after="150" w:before="300"/>
      </w:pPr>
      <w:r>
        <w:t xml:space="preserve">4. Mecanismo de trabas (un solo motor, dos movimientos)</w:t>
      </w:r>
    </w:p>
    <w:p>
      <w:pPr>
        <w:spacing w:after="120"/>
      </w:pPr>
      <w:r>
        <w:t xml:space="preserve">El vástago combina extensión y rotación con un solo motor mediante una ranura tipo bayoneta: parte recta + parte diagonal.</w:t>
      </w:r>
    </w:p>
    <w:p>
      <w:pPr>
        <w:pStyle w:val="ListParagraph"/>
        <w:numPr>
          <w:ilvl w:val="0"/>
          <w:numId w:val="1"/>
        </w:numPr>
      </w:pPr>
      <w:r>
        <w:t xml:space="preserve">Mientras un pasador solidario al motor recorre la parte recta de la ranura, el giro del motor se traduce en traslación (el vástago sube).</w:t>
      </w:r>
    </w:p>
    <w:p>
      <w:pPr>
        <w:pStyle w:val="ListParagraph"/>
        <w:numPr>
          <w:ilvl w:val="0"/>
          <w:numId w:val="1"/>
        </w:numPr>
      </w:pPr>
      <w:r>
        <w:t xml:space="preserve">Al llegar al final de la parte recta, un tope mecánico frena la traslación; a partir de ahí el pasador entra en la parte diagonal y el mismo giro pasa a traducirse en rotación pura.</w:t>
      </w:r>
    </w:p>
    <w:p>
      <w:pPr>
        <w:spacing w:after="120"/>
      </w:pPr>
      <w:r>
        <w:t xml:space="preserve">Punto crítico de fabricación: es la pieza de mayor tolerancia de todo el proyecto. Conviene prototiparla sola (imprimir – probar – ajustar) antes de integrar el resto del brazo, porque con FDM es esperable iterar varias veces hasta que el pasador no juegue ni se trabe.</w:t>
      </w:r>
    </w:p>
    <w:p>
      <w:pPr>
        <w:spacing w:after="120"/>
      </w:pPr>
      <w:r>
        <w:t xml:space="preserve">Como el motor no "sabe" en qué parte de la ranura está solo contando pasos (la transición no cae siempre en el mismo paso exacto por fricción y desgaste), se necesita un sensor de fin de carrera en el punto de transición extensión → rotación. Este sensor cumple además el requisito de la cátedra de un sensor cuya lectura modifique el comportamiento del robot: si no se detecta la transición, el firmware no avanza a la fase de rotación.</w:t>
      </w:r>
    </w:p>
    <w:p>
      <w:pPr>
        <w:pStyle w:val="Heading1"/>
        <w:spacing w:after="150" w:before="300"/>
      </w:pPr>
      <w:r>
        <w:t xml:space="preserve">5. Extremo del brazo — imán descentrado</w:t>
      </w:r>
    </w:p>
    <w:p>
      <w:pPr>
        <w:spacing w:after="120"/>
      </w:pPr>
      <w:r>
        <w:t xml:space="preserve">El imán no va sobre el eje de rotación (ahí giraría en el lugar sin arrastrar nada), sino a cierta distancia de él, funcionando como una manivela/excéntrica: al girar, describe un arco y arrastra al cajón consigo.</w:t>
      </w:r>
    </w:p>
    <w:p>
      <w:pPr>
        <w:pStyle w:val="ListParagraph"/>
        <w:numPr>
          <w:ilvl w:val="0"/>
          <w:numId w:val="1"/>
        </w:numPr>
      </w:pPr>
      <w:r>
        <w:t xml:space="preserve">La ventaja frente a un gancho mecánico es que el imán se autoalinea con acercarse a la placa — tolera mejor errores de impresión 3D o de posicionamiento del carro.</w:t>
      </w:r>
    </w:p>
    <w:p>
      <w:pPr>
        <w:pStyle w:val="ListParagraph"/>
        <w:numPr>
          <w:ilvl w:val="0"/>
          <w:numId w:val="1"/>
        </w:numPr>
      </w:pPr>
      <w:r>
        <w:t xml:space="preserve">A medida que la rotación continúa más allá del punto de máximo tirón, el ángulo de contacto imán–placa cambia (cada vez más de canto) y la fuerza magnética efectiva cae, lo que ayuda a que el imán se despegue solo. Este comportamiento depende de la potencia del imán elegido y hay que calibrarlo con pruebas reales (imán de neodimio, tamaño chico-mediano; probar con el cajón cargado con la pieza más pesada prevista).</w:t>
      </w:r>
    </w:p>
    <w:p>
      <w:pPr>
        <w:pStyle w:val="ListParagraph"/>
        <w:numPr>
          <w:ilvl w:val="0"/>
          <w:numId w:val="1"/>
        </w:numPr>
      </w:pPr>
      <w:r>
        <w:t xml:space="preserve">Los cajones son chicos y livianos, así que no hace falta un resorte potente: solo tienen que abrirse lo suficiente para que la persona los vea y los termine de sacar a mano.</w:t>
      </w:r>
    </w:p>
    <w:p>
      <w:pPr>
        <w:pStyle w:val="Heading1"/>
        <w:spacing w:after="150" w:before="300"/>
      </w:pPr>
      <w:r>
        <w:t xml:space="preserve">6. Sensores y decisión autónoma</w:t>
      </w:r>
    </w:p>
    <w:p>
      <w:pPr>
        <w:pStyle w:val="ListParagraph"/>
        <w:numPr>
          <w:ilvl w:val="0"/>
          <w:numId w:val="1"/>
        </w:numPr>
      </w:pPr>
      <w:r>
        <w:t xml:space="preserve">Fin de carrera en el riel X — confirma la columna correcta antes de habilitar la extensión (si no está en posición, no continúa la secuencia).</w:t>
      </w:r>
    </w:p>
    <w:p>
      <w:pPr>
        <w:pStyle w:val="ListParagraph"/>
        <w:numPr>
          <w:ilvl w:val="0"/>
          <w:numId w:val="1"/>
        </w:numPr>
      </w:pPr>
      <w:r>
        <w:t xml:space="preserve">Fin de carrera / sensor óptico en la ranura de trabas — confirma la transición extensión → rotación (ver sección 4).</w:t>
      </w:r>
    </w:p>
    <w:p>
      <w:pPr>
        <w:pStyle w:val="ListParagraph"/>
        <w:numPr>
          <w:ilvl w:val="0"/>
          <w:numId w:val="1"/>
        </w:numPr>
      </w:pPr>
      <w:r>
        <w:t xml:space="preserve">Opcional: sensor de contacto o de corriente en el electroimán, para confirmar el enganche antes de rotar y tirar al vacío si no hubo contacto.</w:t>
      </w:r>
    </w:p>
    <w:p>
      <w:pPr>
        <w:pStyle w:val="Heading1"/>
        <w:spacing w:after="150" w:before="300"/>
      </w:pPr>
      <w:r>
        <w:t xml:space="preserve">7. Checklist de requisitos de la cátedra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000"/>
      </w:tblGrid>
      <w:tr>
        <w:tc>
          <w:tcPr>
            <w:tcW w:type="dxa" w:w="55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40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Cómo se cumple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Mínimo 2 actuadores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 riel X + motor vástago (extensión+rotación)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Mínimo 1 sensor con decisión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 de carrera en X y en la transición de la ranura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Mínimo 3 grados de libertad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(riel), Z (extensión), rotación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manual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definir: botones/joystick o interfaz web (ESP32)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autónomo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Secuencia A→B→C→D disparada por pedido de software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Pieza 3D funcional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Soporte del pivote con la ranura de trabas + excéntrica del imán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Parada de seguridad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Corte de energía → brazo cae solo a reposo (fail-safe por gravedad) + posible botón de emergencia</w:t>
            </w:r>
          </w:p>
        </w:tc>
      </w:tr>
    </w:tbl>
    <w:p>
      <w:pPr>
        <w:pStyle w:val="Heading1"/>
        <w:spacing w:after="150" w:before="300"/>
      </w:pPr>
      <w:r>
        <w:t xml:space="preserve">8. Pendiente de definir</w:t>
      </w:r>
    </w:p>
    <w:p>
      <w:pPr>
        <w:pStyle w:val="ListParagraph"/>
        <w:numPr>
          <w:ilvl w:val="0"/>
          <w:numId w:val="1"/>
        </w:numPr>
      </w:pPr>
      <w:r>
        <w:t xml:space="preserve">Dimensionamiento del imán y radio de la excéntrica (a calibrar con prototipo).</w:t>
      </w:r>
    </w:p>
    <w:p>
      <w:pPr>
        <w:pStyle w:val="ListParagraph"/>
        <w:numPr>
          <w:ilvl w:val="0"/>
          <w:numId w:val="1"/>
        </w:numPr>
      </w:pPr>
      <w:r>
        <w:t xml:space="preserve">Elección del microcontrolador principal (ESP32 recomendado, dado el trabajo previo con pick-to-light).</w:t>
      </w:r>
    </w:p>
    <w:p>
      <w:pPr>
        <w:pStyle w:val="ListParagraph"/>
        <w:numPr>
          <w:ilvl w:val="0"/>
          <w:numId w:val="1"/>
        </w:numPr>
      </w:pPr>
      <w:r>
        <w:t xml:space="preserve">Diseño detallado del modo manual.</w:t>
      </w:r>
    </w:p>
    <w:p>
      <w:pPr>
        <w:pStyle w:val="ListParagraph"/>
        <w:numPr>
          <w:ilvl w:val="0"/>
          <w:numId w:val="1"/>
        </w:numPr>
      </w:pPr>
      <w:r>
        <w:t xml:space="preserve">Lista de materiales y presupuesto.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7394af80c857c872b47d2c5f99c8199525dff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2026-08-04T23:00:34.850Z</dcterms:created>
  <dcterms:modified xsi:type="dcterms:W3CDTF">2026-08-04T23:00:34.870Z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