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Chamber Music Boise Presents: Tuttle House Concerts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 partnership with Tuttle House at St. Michael’s Episcopal Cathedral &amp; Idaho Concerts in Care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*add something about partnering with Guild there as well? Official name?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 Music Boise is thrilled to announce the launch of </w:t>
      </w:r>
      <w:r w:rsidDel="00000000" w:rsidR="00000000" w:rsidRPr="00000000">
        <w:rPr>
          <w:i w:val="1"/>
          <w:iCs w:val="1"/>
          <w:rtl w:val="0"/>
        </w:rPr>
        <w:t xml:space="preserve">Tuttle House Concerts</w:t>
      </w:r>
      <w:r w:rsidDel="00000000" w:rsidR="00000000" w:rsidRPr="00000000">
        <w:rPr>
          <w:rtl w:val="0"/>
        </w:rPr>
        <w:t xml:space="preserve">, a new chamber music series presented in partnership with Tuttle House at St. Michael’s Episcopal Cathedral and Idaho Concerts in Care.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invite you to join us for a series of intimate, hour-long performances that explore the depth and beauty of chamber music. Each program offers a thoughtfully curated experience—featuring beloved masterworks, contemporary compositions, and hidden gems—designed to inspire and deepen an appreciation for this rich and expressive art 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each concert, please join us for complimentary refreshments and the opportunity to meet the musicians, connect with fellow music lovers, and be part of a warm, welcoming, arts-inspired community.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********************8There is a suggested Donation of $30 for adults.  All students and children attend for free. All proceeds go directly to the musicians and Concert in Care.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sharing these special evenings with you!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