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91C" w:rsidRPr="00294A4F" w:rsidRDefault="000830DD" w:rsidP="00BD77FD">
      <w:pPr>
        <w:spacing w:line="480" w:lineRule="auto"/>
        <w:jc w:val="both"/>
        <w:rPr>
          <w:rFonts w:ascii="Arial" w:hAnsi="Arial" w:cs="Arial"/>
          <w:sz w:val="48"/>
          <w:szCs w:val="48"/>
        </w:rPr>
      </w:pPr>
      <w:r w:rsidRPr="00294A4F">
        <w:rPr>
          <w:rFonts w:ascii="Arial" w:hAnsi="Arial" w:cs="Arial"/>
          <w:b/>
          <w:sz w:val="48"/>
          <w:szCs w:val="48"/>
        </w:rPr>
        <w:t>METHODS</w:t>
      </w:r>
      <w:r w:rsidR="001474D7" w:rsidRPr="00294A4F">
        <w:rPr>
          <w:rFonts w:ascii="Arial" w:hAnsi="Arial" w:cs="Arial"/>
          <w:b/>
          <w:sz w:val="48"/>
          <w:szCs w:val="48"/>
        </w:rPr>
        <w:t xml:space="preserve"> ML Brazil</w:t>
      </w:r>
    </w:p>
    <w:p w:rsidR="00BF791C" w:rsidRPr="000F0715" w:rsidRDefault="000F0715" w:rsidP="00BD77FD">
      <w:pPr>
        <w:spacing w:line="480" w:lineRule="auto"/>
        <w:ind w:right="-2"/>
        <w:jc w:val="both"/>
        <w:rPr>
          <w:rFonts w:ascii="Arial" w:hAnsi="Arial" w:cs="Arial"/>
          <w:i/>
        </w:rPr>
      </w:pPr>
      <w:r w:rsidRPr="000F0715">
        <w:rPr>
          <w:rFonts w:ascii="Arial" w:hAnsi="Arial" w:cs="Arial"/>
          <w:i/>
        </w:rPr>
        <w:t>Study design</w:t>
      </w:r>
    </w:p>
    <w:p w:rsidR="002C77AF" w:rsidRDefault="00B86461" w:rsidP="005A466B">
      <w:pPr>
        <w:spacing w:line="480" w:lineRule="auto"/>
        <w:ind w:firstLine="720"/>
        <w:jc w:val="both"/>
        <w:rPr>
          <w:rFonts w:ascii="Arial" w:hAnsi="Arial" w:cs="Arial"/>
        </w:rPr>
      </w:pPr>
      <w:r w:rsidRPr="000F0715">
        <w:rPr>
          <w:rFonts w:ascii="Arial" w:hAnsi="Arial" w:cs="Arial"/>
        </w:rPr>
        <w:t xml:space="preserve">We used </w:t>
      </w:r>
      <w:r w:rsidR="00294A4F">
        <w:rPr>
          <w:rFonts w:ascii="Arial" w:hAnsi="Arial" w:cs="Arial"/>
        </w:rPr>
        <w:t xml:space="preserve">the </w:t>
      </w:r>
      <w:proofErr w:type="spellStart"/>
      <w:r w:rsidR="00294A4F">
        <w:rPr>
          <w:rFonts w:ascii="Arial" w:hAnsi="Arial" w:cs="Arial"/>
        </w:rPr>
        <w:t>epimed</w:t>
      </w:r>
      <w:proofErr w:type="spellEnd"/>
      <w:r w:rsidR="00294A4F">
        <w:rPr>
          <w:rFonts w:ascii="Arial" w:hAnsi="Arial" w:cs="Arial"/>
        </w:rPr>
        <w:t xml:space="preserve"> monitor system</w:t>
      </w:r>
      <w:r w:rsidR="00E01B35">
        <w:rPr>
          <w:rFonts w:ascii="Arial" w:hAnsi="Arial" w:cs="Arial"/>
        </w:rPr>
        <w:t>®</w:t>
      </w:r>
      <w:r w:rsidR="00914510" w:rsidRPr="000F0715">
        <w:rPr>
          <w:rFonts w:ascii="Arial" w:hAnsi="Arial" w:cs="Arial"/>
        </w:rPr>
        <w:t>, a cloud-based ICU performance management system</w:t>
      </w:r>
      <w:r w:rsidR="00BF791C" w:rsidRPr="000F0715">
        <w:rPr>
          <w:rFonts w:ascii="Arial" w:hAnsi="Arial" w:cs="Arial"/>
        </w:rPr>
        <w:t xml:space="preserve"> [</w:t>
      </w:r>
      <w:r w:rsidR="00BF791C" w:rsidRPr="00294A4F">
        <w:rPr>
          <w:rFonts w:ascii="Arial" w:hAnsi="Arial" w:cs="Arial"/>
          <w:highlight w:val="yellow"/>
        </w:rPr>
        <w:t>x</w:t>
      </w:r>
      <w:r w:rsidR="00BD77FD" w:rsidRPr="00294A4F">
        <w:rPr>
          <w:rFonts w:ascii="Arial" w:hAnsi="Arial" w:cs="Arial"/>
          <w:highlight w:val="yellow"/>
        </w:rPr>
        <w:t xml:space="preserve"> = </w:t>
      </w:r>
      <w:proofErr w:type="spellStart"/>
      <w:r w:rsidR="00BD77FD" w:rsidRPr="00294A4F">
        <w:rPr>
          <w:rFonts w:ascii="Arial" w:hAnsi="Arial" w:cs="Arial"/>
          <w:highlight w:val="yellow"/>
        </w:rPr>
        <w:t>epimed</w:t>
      </w:r>
      <w:proofErr w:type="spellEnd"/>
      <w:r w:rsidR="00BD77FD" w:rsidRPr="00294A4F">
        <w:rPr>
          <w:rFonts w:ascii="Arial" w:hAnsi="Arial" w:cs="Arial"/>
          <w:highlight w:val="yellow"/>
        </w:rPr>
        <w:t xml:space="preserve"> manuscript - RBTI</w:t>
      </w:r>
      <w:r w:rsidR="00BF791C" w:rsidRPr="000F0715">
        <w:rPr>
          <w:rFonts w:ascii="Arial" w:hAnsi="Arial" w:cs="Arial"/>
        </w:rPr>
        <w:t>]</w:t>
      </w:r>
      <w:r w:rsidR="000F0715" w:rsidRPr="000F0715">
        <w:rPr>
          <w:rFonts w:ascii="Arial" w:hAnsi="Arial" w:cs="Arial"/>
        </w:rPr>
        <w:t xml:space="preserve"> to</w:t>
      </w:r>
      <w:r w:rsidR="00F3059F">
        <w:rPr>
          <w:rFonts w:ascii="Arial" w:hAnsi="Arial" w:cs="Arial"/>
        </w:rPr>
        <w:t xml:space="preserve"> </w:t>
      </w:r>
      <w:r w:rsidR="000F0715" w:rsidRPr="000F0715">
        <w:rPr>
          <w:rFonts w:ascii="Arial" w:hAnsi="Arial" w:cs="Arial"/>
        </w:rPr>
        <w:t xml:space="preserve">collected </w:t>
      </w:r>
      <w:r w:rsidR="00F3059F">
        <w:rPr>
          <w:rFonts w:ascii="Arial" w:hAnsi="Arial" w:cs="Arial"/>
        </w:rPr>
        <w:t>retrospective</w:t>
      </w:r>
      <w:r w:rsidR="00F3059F" w:rsidRPr="000F0715">
        <w:rPr>
          <w:rFonts w:ascii="Arial" w:hAnsi="Arial" w:cs="Arial"/>
        </w:rPr>
        <w:t xml:space="preserve"> </w:t>
      </w:r>
      <w:r w:rsidR="000F0715" w:rsidRPr="000F0715">
        <w:rPr>
          <w:rFonts w:ascii="Arial" w:hAnsi="Arial" w:cs="Arial"/>
        </w:rPr>
        <w:t xml:space="preserve">data </w:t>
      </w:r>
      <w:r w:rsidR="00E01B35">
        <w:rPr>
          <w:rFonts w:ascii="Arial" w:hAnsi="Arial" w:cs="Arial"/>
        </w:rPr>
        <w:t>of patients admitted</w:t>
      </w:r>
      <w:r w:rsidR="00437BB5">
        <w:rPr>
          <w:rFonts w:ascii="Arial" w:hAnsi="Arial" w:cs="Arial"/>
        </w:rPr>
        <w:t xml:space="preserve"> at the ICU between </w:t>
      </w:r>
      <w:r w:rsidR="00437BB5" w:rsidRPr="00E01B35">
        <w:rPr>
          <w:rFonts w:ascii="Arial" w:hAnsi="Arial" w:cs="Arial"/>
        </w:rPr>
        <w:t xml:space="preserve">January 2015 and </w:t>
      </w:r>
      <w:r w:rsidR="00437BB5">
        <w:rPr>
          <w:rFonts w:ascii="Arial" w:hAnsi="Arial" w:cs="Arial"/>
        </w:rPr>
        <w:t>October 2017</w:t>
      </w:r>
      <w:r w:rsidR="00E01B35">
        <w:rPr>
          <w:rFonts w:ascii="Arial" w:hAnsi="Arial" w:cs="Arial"/>
        </w:rPr>
        <w:t xml:space="preserve"> </w:t>
      </w:r>
      <w:r w:rsidR="00437BB5">
        <w:rPr>
          <w:rFonts w:ascii="Arial" w:hAnsi="Arial" w:cs="Arial"/>
        </w:rPr>
        <w:t xml:space="preserve">in two distinct hospitals </w:t>
      </w:r>
      <w:r w:rsidR="00437BB5" w:rsidRPr="000F0715">
        <w:rPr>
          <w:rFonts w:ascii="Arial" w:hAnsi="Arial" w:cs="Arial"/>
        </w:rPr>
        <w:t>in São Paulo, Brazil</w:t>
      </w:r>
      <w:r w:rsidR="00E01B35">
        <w:rPr>
          <w:rFonts w:ascii="Arial" w:hAnsi="Arial" w:cs="Arial"/>
        </w:rPr>
        <w:t xml:space="preserve">: </w:t>
      </w:r>
      <w:r w:rsidR="000F0715" w:rsidRPr="000F0715">
        <w:rPr>
          <w:rFonts w:ascii="Arial" w:hAnsi="Arial" w:cs="Arial"/>
        </w:rPr>
        <w:t xml:space="preserve">Hospital </w:t>
      </w:r>
      <w:proofErr w:type="spellStart"/>
      <w:r w:rsidR="000F0715" w:rsidRPr="000F0715">
        <w:rPr>
          <w:rFonts w:ascii="Arial" w:hAnsi="Arial" w:cs="Arial"/>
        </w:rPr>
        <w:t>Israelita</w:t>
      </w:r>
      <w:proofErr w:type="spellEnd"/>
      <w:r w:rsidR="000F0715" w:rsidRPr="000F0715">
        <w:rPr>
          <w:rFonts w:ascii="Arial" w:hAnsi="Arial" w:cs="Arial"/>
        </w:rPr>
        <w:t xml:space="preserve"> Albert Einstein (HIAE)</w:t>
      </w:r>
      <w:r w:rsidR="00294A4F">
        <w:rPr>
          <w:rFonts w:ascii="Arial" w:hAnsi="Arial" w:cs="Arial"/>
        </w:rPr>
        <w:t>, a tertiary care private institution with</w:t>
      </w:r>
      <w:r w:rsidR="002C77AF">
        <w:rPr>
          <w:rFonts w:ascii="Arial" w:hAnsi="Arial" w:cs="Arial"/>
        </w:rPr>
        <w:t xml:space="preserve"> a total hospital capacity of </w:t>
      </w:r>
      <w:r w:rsidR="002C77AF" w:rsidRPr="002C77AF">
        <w:rPr>
          <w:rFonts w:ascii="Arial" w:hAnsi="Arial" w:cs="Arial"/>
          <w:highlight w:val="yellow"/>
        </w:rPr>
        <w:t>XXX</w:t>
      </w:r>
      <w:r w:rsidR="002C77AF">
        <w:rPr>
          <w:rFonts w:ascii="Arial" w:hAnsi="Arial" w:cs="Arial"/>
        </w:rPr>
        <w:t xml:space="preserve"> beds, of these,</w:t>
      </w:r>
      <w:r w:rsidR="00294A4F">
        <w:rPr>
          <w:rFonts w:ascii="Arial" w:hAnsi="Arial" w:cs="Arial"/>
        </w:rPr>
        <w:t xml:space="preserve"> forty</w:t>
      </w:r>
      <w:r w:rsidR="002C77AF">
        <w:rPr>
          <w:rFonts w:ascii="Arial" w:hAnsi="Arial" w:cs="Arial"/>
        </w:rPr>
        <w:t xml:space="preserve"> beds are the </w:t>
      </w:r>
      <w:r w:rsidR="00A006AD">
        <w:rPr>
          <w:rFonts w:ascii="Arial" w:hAnsi="Arial" w:cs="Arial"/>
        </w:rPr>
        <w:t>medical - surgical ICU,</w:t>
      </w:r>
      <w:r w:rsidR="00294A4F">
        <w:rPr>
          <w:rFonts w:ascii="Arial" w:hAnsi="Arial" w:cs="Arial"/>
        </w:rPr>
        <w:t xml:space="preserve"> that works in an</w:t>
      </w:r>
      <w:r w:rsidR="00A006AD">
        <w:rPr>
          <w:rFonts w:ascii="Arial" w:hAnsi="Arial" w:cs="Arial"/>
        </w:rPr>
        <w:t xml:space="preserve"> open model and </w:t>
      </w:r>
      <w:r w:rsidR="000F0715" w:rsidRPr="00A006AD">
        <w:rPr>
          <w:rFonts w:ascii="Arial" w:hAnsi="Arial" w:cs="Arial"/>
        </w:rPr>
        <w:t>Hospital Municipal Vila Santa Catarina</w:t>
      </w:r>
      <w:r w:rsidR="00294A4F" w:rsidRPr="00A006AD">
        <w:rPr>
          <w:rFonts w:ascii="Arial" w:hAnsi="Arial" w:cs="Arial"/>
        </w:rPr>
        <w:t xml:space="preserve"> (HMVSC)</w:t>
      </w:r>
      <w:r w:rsidR="000F0715" w:rsidRPr="00A006AD">
        <w:rPr>
          <w:rFonts w:ascii="Arial" w:hAnsi="Arial" w:cs="Arial"/>
        </w:rPr>
        <w:t>,</w:t>
      </w:r>
      <w:r w:rsidR="00A006AD" w:rsidRPr="00A006AD">
        <w:rPr>
          <w:rFonts w:ascii="Arial" w:hAnsi="Arial" w:cs="Arial"/>
        </w:rPr>
        <w:t xml:space="preserve"> </w:t>
      </w:r>
      <w:r w:rsidR="00294A4F" w:rsidRPr="00A006AD">
        <w:rPr>
          <w:rFonts w:ascii="Arial" w:hAnsi="Arial" w:cs="Arial"/>
        </w:rPr>
        <w:t>a tertiary care public institution</w:t>
      </w:r>
      <w:r w:rsidR="000F0715" w:rsidRPr="00A006AD">
        <w:rPr>
          <w:rFonts w:ascii="Arial" w:hAnsi="Arial" w:cs="Arial"/>
        </w:rPr>
        <w:t xml:space="preserve"> </w:t>
      </w:r>
      <w:r w:rsidR="00294A4F">
        <w:rPr>
          <w:rFonts w:ascii="Arial" w:hAnsi="Arial" w:cs="Arial"/>
        </w:rPr>
        <w:t>with</w:t>
      </w:r>
      <w:r w:rsidR="002C77AF" w:rsidRPr="002C77AF">
        <w:rPr>
          <w:rFonts w:ascii="Arial" w:hAnsi="Arial" w:cs="Arial"/>
        </w:rPr>
        <w:t xml:space="preserve"> </w:t>
      </w:r>
      <w:r w:rsidR="002C77AF">
        <w:rPr>
          <w:rFonts w:ascii="Arial" w:hAnsi="Arial" w:cs="Arial"/>
        </w:rPr>
        <w:t xml:space="preserve">a total hospital capacity of </w:t>
      </w:r>
      <w:r w:rsidR="002C77AF" w:rsidRPr="002C77AF">
        <w:rPr>
          <w:rFonts w:ascii="Arial" w:hAnsi="Arial" w:cs="Arial"/>
          <w:highlight w:val="yellow"/>
        </w:rPr>
        <w:t>XXX</w:t>
      </w:r>
      <w:r w:rsidR="002C77AF">
        <w:rPr>
          <w:rFonts w:ascii="Arial" w:hAnsi="Arial" w:cs="Arial"/>
        </w:rPr>
        <w:t xml:space="preserve"> beds, of these, </w:t>
      </w:r>
      <w:r w:rsidR="00294A4F">
        <w:rPr>
          <w:rFonts w:ascii="Arial" w:hAnsi="Arial" w:cs="Arial"/>
        </w:rPr>
        <w:t xml:space="preserve"> twenty</w:t>
      </w:r>
      <w:r w:rsidR="002C77AF">
        <w:rPr>
          <w:rFonts w:ascii="Arial" w:hAnsi="Arial" w:cs="Arial"/>
        </w:rPr>
        <w:t xml:space="preserve"> beds are the</w:t>
      </w:r>
      <w:r w:rsidR="00294A4F">
        <w:rPr>
          <w:rFonts w:ascii="Arial" w:hAnsi="Arial" w:cs="Arial"/>
        </w:rPr>
        <w:t xml:space="preserve"> medical – surgical ICU</w:t>
      </w:r>
      <w:r w:rsidR="002C77AF">
        <w:rPr>
          <w:rFonts w:ascii="Arial" w:hAnsi="Arial" w:cs="Arial"/>
        </w:rPr>
        <w:t xml:space="preserve">, </w:t>
      </w:r>
      <w:r w:rsidR="00294A4F">
        <w:rPr>
          <w:rFonts w:ascii="Arial" w:hAnsi="Arial" w:cs="Arial"/>
        </w:rPr>
        <w:t>that works in a close model</w:t>
      </w:r>
      <w:r w:rsidR="002C77AF">
        <w:rPr>
          <w:rFonts w:ascii="Arial" w:hAnsi="Arial" w:cs="Arial"/>
        </w:rPr>
        <w:t xml:space="preserve">. </w:t>
      </w:r>
    </w:p>
    <w:p w:rsidR="000F0715" w:rsidRPr="000F0715" w:rsidRDefault="002C77AF" w:rsidP="005A466B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Both hospitals</w:t>
      </w:r>
      <w:r w:rsidR="00E01B35">
        <w:rPr>
          <w:rFonts w:ascii="Arial" w:hAnsi="Arial" w:cs="Arial"/>
        </w:rPr>
        <w:t xml:space="preserve"> are </w:t>
      </w:r>
      <w:r w:rsidR="00E01B35" w:rsidRPr="000F0715">
        <w:rPr>
          <w:rFonts w:ascii="Arial" w:hAnsi="Arial" w:cs="Arial"/>
        </w:rPr>
        <w:t xml:space="preserve">located </w:t>
      </w:r>
      <w:r>
        <w:rPr>
          <w:rFonts w:ascii="Arial" w:hAnsi="Arial" w:cs="Arial"/>
        </w:rPr>
        <w:t xml:space="preserve">and </w:t>
      </w:r>
      <w:r w:rsidR="005A466B">
        <w:rPr>
          <w:rFonts w:ascii="Arial" w:hAnsi="Arial" w:cs="Arial"/>
        </w:rPr>
        <w:t xml:space="preserve">have the same staffing characteristics: physicians available 24 hours a day at a rate of 1 </w:t>
      </w:r>
      <w:proofErr w:type="spellStart"/>
      <w:proofErr w:type="gramStart"/>
      <w:r w:rsidR="005A466B">
        <w:rPr>
          <w:rFonts w:ascii="Arial" w:hAnsi="Arial" w:cs="Arial"/>
        </w:rPr>
        <w:t>intensivists</w:t>
      </w:r>
      <w:proofErr w:type="spellEnd"/>
      <w:proofErr w:type="gramEnd"/>
      <w:r w:rsidR="005A466B">
        <w:rPr>
          <w:rFonts w:ascii="Arial" w:hAnsi="Arial" w:cs="Arial"/>
        </w:rPr>
        <w:t xml:space="preserve"> per each ten ICU beds, daily multidisciplinary rounds and no staff reduction during night shifts or weekends. HIAE and HMVSC have approximately </w:t>
      </w:r>
      <w:r w:rsidR="005A466B" w:rsidRPr="005A466B">
        <w:rPr>
          <w:rFonts w:ascii="Arial" w:hAnsi="Arial" w:cs="Arial"/>
        </w:rPr>
        <w:t xml:space="preserve">3,000 and 1,000 </w:t>
      </w:r>
      <w:r w:rsidR="00294A4F" w:rsidRPr="005A466B">
        <w:rPr>
          <w:rFonts w:ascii="Arial" w:hAnsi="Arial" w:cs="Arial"/>
        </w:rPr>
        <w:t xml:space="preserve">ICU </w:t>
      </w:r>
      <w:r w:rsidR="005A466B" w:rsidRPr="005A466B">
        <w:rPr>
          <w:rFonts w:ascii="Arial" w:hAnsi="Arial" w:cs="Arial"/>
        </w:rPr>
        <w:t xml:space="preserve">admissions </w:t>
      </w:r>
      <w:r w:rsidR="00A006AD" w:rsidRPr="005A466B">
        <w:rPr>
          <w:rFonts w:ascii="Arial" w:hAnsi="Arial" w:cs="Arial"/>
        </w:rPr>
        <w:t>annually</w:t>
      </w:r>
      <w:r w:rsidR="005A466B" w:rsidRPr="005A466B">
        <w:rPr>
          <w:rFonts w:ascii="Arial" w:hAnsi="Arial" w:cs="Arial"/>
        </w:rPr>
        <w:t>, respectively</w:t>
      </w:r>
      <w:r w:rsidR="00294A4F" w:rsidRPr="005A466B">
        <w:rPr>
          <w:rFonts w:ascii="Arial" w:hAnsi="Arial" w:cs="Arial"/>
        </w:rPr>
        <w:t>.</w:t>
      </w:r>
      <w:r w:rsidR="00294A4F">
        <w:rPr>
          <w:rFonts w:ascii="Arial" w:hAnsi="Arial" w:cs="Arial"/>
        </w:rPr>
        <w:t xml:space="preserve"> </w:t>
      </w:r>
    </w:p>
    <w:p w:rsidR="00BD77FD" w:rsidRDefault="00914510" w:rsidP="00BD77FD">
      <w:pPr>
        <w:spacing w:line="480" w:lineRule="auto"/>
        <w:jc w:val="both"/>
        <w:rPr>
          <w:rFonts w:ascii="Arial" w:hAnsi="Arial" w:cs="Arial"/>
        </w:rPr>
      </w:pPr>
      <w:r w:rsidRPr="000F0715">
        <w:rPr>
          <w:rFonts w:ascii="Arial" w:hAnsi="Arial" w:cs="Arial"/>
        </w:rPr>
        <w:tab/>
        <w:t xml:space="preserve">The core data from this database includes </w:t>
      </w:r>
      <w:r w:rsidR="00BD77FD">
        <w:rPr>
          <w:rFonts w:ascii="Arial" w:hAnsi="Arial" w:cs="Arial"/>
        </w:rPr>
        <w:t xml:space="preserve">demographic </w:t>
      </w:r>
      <w:r w:rsidR="00B86461" w:rsidRPr="000F0715">
        <w:rPr>
          <w:rFonts w:ascii="Arial" w:hAnsi="Arial" w:cs="Arial"/>
        </w:rPr>
        <w:t>characteristics</w:t>
      </w:r>
      <w:r w:rsidRPr="000F0715">
        <w:rPr>
          <w:rFonts w:ascii="Arial" w:hAnsi="Arial" w:cs="Arial"/>
        </w:rPr>
        <w:t>,</w:t>
      </w:r>
      <w:r w:rsidR="00B86461" w:rsidRPr="000F0715">
        <w:rPr>
          <w:rFonts w:ascii="Arial" w:hAnsi="Arial" w:cs="Arial"/>
        </w:rPr>
        <w:t xml:space="preserve"> </w:t>
      </w:r>
      <w:r w:rsidR="00BD77FD">
        <w:rPr>
          <w:rFonts w:ascii="Arial" w:hAnsi="Arial" w:cs="Arial"/>
        </w:rPr>
        <w:t xml:space="preserve">patient’s </w:t>
      </w:r>
      <w:r w:rsidR="00B86461" w:rsidRPr="000F0715">
        <w:rPr>
          <w:rFonts w:ascii="Arial" w:hAnsi="Arial" w:cs="Arial"/>
        </w:rPr>
        <w:t>comorbidities,</w:t>
      </w:r>
      <w:r w:rsidRPr="000F0715">
        <w:rPr>
          <w:rFonts w:ascii="Arial" w:hAnsi="Arial" w:cs="Arial"/>
        </w:rPr>
        <w:t xml:space="preserve"> administrative</w:t>
      </w:r>
      <w:r w:rsidR="00B86461" w:rsidRPr="000F0715">
        <w:rPr>
          <w:rFonts w:ascii="Arial" w:hAnsi="Arial" w:cs="Arial"/>
        </w:rPr>
        <w:t xml:space="preserve"> information</w:t>
      </w:r>
      <w:r w:rsidRPr="000F0715">
        <w:rPr>
          <w:rFonts w:ascii="Arial" w:hAnsi="Arial" w:cs="Arial"/>
        </w:rPr>
        <w:t xml:space="preserve"> and also physiological</w:t>
      </w:r>
      <w:r w:rsidR="00B86461" w:rsidRPr="000F0715">
        <w:rPr>
          <w:rFonts w:ascii="Arial" w:hAnsi="Arial" w:cs="Arial"/>
        </w:rPr>
        <w:t xml:space="preserve"> and laboratorial</w:t>
      </w:r>
      <w:r w:rsidRPr="000F0715">
        <w:rPr>
          <w:rFonts w:ascii="Arial" w:hAnsi="Arial" w:cs="Arial"/>
        </w:rPr>
        <w:t xml:space="preserve"> parameters from the first 24h of the ICU admission which allows the calculation of SAPS 3 score. </w:t>
      </w:r>
    </w:p>
    <w:p w:rsidR="000F0715" w:rsidRDefault="00914510" w:rsidP="00BD77FD">
      <w:pPr>
        <w:spacing w:line="480" w:lineRule="auto"/>
        <w:ind w:firstLine="720"/>
        <w:jc w:val="both"/>
        <w:rPr>
          <w:rFonts w:ascii="Arial" w:hAnsi="Arial" w:cs="Arial"/>
        </w:rPr>
      </w:pPr>
      <w:r w:rsidRPr="000F0715">
        <w:rPr>
          <w:rFonts w:ascii="Arial" w:hAnsi="Arial" w:cs="Arial"/>
        </w:rPr>
        <w:t xml:space="preserve">All </w:t>
      </w:r>
      <w:r w:rsidR="00F3059F">
        <w:rPr>
          <w:rFonts w:ascii="Arial" w:hAnsi="Arial" w:cs="Arial"/>
        </w:rPr>
        <w:t>data was</w:t>
      </w:r>
      <w:r w:rsidRPr="000F0715">
        <w:rPr>
          <w:rFonts w:ascii="Arial" w:hAnsi="Arial" w:cs="Arial"/>
        </w:rPr>
        <w:t xml:space="preserve"> entered in the database </w:t>
      </w:r>
      <w:r w:rsidR="00651417" w:rsidRPr="000F0715">
        <w:rPr>
          <w:rFonts w:ascii="Arial" w:hAnsi="Arial" w:cs="Arial"/>
        </w:rPr>
        <w:t>via integration with the hospital medical record, administrative system or manually. Every ICU has a dedicated team that</w:t>
      </w:r>
      <w:r w:rsidR="005A466B">
        <w:rPr>
          <w:rFonts w:ascii="Arial" w:hAnsi="Arial" w:cs="Arial"/>
        </w:rPr>
        <w:t xml:space="preserve"> received</w:t>
      </w:r>
      <w:r w:rsidR="00651417" w:rsidRPr="000F0715">
        <w:rPr>
          <w:rFonts w:ascii="Arial" w:hAnsi="Arial" w:cs="Arial"/>
        </w:rPr>
        <w:t xml:space="preserve"> a specific training</w:t>
      </w:r>
      <w:r w:rsidR="00BD77FD">
        <w:rPr>
          <w:rFonts w:ascii="Arial" w:hAnsi="Arial" w:cs="Arial"/>
        </w:rPr>
        <w:t xml:space="preserve"> with periodic updates</w:t>
      </w:r>
      <w:r w:rsidR="00651417" w:rsidRPr="000F0715">
        <w:rPr>
          <w:rFonts w:ascii="Arial" w:hAnsi="Arial" w:cs="Arial"/>
        </w:rPr>
        <w:t xml:space="preserve"> to learn how to enter every patient in the database and also to review charts</w:t>
      </w:r>
      <w:r w:rsidR="00F3059F">
        <w:rPr>
          <w:rFonts w:ascii="Arial" w:hAnsi="Arial" w:cs="Arial"/>
        </w:rPr>
        <w:t xml:space="preserve"> in order</w:t>
      </w:r>
      <w:r w:rsidR="00651417" w:rsidRPr="000F0715">
        <w:rPr>
          <w:rFonts w:ascii="Arial" w:hAnsi="Arial" w:cs="Arial"/>
        </w:rPr>
        <w:t xml:space="preserve"> </w:t>
      </w:r>
      <w:r w:rsidR="00BD77FD">
        <w:rPr>
          <w:rFonts w:ascii="Arial" w:hAnsi="Arial" w:cs="Arial"/>
        </w:rPr>
        <w:t xml:space="preserve">to guarantee that all patients that </w:t>
      </w:r>
      <w:r w:rsidR="00BD77FD">
        <w:rPr>
          <w:rFonts w:ascii="Arial" w:hAnsi="Arial" w:cs="Arial"/>
        </w:rPr>
        <w:lastRenderedPageBreak/>
        <w:t xml:space="preserve">were admitted in the ICU were also entered in the database, </w:t>
      </w:r>
      <w:r w:rsidR="00651417" w:rsidRPr="000F0715">
        <w:rPr>
          <w:rFonts w:ascii="Arial" w:hAnsi="Arial" w:cs="Arial"/>
        </w:rPr>
        <w:t>avoid</w:t>
      </w:r>
      <w:r w:rsidR="00B86461" w:rsidRPr="000F0715">
        <w:rPr>
          <w:rFonts w:ascii="Arial" w:hAnsi="Arial" w:cs="Arial"/>
        </w:rPr>
        <w:t>ing</w:t>
      </w:r>
      <w:r w:rsidR="00651417" w:rsidRPr="000F0715">
        <w:rPr>
          <w:rFonts w:ascii="Arial" w:hAnsi="Arial" w:cs="Arial"/>
        </w:rPr>
        <w:t xml:space="preserve"> selection bias</w:t>
      </w:r>
      <w:r w:rsidR="00B86461" w:rsidRPr="000F0715">
        <w:rPr>
          <w:rFonts w:ascii="Arial" w:hAnsi="Arial" w:cs="Arial"/>
        </w:rPr>
        <w:t xml:space="preserve"> or missing data [</w:t>
      </w:r>
      <w:r w:rsidR="00B86461" w:rsidRPr="00294A4F">
        <w:rPr>
          <w:rFonts w:ascii="Arial" w:hAnsi="Arial" w:cs="Arial"/>
          <w:highlight w:val="yellow"/>
        </w:rPr>
        <w:t>x</w:t>
      </w:r>
      <w:r w:rsidR="00B86461" w:rsidRPr="000F0715">
        <w:rPr>
          <w:rFonts w:ascii="Arial" w:hAnsi="Arial" w:cs="Arial"/>
        </w:rPr>
        <w:t>]</w:t>
      </w:r>
      <w:r w:rsidR="00651417" w:rsidRPr="000F0715">
        <w:rPr>
          <w:rFonts w:ascii="Arial" w:hAnsi="Arial" w:cs="Arial"/>
        </w:rPr>
        <w:t>.</w:t>
      </w:r>
      <w:r w:rsidR="00B86461" w:rsidRPr="000F0715">
        <w:rPr>
          <w:rFonts w:ascii="Arial" w:hAnsi="Arial" w:cs="Arial"/>
        </w:rPr>
        <w:t xml:space="preserve"> </w:t>
      </w:r>
    </w:p>
    <w:p w:rsidR="00BD77FD" w:rsidRPr="000F0715" w:rsidRDefault="00BD77FD" w:rsidP="00BD77FD">
      <w:pPr>
        <w:spacing w:line="480" w:lineRule="auto"/>
        <w:ind w:firstLine="720"/>
        <w:jc w:val="both"/>
        <w:rPr>
          <w:rFonts w:ascii="Arial" w:hAnsi="Arial" w:cs="Arial"/>
        </w:rPr>
      </w:pPr>
    </w:p>
    <w:p w:rsidR="000F0715" w:rsidRPr="000F0715" w:rsidRDefault="000F0715" w:rsidP="00BD77FD">
      <w:pPr>
        <w:spacing w:line="480" w:lineRule="auto"/>
        <w:ind w:right="-2"/>
        <w:jc w:val="both"/>
        <w:rPr>
          <w:rFonts w:ascii="Arial" w:hAnsi="Arial" w:cs="Arial"/>
          <w:i/>
        </w:rPr>
      </w:pPr>
      <w:r w:rsidRPr="000F0715">
        <w:rPr>
          <w:rFonts w:ascii="Arial" w:hAnsi="Arial" w:cs="Arial"/>
          <w:i/>
        </w:rPr>
        <w:t>Ethical approval</w:t>
      </w:r>
    </w:p>
    <w:p w:rsidR="00914510" w:rsidRPr="000F0715" w:rsidRDefault="00294A4F" w:rsidP="00CC0A34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local ethics committee at Hospital </w:t>
      </w:r>
      <w:proofErr w:type="spellStart"/>
      <w:r>
        <w:rPr>
          <w:rFonts w:ascii="Arial" w:hAnsi="Arial" w:cs="Arial"/>
        </w:rPr>
        <w:t>Israelita</w:t>
      </w:r>
      <w:proofErr w:type="spellEnd"/>
      <w:r>
        <w:rPr>
          <w:rFonts w:ascii="Arial" w:hAnsi="Arial" w:cs="Arial"/>
        </w:rPr>
        <w:t xml:space="preserve"> Albert Einstein approved the study protocol and the need of informed consent was waived </w:t>
      </w:r>
      <w:r w:rsidR="00B86461" w:rsidRPr="00CC0A34">
        <w:rPr>
          <w:rFonts w:ascii="Arial" w:hAnsi="Arial" w:cs="Arial"/>
          <w:highlight w:val="yellow"/>
        </w:rPr>
        <w:t>(</w:t>
      </w:r>
      <w:r>
        <w:rPr>
          <w:rFonts w:ascii="Arial" w:hAnsi="Arial" w:cs="Arial"/>
          <w:highlight w:val="yellow"/>
        </w:rPr>
        <w:t xml:space="preserve">CAAE </w:t>
      </w:r>
      <w:r w:rsidR="00B86461" w:rsidRPr="00CC0A34">
        <w:rPr>
          <w:rFonts w:ascii="Arial" w:hAnsi="Arial" w:cs="Arial"/>
          <w:highlight w:val="yellow"/>
        </w:rPr>
        <w:t>number XXXXXXX)</w:t>
      </w:r>
    </w:p>
    <w:p w:rsidR="000F0715" w:rsidRPr="000F0715" w:rsidRDefault="000F0715" w:rsidP="00BD77FD">
      <w:pPr>
        <w:spacing w:line="480" w:lineRule="auto"/>
        <w:jc w:val="both"/>
        <w:rPr>
          <w:rFonts w:ascii="Arial" w:hAnsi="Arial" w:cs="Arial"/>
        </w:rPr>
      </w:pPr>
    </w:p>
    <w:p w:rsidR="000F0715" w:rsidRDefault="000F0715" w:rsidP="00BD77FD">
      <w:pPr>
        <w:spacing w:line="480" w:lineRule="auto"/>
        <w:ind w:right="-2"/>
        <w:jc w:val="both"/>
        <w:rPr>
          <w:rFonts w:ascii="Arial" w:hAnsi="Arial" w:cs="Arial"/>
          <w:i/>
        </w:rPr>
      </w:pPr>
      <w:r w:rsidRPr="000F0715">
        <w:rPr>
          <w:rFonts w:ascii="Arial" w:hAnsi="Arial" w:cs="Arial"/>
          <w:i/>
        </w:rPr>
        <w:t>Study population</w:t>
      </w:r>
    </w:p>
    <w:p w:rsidR="00F3059F" w:rsidRDefault="00F3059F" w:rsidP="00CC0A34">
      <w:pPr>
        <w:spacing w:line="480" w:lineRule="auto"/>
        <w:ind w:firstLine="720"/>
        <w:jc w:val="both"/>
        <w:rPr>
          <w:rFonts w:ascii="Arial" w:hAnsi="Arial" w:cs="Arial"/>
        </w:rPr>
      </w:pPr>
      <w:r w:rsidRPr="005A466B">
        <w:rPr>
          <w:rFonts w:ascii="Arial" w:hAnsi="Arial" w:cs="Arial"/>
        </w:rPr>
        <w:t xml:space="preserve">All patients in </w:t>
      </w:r>
      <w:proofErr w:type="spellStart"/>
      <w:r w:rsidR="00CC0A34" w:rsidRPr="005A466B">
        <w:rPr>
          <w:rFonts w:ascii="Arial" w:hAnsi="Arial" w:cs="Arial"/>
        </w:rPr>
        <w:t>epimed</w:t>
      </w:r>
      <w:proofErr w:type="spellEnd"/>
      <w:r w:rsidR="00CC0A34" w:rsidRPr="005A466B">
        <w:rPr>
          <w:rFonts w:ascii="Arial" w:hAnsi="Arial" w:cs="Arial"/>
        </w:rPr>
        <w:t xml:space="preserve"> database </w:t>
      </w:r>
      <w:r w:rsidRPr="005A466B">
        <w:rPr>
          <w:rFonts w:ascii="Arial" w:hAnsi="Arial" w:cs="Arial"/>
        </w:rPr>
        <w:t>were eligible for inclusion. The inclusion criteria were</w:t>
      </w:r>
      <w:r w:rsidR="00E01B35" w:rsidRPr="005A466B">
        <w:rPr>
          <w:rFonts w:ascii="Arial" w:hAnsi="Arial" w:cs="Arial"/>
        </w:rPr>
        <w:t xml:space="preserve"> the first ICU admission of patients with age ≥ 16 years, however only patients that fulfill SAPS 3 criteria (</w:t>
      </w:r>
      <w:r w:rsidR="005A466B" w:rsidRPr="005A466B">
        <w:rPr>
          <w:rFonts w:ascii="Arial" w:hAnsi="Arial" w:cs="Arial"/>
        </w:rPr>
        <w:t xml:space="preserve">enabling </w:t>
      </w:r>
      <w:r w:rsidR="00E01B35" w:rsidRPr="005A466B">
        <w:rPr>
          <w:rFonts w:ascii="Arial" w:hAnsi="Arial" w:cs="Arial"/>
        </w:rPr>
        <w:t>SAPS 3 score calculation) were included in our final cohort</w:t>
      </w:r>
      <w:r w:rsidRPr="005A466B">
        <w:rPr>
          <w:rFonts w:ascii="Arial" w:hAnsi="Arial" w:cs="Arial"/>
        </w:rPr>
        <w:t>. We excluded patients with more than one ICU admission, patients with missing SAPS 3 score or SAPS 3 mortality prediction</w:t>
      </w:r>
      <w:r w:rsidR="00CC0A34" w:rsidRPr="005A466B">
        <w:rPr>
          <w:rFonts w:ascii="Arial" w:hAnsi="Arial" w:cs="Arial"/>
        </w:rPr>
        <w:t xml:space="preserve"> </w:t>
      </w:r>
      <w:r w:rsidRPr="005A466B">
        <w:rPr>
          <w:rFonts w:ascii="Arial" w:hAnsi="Arial" w:cs="Arial"/>
        </w:rPr>
        <w:t>and patients with missing hospital outcome information.</w:t>
      </w:r>
    </w:p>
    <w:p w:rsidR="00BD77FD" w:rsidRPr="00BD77FD" w:rsidRDefault="00BD77FD" w:rsidP="00BD77FD">
      <w:pPr>
        <w:spacing w:line="480" w:lineRule="auto"/>
        <w:ind w:right="-2"/>
        <w:jc w:val="both"/>
        <w:rPr>
          <w:rFonts w:ascii="Arial" w:hAnsi="Arial" w:cs="Arial"/>
        </w:rPr>
      </w:pPr>
    </w:p>
    <w:p w:rsidR="000F0715" w:rsidRDefault="000F0715" w:rsidP="00BD77FD">
      <w:pPr>
        <w:spacing w:line="480" w:lineRule="auto"/>
        <w:jc w:val="both"/>
        <w:rPr>
          <w:rFonts w:ascii="Arial" w:hAnsi="Arial" w:cs="Arial"/>
          <w:i/>
        </w:rPr>
      </w:pPr>
      <w:r w:rsidRPr="000F0715">
        <w:rPr>
          <w:rFonts w:ascii="Arial" w:hAnsi="Arial" w:cs="Arial"/>
          <w:i/>
        </w:rPr>
        <w:t>Data extraction</w:t>
      </w:r>
    </w:p>
    <w:p w:rsidR="009421EF" w:rsidRPr="000F0715" w:rsidRDefault="009421EF" w:rsidP="009421EF">
      <w:pPr>
        <w:spacing w:line="480" w:lineRule="auto"/>
        <w:ind w:firstLine="720"/>
        <w:jc w:val="both"/>
        <w:rPr>
          <w:rFonts w:ascii="Arial" w:hAnsi="Arial" w:cs="Arial"/>
        </w:rPr>
      </w:pPr>
      <w:r w:rsidRPr="000A58E9">
        <w:rPr>
          <w:rFonts w:ascii="Arial" w:hAnsi="Arial" w:cs="Arial"/>
        </w:rPr>
        <w:t xml:space="preserve">The following </w:t>
      </w:r>
      <w:r>
        <w:rPr>
          <w:rFonts w:ascii="Arial" w:hAnsi="Arial" w:cs="Arial"/>
        </w:rPr>
        <w:t xml:space="preserve">patient </w:t>
      </w:r>
      <w:r w:rsidRPr="000A58E9">
        <w:rPr>
          <w:rFonts w:ascii="Arial" w:hAnsi="Arial" w:cs="Arial"/>
        </w:rPr>
        <w:t xml:space="preserve">baseline </w:t>
      </w:r>
      <w:r>
        <w:rPr>
          <w:rFonts w:ascii="Arial" w:hAnsi="Arial" w:cs="Arial"/>
        </w:rPr>
        <w:t>characteristics were gathered:  age, gender</w:t>
      </w:r>
      <w:r w:rsidR="002C77AF">
        <w:rPr>
          <w:rFonts w:ascii="Arial" w:hAnsi="Arial" w:cs="Arial"/>
        </w:rPr>
        <w:t>,</w:t>
      </w:r>
      <w:r w:rsidRPr="000A58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body mass index, previous health status [ ],</w:t>
      </w:r>
      <w:r w:rsidR="000830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length of hospital</w:t>
      </w:r>
      <w:r w:rsidR="000830DD">
        <w:rPr>
          <w:rFonts w:ascii="Arial" w:hAnsi="Arial" w:cs="Arial"/>
        </w:rPr>
        <w:t xml:space="preserve"> stay prior to the ICU admission,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Charlson</w:t>
      </w:r>
      <w:proofErr w:type="spellEnd"/>
      <w:r>
        <w:rPr>
          <w:rFonts w:ascii="Arial" w:hAnsi="Arial" w:cs="Arial"/>
        </w:rPr>
        <w:t xml:space="preserve"> comorbidity index [</w:t>
      </w:r>
      <w:r w:rsidRPr="009421EF">
        <w:rPr>
          <w:rFonts w:ascii="Arial" w:hAnsi="Arial" w:cs="Arial"/>
          <w:highlight w:val="yellow"/>
        </w:rPr>
        <w:t>12</w:t>
      </w:r>
      <w:r w:rsidRPr="000A58E9">
        <w:rPr>
          <w:rFonts w:ascii="Arial" w:hAnsi="Arial" w:cs="Arial"/>
        </w:rPr>
        <w:t>],</w:t>
      </w:r>
      <w:r w:rsidR="000830DD">
        <w:rPr>
          <w:rFonts w:ascii="Arial" w:hAnsi="Arial" w:cs="Arial"/>
        </w:rPr>
        <w:t xml:space="preserve"> </w:t>
      </w:r>
      <w:r w:rsidR="009A1E54" w:rsidRPr="009A1E54">
        <w:rPr>
          <w:rFonts w:ascii="Arial" w:hAnsi="Arial" w:cs="Arial"/>
        </w:rPr>
        <w:t>smoking status, alcoholism</w:t>
      </w:r>
      <w:r w:rsidR="000830DD" w:rsidRPr="009A1E54">
        <w:rPr>
          <w:rFonts w:ascii="Arial" w:hAnsi="Arial" w:cs="Arial"/>
        </w:rPr>
        <w:t>,</w:t>
      </w:r>
      <w:r w:rsidRPr="000A58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SAPS 3</w:t>
      </w:r>
      <w:r w:rsidR="007752B5">
        <w:rPr>
          <w:rFonts w:ascii="Arial" w:hAnsi="Arial" w:cs="Arial"/>
        </w:rPr>
        <w:t xml:space="preserve"> score [X] on ICU admission [7]</w:t>
      </w:r>
      <w:bookmarkStart w:id="0" w:name="_GoBack"/>
      <w:bookmarkEnd w:id="0"/>
      <w:r w:rsidRPr="0051245F">
        <w:rPr>
          <w:rFonts w:ascii="Arial" w:hAnsi="Arial" w:cs="Arial"/>
          <w:highlight w:val="yellow"/>
        </w:rPr>
        <w:t>, SAPS 3 admission diagnosis</w:t>
      </w:r>
      <w:r w:rsidRPr="000A58E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type of </w:t>
      </w:r>
      <w:r w:rsidRPr="000A58E9">
        <w:rPr>
          <w:rFonts w:ascii="Arial" w:hAnsi="Arial" w:cs="Arial"/>
        </w:rPr>
        <w:t>ICU admission (emergency, urgent, elective), ICU admission source (emergency department, operating room, flo</w:t>
      </w:r>
      <w:r>
        <w:rPr>
          <w:rFonts w:ascii="Arial" w:hAnsi="Arial" w:cs="Arial"/>
        </w:rPr>
        <w:t>or),</w:t>
      </w:r>
      <w:r w:rsidRPr="000A58E9">
        <w:rPr>
          <w:rFonts w:ascii="Arial" w:hAnsi="Arial" w:cs="Arial"/>
        </w:rPr>
        <w:t xml:space="preserve"> </w:t>
      </w:r>
      <w:r w:rsidR="000830DD">
        <w:rPr>
          <w:rFonts w:ascii="Arial" w:hAnsi="Arial" w:cs="Arial"/>
        </w:rPr>
        <w:t xml:space="preserve"> procedures (</w:t>
      </w:r>
      <w:r w:rsidR="000830DD" w:rsidRPr="000A58E9">
        <w:rPr>
          <w:rFonts w:ascii="Arial" w:hAnsi="Arial" w:cs="Arial"/>
        </w:rPr>
        <w:t>mechanical ventilation</w:t>
      </w:r>
      <w:r w:rsidR="000830DD">
        <w:rPr>
          <w:rFonts w:ascii="Arial" w:hAnsi="Arial" w:cs="Arial"/>
        </w:rPr>
        <w:t xml:space="preserve">,  </w:t>
      </w:r>
      <w:r w:rsidR="000830DD" w:rsidRPr="009A1E54">
        <w:rPr>
          <w:rFonts w:ascii="Arial" w:hAnsi="Arial" w:cs="Arial"/>
        </w:rPr>
        <w:t>vasoactive medication and hemodialysis</w:t>
      </w:r>
      <w:r w:rsidR="000830DD">
        <w:rPr>
          <w:rFonts w:ascii="Arial" w:hAnsi="Arial" w:cs="Arial"/>
        </w:rPr>
        <w:t xml:space="preserve">) </w:t>
      </w:r>
      <w:r w:rsidRPr="000A58E9">
        <w:rPr>
          <w:rFonts w:ascii="Arial" w:hAnsi="Arial" w:cs="Arial"/>
        </w:rPr>
        <w:t>in the first 24 hours of ICU admission</w:t>
      </w:r>
      <w:r>
        <w:rPr>
          <w:rFonts w:ascii="Arial" w:hAnsi="Arial" w:cs="Arial"/>
        </w:rPr>
        <w:t xml:space="preserve"> </w:t>
      </w:r>
      <w:r w:rsidRPr="000A58E9">
        <w:rPr>
          <w:rFonts w:ascii="Arial" w:hAnsi="Arial" w:cs="Arial"/>
        </w:rPr>
        <w:t>ICU and hospital length of stay</w:t>
      </w:r>
      <w:r w:rsidR="002C77A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B86461" w:rsidRPr="000F0715" w:rsidRDefault="00B86461" w:rsidP="00BD77FD">
      <w:pPr>
        <w:spacing w:line="480" w:lineRule="auto"/>
        <w:jc w:val="both"/>
        <w:rPr>
          <w:rFonts w:ascii="Arial" w:hAnsi="Arial" w:cs="Arial"/>
        </w:rPr>
      </w:pPr>
    </w:p>
    <w:p w:rsidR="000F0715" w:rsidRDefault="000F0715" w:rsidP="00BD77FD">
      <w:pPr>
        <w:spacing w:line="480" w:lineRule="auto"/>
        <w:ind w:right="-2"/>
        <w:jc w:val="both"/>
        <w:rPr>
          <w:rFonts w:ascii="Arial" w:hAnsi="Arial" w:cs="Arial"/>
          <w:i/>
        </w:rPr>
      </w:pPr>
      <w:r w:rsidRPr="000F0715">
        <w:rPr>
          <w:rFonts w:ascii="Arial" w:hAnsi="Arial" w:cs="Arial"/>
          <w:i/>
        </w:rPr>
        <w:t>Data preparation and definitions</w:t>
      </w:r>
    </w:p>
    <w:p w:rsidR="00BD77FD" w:rsidRPr="000F0715" w:rsidRDefault="00BD77FD" w:rsidP="00BD77FD">
      <w:pPr>
        <w:spacing w:line="480" w:lineRule="auto"/>
        <w:ind w:right="-2"/>
        <w:jc w:val="both"/>
        <w:rPr>
          <w:rFonts w:ascii="Arial" w:hAnsi="Arial" w:cs="Arial"/>
        </w:rPr>
      </w:pPr>
    </w:p>
    <w:p w:rsidR="000F0715" w:rsidRDefault="000F0715" w:rsidP="00BD77FD">
      <w:pPr>
        <w:spacing w:line="480" w:lineRule="auto"/>
        <w:ind w:right="-2"/>
        <w:jc w:val="both"/>
        <w:rPr>
          <w:rFonts w:ascii="Arial" w:hAnsi="Arial" w:cs="Arial"/>
          <w:i/>
        </w:rPr>
      </w:pPr>
      <w:r w:rsidRPr="000F0715">
        <w:rPr>
          <w:rFonts w:ascii="Arial" w:hAnsi="Arial" w:cs="Arial"/>
          <w:i/>
        </w:rPr>
        <w:t>Outcomes</w:t>
      </w:r>
    </w:p>
    <w:p w:rsidR="00BD77FD" w:rsidRDefault="00BD77FD" w:rsidP="00BD77FD">
      <w:pPr>
        <w:spacing w:line="480" w:lineRule="auto"/>
        <w:ind w:right="-2"/>
        <w:jc w:val="both"/>
        <w:rPr>
          <w:rFonts w:ascii="Arial" w:hAnsi="Arial" w:cs="Arial"/>
        </w:rPr>
      </w:pPr>
      <w:r w:rsidRPr="00EF3217">
        <w:rPr>
          <w:rFonts w:ascii="Arial" w:hAnsi="Arial" w:cs="Arial"/>
        </w:rPr>
        <w:t>The primary outcome was in–hospital mortality. Secondary outcomes included ICU length of stay and hospital length of stay.</w:t>
      </w:r>
    </w:p>
    <w:p w:rsidR="00BD77FD" w:rsidRPr="000F0715" w:rsidRDefault="00BD77FD" w:rsidP="00BD77FD">
      <w:pPr>
        <w:spacing w:line="480" w:lineRule="auto"/>
        <w:ind w:right="-2"/>
        <w:jc w:val="both"/>
        <w:rPr>
          <w:rFonts w:ascii="Arial" w:hAnsi="Arial" w:cs="Arial"/>
        </w:rPr>
      </w:pPr>
    </w:p>
    <w:p w:rsidR="000F0715" w:rsidRDefault="000F0715" w:rsidP="00BD77FD">
      <w:pPr>
        <w:spacing w:line="480" w:lineRule="auto"/>
        <w:ind w:right="-2"/>
        <w:jc w:val="both"/>
        <w:rPr>
          <w:rFonts w:ascii="Arial" w:hAnsi="Arial" w:cs="Arial"/>
          <w:i/>
        </w:rPr>
      </w:pPr>
      <w:r w:rsidRPr="000F0715">
        <w:rPr>
          <w:rFonts w:ascii="Arial" w:hAnsi="Arial" w:cs="Arial"/>
          <w:i/>
        </w:rPr>
        <w:t>Statistical analysis</w:t>
      </w:r>
    </w:p>
    <w:p w:rsidR="00BD77FD" w:rsidRDefault="00BD77FD" w:rsidP="00BD77FD">
      <w:pPr>
        <w:spacing w:line="480" w:lineRule="auto"/>
        <w:ind w:right="-2"/>
        <w:jc w:val="both"/>
        <w:rPr>
          <w:rFonts w:ascii="Arial" w:hAnsi="Arial" w:cs="Arial"/>
          <w:i/>
        </w:rPr>
      </w:pPr>
    </w:p>
    <w:p w:rsidR="00BD77FD" w:rsidRDefault="00BD77FD" w:rsidP="00BD77FD">
      <w:pPr>
        <w:spacing w:line="480" w:lineRule="auto"/>
        <w:ind w:right="-2"/>
        <w:jc w:val="both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Development and validation of the</w:t>
      </w:r>
      <w:r w:rsidR="000830DD">
        <w:rPr>
          <w:rFonts w:ascii="Arial" w:hAnsi="Arial" w:cs="Arial"/>
          <w:i/>
        </w:rPr>
        <w:t xml:space="preserve"> new</w:t>
      </w:r>
      <w:r>
        <w:rPr>
          <w:rFonts w:ascii="Arial" w:hAnsi="Arial" w:cs="Arial"/>
          <w:i/>
        </w:rPr>
        <w:t xml:space="preserve"> prognostic score.</w:t>
      </w:r>
      <w:proofErr w:type="gramEnd"/>
    </w:p>
    <w:p w:rsidR="00801E9D" w:rsidRDefault="00801E9D" w:rsidP="00801E9D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Missing variables and outliers</w:t>
      </w:r>
    </w:p>
    <w:p w:rsidR="00B86461" w:rsidRPr="00801E9D" w:rsidRDefault="00801E9D" w:rsidP="00801E9D">
      <w:pPr>
        <w:pStyle w:val="PargrafodaLista"/>
        <w:numPr>
          <w:ilvl w:val="1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Look the specific threshold from GOSSIS and take the median</w:t>
      </w:r>
    </w:p>
    <w:p w:rsidR="0051245F" w:rsidRDefault="0051245F" w:rsidP="0051245F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 Models</w:t>
      </w:r>
    </w:p>
    <w:p w:rsidR="0051245F" w:rsidRDefault="0051245F" w:rsidP="0051245F">
      <w:pPr>
        <w:pStyle w:val="PargrafodaLista"/>
        <w:numPr>
          <w:ilvl w:val="1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Block 1</w:t>
      </w:r>
      <w:r w:rsidR="00801E9D">
        <w:rPr>
          <w:rFonts w:ascii="Arial" w:hAnsi="Arial" w:cs="Arial"/>
        </w:rPr>
        <w:t>:</w:t>
      </w:r>
      <w:r w:rsidR="00712273">
        <w:rPr>
          <w:rFonts w:ascii="Arial" w:hAnsi="Arial" w:cs="Arial"/>
        </w:rPr>
        <w:t xml:space="preserve">  J</w:t>
      </w:r>
      <w:r w:rsidR="00801E9D">
        <w:rPr>
          <w:rFonts w:ascii="Arial" w:hAnsi="Arial" w:cs="Arial"/>
        </w:rPr>
        <w:t>ust V</w:t>
      </w:r>
      <w:r>
        <w:rPr>
          <w:rFonts w:ascii="Arial" w:hAnsi="Arial" w:cs="Arial"/>
        </w:rPr>
        <w:t>itals (without GCS)</w:t>
      </w:r>
    </w:p>
    <w:p w:rsidR="0051245F" w:rsidRDefault="0051245F" w:rsidP="0051245F">
      <w:pPr>
        <w:pStyle w:val="PargrafodaLista"/>
        <w:numPr>
          <w:ilvl w:val="1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Block 2</w:t>
      </w:r>
      <w:r w:rsidR="00801E9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Vitals + pre ICU data</w:t>
      </w:r>
    </w:p>
    <w:p w:rsidR="0051245F" w:rsidRDefault="0051245F" w:rsidP="0051245F">
      <w:pPr>
        <w:pStyle w:val="PargrafodaLista"/>
        <w:numPr>
          <w:ilvl w:val="1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Block 3: Vitals + pre ICU + GCS (3/ 4-14/15/NULL)</w:t>
      </w:r>
    </w:p>
    <w:p w:rsidR="0051245F" w:rsidRDefault="0051245F" w:rsidP="0051245F">
      <w:pPr>
        <w:pStyle w:val="PargrafodaLista"/>
        <w:numPr>
          <w:ilvl w:val="1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Block 4: block 3 + lab results </w:t>
      </w:r>
    </w:p>
    <w:p w:rsidR="0051245F" w:rsidRDefault="0051245F" w:rsidP="0051245F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Each model</w:t>
      </w:r>
    </w:p>
    <w:p w:rsidR="0051245F" w:rsidRDefault="0051245F" w:rsidP="0051245F">
      <w:pPr>
        <w:pStyle w:val="PargrafodaLista"/>
        <w:numPr>
          <w:ilvl w:val="1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LR with medians* instead of NULLS</w:t>
      </w:r>
    </w:p>
    <w:p w:rsidR="0051245F" w:rsidRDefault="00801E9D" w:rsidP="0051245F">
      <w:pPr>
        <w:pStyle w:val="PargrafodaLista"/>
        <w:numPr>
          <w:ilvl w:val="1"/>
          <w:numId w:val="1"/>
        </w:numPr>
        <w:spacing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XG</w:t>
      </w:r>
      <w:r w:rsidR="0051245F">
        <w:rPr>
          <w:rFonts w:ascii="Arial" w:hAnsi="Arial" w:cs="Arial"/>
        </w:rPr>
        <w:t>Boost</w:t>
      </w:r>
      <w:proofErr w:type="spellEnd"/>
      <w:r>
        <w:rPr>
          <w:rFonts w:ascii="Arial" w:hAnsi="Arial" w:cs="Arial"/>
        </w:rPr>
        <w:t>*</w:t>
      </w:r>
      <w:r w:rsidR="0051245F">
        <w:rPr>
          <w:rFonts w:ascii="Arial" w:hAnsi="Arial" w:cs="Arial"/>
        </w:rPr>
        <w:t xml:space="preserve"> with medians* instead of NULLS</w:t>
      </w:r>
    </w:p>
    <w:p w:rsidR="00801E9D" w:rsidRDefault="00801E9D" w:rsidP="00801E9D">
      <w:pPr>
        <w:pStyle w:val="PargrafodaLista"/>
        <w:numPr>
          <w:ilvl w:val="1"/>
          <w:numId w:val="1"/>
        </w:numPr>
        <w:spacing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XGboost</w:t>
      </w:r>
      <w:proofErr w:type="spellEnd"/>
      <w:r>
        <w:rPr>
          <w:rFonts w:ascii="Arial" w:hAnsi="Arial" w:cs="Arial"/>
        </w:rPr>
        <w:t xml:space="preserve"> with NULLS</w:t>
      </w:r>
    </w:p>
    <w:p w:rsidR="00801E9D" w:rsidRPr="00801E9D" w:rsidRDefault="00801E9D" w:rsidP="00801E9D">
      <w:pPr>
        <w:spacing w:line="480" w:lineRule="auto"/>
        <w:ind w:left="1080"/>
        <w:jc w:val="both"/>
        <w:rPr>
          <w:rFonts w:ascii="Arial" w:hAnsi="Arial" w:cs="Arial"/>
        </w:rPr>
      </w:pPr>
    </w:p>
    <w:p w:rsidR="00801E9D" w:rsidRDefault="00801E9D" w:rsidP="00801E9D">
      <w:pPr>
        <w:spacing w:line="480" w:lineRule="auto"/>
        <w:jc w:val="both"/>
        <w:rPr>
          <w:rFonts w:ascii="Arial" w:hAnsi="Arial" w:cs="Arial"/>
        </w:rPr>
      </w:pPr>
    </w:p>
    <w:p w:rsidR="00801E9D" w:rsidRDefault="00801E9D" w:rsidP="00801E9D">
      <w:pPr>
        <w:spacing w:line="480" w:lineRule="auto"/>
        <w:jc w:val="both"/>
        <w:rPr>
          <w:rFonts w:ascii="Arial" w:hAnsi="Arial" w:cs="Arial"/>
        </w:rPr>
      </w:pPr>
    </w:p>
    <w:p w:rsidR="00801E9D" w:rsidRDefault="00801E9D" w:rsidP="00801E9D">
      <w:pPr>
        <w:spacing w:line="480" w:lineRule="auto"/>
        <w:jc w:val="both"/>
        <w:rPr>
          <w:rFonts w:ascii="Arial" w:hAnsi="Arial" w:cs="Arial"/>
        </w:rPr>
      </w:pPr>
    </w:p>
    <w:p w:rsidR="00801E9D" w:rsidRPr="00801E9D" w:rsidRDefault="00801E9D" w:rsidP="00801E9D">
      <w:pPr>
        <w:spacing w:line="480" w:lineRule="auto"/>
        <w:jc w:val="both"/>
        <w:rPr>
          <w:rFonts w:ascii="Arial" w:hAnsi="Arial" w:cs="Arial"/>
        </w:rPr>
      </w:pPr>
    </w:p>
    <w:p w:rsidR="0051245F" w:rsidRDefault="0051245F" w:rsidP="0051245F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elacomgrade"/>
        <w:tblW w:w="9792" w:type="dxa"/>
        <w:tblInd w:w="-459" w:type="dxa"/>
        <w:tblLook w:val="04A0" w:firstRow="1" w:lastRow="0" w:firstColumn="1" w:lastColumn="0" w:noHBand="0" w:noVBand="1"/>
      </w:tblPr>
      <w:tblGrid>
        <w:gridCol w:w="1701"/>
        <w:gridCol w:w="2036"/>
        <w:gridCol w:w="2075"/>
        <w:gridCol w:w="1984"/>
        <w:gridCol w:w="1996"/>
      </w:tblGrid>
      <w:tr w:rsidR="00801E9D" w:rsidTr="00801E9D">
        <w:trPr>
          <w:trHeight w:val="1783"/>
        </w:trPr>
        <w:tc>
          <w:tcPr>
            <w:tcW w:w="1701" w:type="dxa"/>
          </w:tcPr>
          <w:p w:rsidR="00801E9D" w:rsidRDefault="00801E9D" w:rsidP="0051245F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36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1E9D">
              <w:rPr>
                <w:rFonts w:ascii="Arial" w:hAnsi="Arial" w:cs="Arial"/>
                <w:sz w:val="22"/>
                <w:szCs w:val="22"/>
              </w:rPr>
              <w:t>Model 01</w:t>
            </w:r>
          </w:p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AUROC (95%CI)</w:t>
            </w:r>
          </w:p>
        </w:tc>
        <w:tc>
          <w:tcPr>
            <w:tcW w:w="2075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1E9D">
              <w:rPr>
                <w:rFonts w:ascii="Arial" w:hAnsi="Arial" w:cs="Arial"/>
                <w:sz w:val="22"/>
                <w:szCs w:val="22"/>
              </w:rPr>
              <w:t>Model 02</w:t>
            </w:r>
          </w:p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1E9D">
              <w:rPr>
                <w:rFonts w:ascii="Arial" w:hAnsi="Arial" w:cs="Arial"/>
                <w:sz w:val="22"/>
                <w:szCs w:val="22"/>
              </w:rPr>
              <w:t>AUROC (95%CI)</w:t>
            </w:r>
          </w:p>
        </w:tc>
        <w:tc>
          <w:tcPr>
            <w:tcW w:w="1984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1E9D">
              <w:rPr>
                <w:rFonts w:ascii="Arial" w:hAnsi="Arial" w:cs="Arial"/>
                <w:sz w:val="22"/>
                <w:szCs w:val="22"/>
              </w:rPr>
              <w:t>Model 03</w:t>
            </w:r>
          </w:p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1E9D">
              <w:rPr>
                <w:rFonts w:ascii="Arial" w:hAnsi="Arial" w:cs="Arial"/>
                <w:sz w:val="22"/>
                <w:szCs w:val="22"/>
              </w:rPr>
              <w:t>AUROC (95%CI)</w:t>
            </w:r>
          </w:p>
        </w:tc>
        <w:tc>
          <w:tcPr>
            <w:tcW w:w="1996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1E9D">
              <w:rPr>
                <w:rFonts w:ascii="Arial" w:hAnsi="Arial" w:cs="Arial"/>
                <w:sz w:val="22"/>
                <w:szCs w:val="22"/>
              </w:rPr>
              <w:t>Model 04</w:t>
            </w:r>
          </w:p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01E9D">
              <w:rPr>
                <w:rFonts w:ascii="Arial" w:hAnsi="Arial" w:cs="Arial"/>
                <w:sz w:val="22"/>
                <w:szCs w:val="22"/>
              </w:rPr>
              <w:t>AUROC (95%CI)</w:t>
            </w:r>
          </w:p>
        </w:tc>
      </w:tr>
      <w:tr w:rsidR="00801E9D" w:rsidTr="00801E9D">
        <w:trPr>
          <w:trHeight w:val="626"/>
        </w:trPr>
        <w:tc>
          <w:tcPr>
            <w:tcW w:w="1701" w:type="dxa"/>
          </w:tcPr>
          <w:p w:rsidR="00801E9D" w:rsidRPr="00801E9D" w:rsidRDefault="00801E9D" w:rsidP="0051245F">
            <w:pPr>
              <w:spacing w:line="48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LR</w:t>
            </w:r>
          </w:p>
        </w:tc>
        <w:tc>
          <w:tcPr>
            <w:tcW w:w="2036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5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6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E9D" w:rsidTr="00801E9D">
        <w:trPr>
          <w:trHeight w:val="594"/>
        </w:trPr>
        <w:tc>
          <w:tcPr>
            <w:tcW w:w="1701" w:type="dxa"/>
          </w:tcPr>
          <w:p w:rsidR="00801E9D" w:rsidRPr="00801E9D" w:rsidRDefault="00801E9D" w:rsidP="0051245F">
            <w:pPr>
              <w:spacing w:line="48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1E9D">
              <w:rPr>
                <w:rFonts w:ascii="Arial" w:hAnsi="Arial" w:cs="Arial"/>
                <w:sz w:val="22"/>
                <w:szCs w:val="22"/>
              </w:rPr>
              <w:t>XGBoost</w:t>
            </w:r>
            <w:proofErr w:type="spellEnd"/>
            <w:r w:rsidRPr="00801E9D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2036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5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6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E9D" w:rsidTr="00801E9D">
        <w:trPr>
          <w:trHeight w:val="607"/>
        </w:trPr>
        <w:tc>
          <w:tcPr>
            <w:tcW w:w="1701" w:type="dxa"/>
          </w:tcPr>
          <w:p w:rsidR="00801E9D" w:rsidRPr="00801E9D" w:rsidRDefault="00801E9D" w:rsidP="0051245F">
            <w:pPr>
              <w:spacing w:line="48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1E9D">
              <w:rPr>
                <w:rFonts w:ascii="Arial" w:hAnsi="Arial" w:cs="Arial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2036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5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96" w:type="dxa"/>
          </w:tcPr>
          <w:p w:rsidR="00801E9D" w:rsidRPr="00801E9D" w:rsidRDefault="00801E9D" w:rsidP="00801E9D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01E9D" w:rsidRDefault="00801E9D" w:rsidP="00BD77FD">
      <w:pPr>
        <w:spacing w:line="480" w:lineRule="auto"/>
        <w:jc w:val="both"/>
        <w:rPr>
          <w:rFonts w:ascii="Arial" w:hAnsi="Arial" w:cs="Arial"/>
        </w:rPr>
      </w:pPr>
    </w:p>
    <w:p w:rsidR="00801E9D" w:rsidRDefault="00801E9D" w:rsidP="00BD77FD">
      <w:pPr>
        <w:spacing w:line="480" w:lineRule="auto"/>
        <w:jc w:val="both"/>
        <w:rPr>
          <w:rFonts w:ascii="Arial" w:hAnsi="Arial" w:cs="Arial"/>
        </w:rPr>
      </w:pPr>
    </w:p>
    <w:p w:rsidR="00B86461" w:rsidRPr="000F0715" w:rsidRDefault="00B86461" w:rsidP="00BD77FD">
      <w:pPr>
        <w:spacing w:line="480" w:lineRule="auto"/>
        <w:jc w:val="both"/>
        <w:rPr>
          <w:rFonts w:ascii="Arial" w:hAnsi="Arial" w:cs="Arial"/>
          <w:b/>
          <w:lang w:val="pt-BR"/>
        </w:rPr>
      </w:pPr>
      <w:proofErr w:type="spellStart"/>
      <w:r w:rsidRPr="000F0715">
        <w:rPr>
          <w:rFonts w:ascii="Arial" w:hAnsi="Arial" w:cs="Arial"/>
          <w:b/>
          <w:lang w:val="pt-BR"/>
        </w:rPr>
        <w:t>Discussion</w:t>
      </w:r>
      <w:proofErr w:type="spellEnd"/>
    </w:p>
    <w:p w:rsidR="00B86461" w:rsidRPr="000F0715" w:rsidRDefault="00B86461" w:rsidP="00BD77FD">
      <w:pPr>
        <w:spacing w:line="480" w:lineRule="auto"/>
        <w:jc w:val="both"/>
        <w:rPr>
          <w:rFonts w:ascii="Arial" w:hAnsi="Arial" w:cs="Arial"/>
          <w:b/>
          <w:lang w:val="pt-BR"/>
        </w:rPr>
      </w:pPr>
    </w:p>
    <w:p w:rsidR="00B86461" w:rsidRPr="000F0715" w:rsidRDefault="00B86461" w:rsidP="00BD77FD">
      <w:pPr>
        <w:spacing w:line="480" w:lineRule="auto"/>
        <w:jc w:val="both"/>
        <w:rPr>
          <w:rFonts w:ascii="Arial" w:hAnsi="Arial" w:cs="Arial"/>
          <w:b/>
          <w:lang w:val="pt-BR"/>
        </w:rPr>
      </w:pPr>
      <w:r w:rsidRPr="000F0715">
        <w:rPr>
          <w:rFonts w:ascii="Arial" w:hAnsi="Arial" w:cs="Arial"/>
          <w:b/>
          <w:lang w:val="pt-BR"/>
        </w:rPr>
        <w:t xml:space="preserve">SAPS 3 </w:t>
      </w:r>
      <w:proofErr w:type="spellStart"/>
      <w:r w:rsidRPr="000F0715">
        <w:rPr>
          <w:rFonts w:ascii="Arial" w:hAnsi="Arial" w:cs="Arial"/>
          <w:b/>
          <w:lang w:val="pt-BR"/>
        </w:rPr>
        <w:t>medio</w:t>
      </w:r>
      <w:proofErr w:type="spellEnd"/>
      <w:r w:rsidRPr="000F0715">
        <w:rPr>
          <w:rFonts w:ascii="Arial" w:hAnsi="Arial" w:cs="Arial"/>
          <w:b/>
          <w:lang w:val="pt-BR"/>
        </w:rPr>
        <w:t xml:space="preserve"> das 598 UTI de 318 hospitais- usuários do </w:t>
      </w:r>
      <w:proofErr w:type="spellStart"/>
      <w:r w:rsidRPr="000F0715">
        <w:rPr>
          <w:rFonts w:ascii="Arial" w:hAnsi="Arial" w:cs="Arial"/>
          <w:b/>
          <w:lang w:val="pt-BR"/>
        </w:rPr>
        <w:t>epimed</w:t>
      </w:r>
      <w:proofErr w:type="spellEnd"/>
      <w:r w:rsidRPr="000F0715">
        <w:rPr>
          <w:rFonts w:ascii="Arial" w:hAnsi="Arial" w:cs="Arial"/>
          <w:b/>
          <w:lang w:val="pt-BR"/>
        </w:rPr>
        <w:t xml:space="preserve"> no Brasil é de 42 +- 16, idade média 62 anos, mortalidade hospitalar 17%</w:t>
      </w:r>
    </w:p>
    <w:p w:rsidR="00B86461" w:rsidRDefault="00B86461" w:rsidP="00BD77FD">
      <w:pPr>
        <w:spacing w:line="480" w:lineRule="auto"/>
        <w:jc w:val="both"/>
        <w:rPr>
          <w:rFonts w:ascii="Arial" w:hAnsi="Arial" w:cs="Arial"/>
          <w:lang w:val="pt-BR"/>
        </w:rPr>
      </w:pPr>
    </w:p>
    <w:p w:rsidR="00AC138F" w:rsidRPr="000F0715" w:rsidRDefault="00AC138F" w:rsidP="008934DB">
      <w:pPr>
        <w:spacing w:line="480" w:lineRule="auto"/>
        <w:jc w:val="both"/>
        <w:rPr>
          <w:rFonts w:ascii="Arial" w:hAnsi="Arial" w:cs="Arial"/>
          <w:lang w:val="pt-BR"/>
        </w:rPr>
      </w:pPr>
    </w:p>
    <w:sectPr w:rsidR="00AC138F" w:rsidRPr="000F0715" w:rsidSect="00365E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97057"/>
    <w:multiLevelType w:val="hybridMultilevel"/>
    <w:tmpl w:val="A3A436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2D"/>
    <w:rsid w:val="000830DD"/>
    <w:rsid w:val="000D3DC3"/>
    <w:rsid w:val="000F0715"/>
    <w:rsid w:val="00145A50"/>
    <w:rsid w:val="001474D7"/>
    <w:rsid w:val="00294A4F"/>
    <w:rsid w:val="002C77AF"/>
    <w:rsid w:val="00365E80"/>
    <w:rsid w:val="00437BB5"/>
    <w:rsid w:val="0051245F"/>
    <w:rsid w:val="005A466B"/>
    <w:rsid w:val="00651417"/>
    <w:rsid w:val="00712273"/>
    <w:rsid w:val="007752B5"/>
    <w:rsid w:val="00801E9D"/>
    <w:rsid w:val="008934DB"/>
    <w:rsid w:val="009050D6"/>
    <w:rsid w:val="00914510"/>
    <w:rsid w:val="009421EF"/>
    <w:rsid w:val="00975B2D"/>
    <w:rsid w:val="009A1E54"/>
    <w:rsid w:val="00A006AD"/>
    <w:rsid w:val="00AC138F"/>
    <w:rsid w:val="00B45AD7"/>
    <w:rsid w:val="00B86461"/>
    <w:rsid w:val="00BD77FD"/>
    <w:rsid w:val="00BF791C"/>
    <w:rsid w:val="00CC0A34"/>
    <w:rsid w:val="00D515F1"/>
    <w:rsid w:val="00DC2868"/>
    <w:rsid w:val="00E01B35"/>
    <w:rsid w:val="00F3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45F"/>
    <w:pPr>
      <w:ind w:left="720"/>
      <w:contextualSpacing/>
    </w:pPr>
  </w:style>
  <w:style w:type="table" w:styleId="Tabelacomgrade">
    <w:name w:val="Table Grid"/>
    <w:basedOn w:val="Tabelanormal"/>
    <w:uiPriority w:val="39"/>
    <w:rsid w:val="00512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45F"/>
    <w:pPr>
      <w:ind w:left="720"/>
      <w:contextualSpacing/>
    </w:pPr>
  </w:style>
  <w:style w:type="table" w:styleId="Tabelacomgrade">
    <w:name w:val="Table Grid"/>
    <w:basedOn w:val="Tabelanormal"/>
    <w:uiPriority w:val="39"/>
    <w:rsid w:val="00512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604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Deliberato</dc:creator>
  <cp:keywords/>
  <dc:description/>
  <cp:lastModifiedBy>Rodrigo Octavio Deliberato</cp:lastModifiedBy>
  <cp:revision>12</cp:revision>
  <dcterms:created xsi:type="dcterms:W3CDTF">2018-03-28T20:19:00Z</dcterms:created>
  <dcterms:modified xsi:type="dcterms:W3CDTF">2018-04-06T18:12:00Z</dcterms:modified>
</cp:coreProperties>
</file>