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_Toc946147752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_Toc946147752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_Toc1936345476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_Toc1936345476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_Toc1191228494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_Toc1191228494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_Toc2134741324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_Toc2134741324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_Toc588142039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_Toc588142039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_Toc36022332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eastAsia="zh-TW"/>
            </w:rPr>
            <w:t>5. 查询主链moac余额和erc20余额</w:t>
          </w:r>
          <w:r>
            <w:tab/>
          </w:r>
          <w:r>
            <w:fldChar w:fldCharType="begin"/>
          </w:r>
          <w:r>
            <w:instrText xml:space="preserve"> PAGEREF _Toc36022332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_Toc1984429117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0000BF" w:themeColor="hyperlink" w:themeShade="BF"/>
              <w:szCs w:val="26"/>
              <w:lang w:eastAsia="zh-TW" w:bidi="ar-SA"/>
            </w:rPr>
            <w:t>6. 登录后，设置当前nonce（异步）</w:t>
          </w:r>
          <w:r>
            <w:tab/>
          </w:r>
          <w:r>
            <w:fldChar w:fldCharType="begin"/>
          </w:r>
          <w:r>
            <w:instrText xml:space="preserve"> PAGEREF _Toc1984429117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_Toc1879131509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0000BF" w:themeColor="hyperlink" w:themeShade="BF"/>
              <w:szCs w:val="26"/>
              <w:lang w:eastAsia="zh-TW" w:bidi="ar-SA"/>
            </w:rPr>
            <w:t>7. 根据nonce获取result（异步）</w:t>
          </w:r>
          <w:r>
            <w:tab/>
          </w:r>
          <w:r>
            <w:fldChar w:fldCharType="begin"/>
          </w:r>
          <w:r>
            <w:instrText xml:space="preserve"> PAGEREF _Toc1879131509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_Toc1668758981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0000BF" w:themeColor="hyperlink" w:themeShade="BF"/>
              <w:szCs w:val="26"/>
              <w:lang w:eastAsia="zh-TW" w:bidi="ar-SA"/>
            </w:rPr>
            <w:t>8. moac转账 (异步)</w:t>
          </w:r>
          <w:r>
            <w:tab/>
          </w:r>
          <w:r>
            <w:fldChar w:fldCharType="begin"/>
          </w:r>
          <w:r>
            <w:instrText xml:space="preserve"> PAGEREF _Toc1668758981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_Toc695763847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0000BF" w:themeColor="hyperlink" w:themeShade="BF"/>
              <w:szCs w:val="26"/>
              <w:lang w:eastAsia="zh-TW" w:bidi="ar-SA"/>
            </w:rPr>
            <w:t>9. coin转账 (异步)</w:t>
          </w:r>
          <w:r>
            <w:tab/>
          </w:r>
          <w:r>
            <w:fldChar w:fldCharType="begin"/>
          </w:r>
          <w:r>
            <w:instrText xml:space="preserve"> PAGEREF _Toc695763847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_Toc654518614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color w:val="0000BF" w:themeColor="hyperlink" w:themeShade="BF"/>
              <w:szCs w:val="26"/>
              <w:lang w:eastAsia="zh-TW" w:bidi="ar-SA"/>
            </w:rPr>
            <w:t>10. 我的充值, 提币历史记录 (异步)</w:t>
          </w:r>
          <w:r>
            <w:tab/>
          </w:r>
          <w:r>
            <w:fldChar w:fldCharType="begin"/>
          </w:r>
          <w:r>
            <w:instrText xml:space="preserve"> PAGEREF _Toc654518614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_Toc1083105564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_Toc1083105564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_Toc1683822176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_Toc1683822176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_Toc459811866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_Toc459811866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_Toc1411869956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_Toc1411869956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_Toc1751534789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_Toc1751534789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_Toc339365647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_Toc339365647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_Toc1862697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_Toc1862697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_Toc1241577421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_Toc1241577421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_Toc93116848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_Toc93116848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_Toc1646769320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_Toc1646769320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_Toc482718704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10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获取块信息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_Toc482718704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_Toc2007523409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功能模块注意点：</w:t>
          </w:r>
          <w:r>
            <w:tab/>
          </w:r>
          <w:r>
            <w:fldChar w:fldCharType="begin"/>
          </w:r>
          <w:r>
            <w:instrText xml:space="preserve"> PAGEREF _Toc2007523409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_Toc1330357046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1.  进入app，先调用 ---9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（异步）接口，获取当前所有链问版块list，picPath会在上线前给出打包图标，前台根据picPath返回值加载。</w:t>
          </w:r>
          <w:r>
            <w:tab/>
          </w:r>
          <w:r>
            <w:fldChar w:fldCharType="begin"/>
          </w:r>
          <w:r>
            <w:instrText xml:space="preserve"> PAGEREF _Toc1330357046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_Toc1858623205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    </w:r>
          <w:r>
            <w:tab/>
          </w:r>
          <w:r>
            <w:fldChar w:fldCharType="begin"/>
          </w:r>
          <w:r>
            <w:instrText xml:space="preserve"> PAGEREF _Toc1858623205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_Toc583077173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3. 充值，提币，创建问题三个模块要进行余额判断</w:t>
          </w:r>
          <w:r>
            <w:tab/>
          </w:r>
          <w:r>
            <w:fldChar w:fldCharType="begin"/>
          </w:r>
          <w:r>
            <w:instrText xml:space="preserve"> PAGEREF _Toc583077173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946147752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1936345476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1191228494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2134741324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keystore,subChainAddr, 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588142039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rpcIp，exchangeRate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hint="eastAsia"/>
          <w:lang w:eastAsia="zh-TW"/>
        </w:rPr>
      </w:pPr>
      <w:bookmarkStart w:id="5" w:name="_Toc36022332"/>
      <w:r>
        <w:rPr>
          <w:rFonts w:hint="default"/>
          <w:lang w:eastAsia="zh-TW"/>
        </w:rPr>
        <w:t>5. 查询主链moac余额和erc20余额</w:t>
      </w:r>
      <w:bookmarkEnd w:id="5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6" w:name="_Toc198442911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6. 登录后，设置当前nonce（异步）</w:t>
      </w:r>
      <w:bookmarkEnd w:id="6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setNonce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登录成功后，设置当前nonce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设置成功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设置失败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7" w:name="_Toc1879131509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7. 根据nonce获取result（异步）</w:t>
      </w:r>
      <w:bookmarkEnd w:id="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getResult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nonce,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根据nonce查询结果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2 进行中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8" w:name="_Toc1668758981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8. moac转账 (异步)</w:t>
      </w:r>
      <w:bookmarkEnd w:id="8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transferMoac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pwd,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给他人转账moac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9" w:name="_Toc69576384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9. coin转账 (异步)</w:t>
      </w:r>
      <w:bookmarkEnd w:id="9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transferCoin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subChainAddr, pwd,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给他人转账coin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26" w:name="_GoBack"/>
      <w:bookmarkEnd w:id="26"/>
      <w:bookmarkStart w:id="10" w:name="_Toc654518614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10. 我的充值, 提币历史记录 (异步)</w:t>
      </w:r>
      <w:bookmarkEnd w:id="10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myHistoryList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根据时间倒叙排列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enterList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充值记录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redeemList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提币记录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</w:pPr>
      <w:r>
        <w:t>返回示例：</w:t>
      </w:r>
    </w:p>
    <w:p>
      <w:pPr>
        <w:pStyle w:val="17"/>
        <w:rPr>
          <w:rFonts w:hint="default"/>
        </w:rPr>
      </w:pPr>
      <w:r>
        <w:rPr>
          <w:rFonts w:hint="default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“enterList”: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  // 充值列表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充值金额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“redeemList”: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// 提币列表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提币金额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ind w:firstLine="720" w:firstLineChars="0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hint="default"/>
        </w:rPr>
        <w:t>}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11" w:name="_Toc1083105564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11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2" w:name="_Toc1683822176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12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方法名：getTopicList(pageNum, pageSize 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，筛选掉了过期的, 按照剩余时间升序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剩余时间（动态）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13" w:name="_Toc459811866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1411869956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subChainAddr, rpcIp, type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，按照点赞数倒序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type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入口类型（问题详情页进入传1，链问录进入传2）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isEnable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正常    0 过期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数组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回答列表（isEnable为0时，或回答为空，都返回[ ]）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"isEnable"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subTopicList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 xml:space="preserve">,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回答hash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回答内容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回答人address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1000 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点赞数,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ind w:left="720" w:leftChars="0" w:firstLine="720" w:firstLineChars="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5" w:name="_Toc1751534789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5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  2 问题过期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6" w:name="_Toc339365647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 pwd, keystore,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1 成功   0 失败  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7"/>
        <w:rPr>
          <w:rFonts w:hint="default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7" w:name="_Toc1862697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7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8" w:name="_Toc1241577421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8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9" w:name="_Toc93116848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9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0" w:name="_Toc1646769320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0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兑换比率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/>
          <w:bCs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1" w:name="_Toc482718704"/>
      <w:r>
        <w:rPr>
          <w:rStyle w:val="24"/>
          <w:rFonts w:hint="default" w:ascii="Microsoft YaHei" w:hAnsi="Microsoft YaHei" w:eastAsia="Microsoft YaHei" w:cs="Microsoft YaHei"/>
          <w:lang w:eastAsia="zh-CN"/>
        </w:rPr>
        <w:t>10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获取块信息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getBlockInfo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顶部加banner，显示主链区块高度，子链区块高度，距离下一轮flush还有多少区块数。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主链区块高度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subBlockNumber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flushNumber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距离下一轮flush还有多少区块数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5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"flushNumber"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2" w:name="_Toc2007523409"/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bookmarkEnd w:id="22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3" w:name="_Toc1330357046"/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bookmarkEnd w:id="23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4" w:name="_Toc1858623205"/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bookmarkEnd w:id="24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5" w:name="_Toc583077173"/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bookmarkEnd w:id="25"/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1F66533"/>
    <w:rsid w:val="157FF077"/>
    <w:rsid w:val="1CEF7075"/>
    <w:rsid w:val="1FEDF06B"/>
    <w:rsid w:val="1FFACA20"/>
    <w:rsid w:val="291FF50D"/>
    <w:rsid w:val="2EAFF625"/>
    <w:rsid w:val="2FDF381D"/>
    <w:rsid w:val="33FF12E0"/>
    <w:rsid w:val="3AEFD59C"/>
    <w:rsid w:val="3B7DC20A"/>
    <w:rsid w:val="3CFF3EFC"/>
    <w:rsid w:val="3DEC0AB6"/>
    <w:rsid w:val="3DF682A5"/>
    <w:rsid w:val="3F6392C6"/>
    <w:rsid w:val="3F7F4CC9"/>
    <w:rsid w:val="3FAEAD6A"/>
    <w:rsid w:val="3FCB1F90"/>
    <w:rsid w:val="3FF7A02E"/>
    <w:rsid w:val="3FF7D6A9"/>
    <w:rsid w:val="3FFBBB62"/>
    <w:rsid w:val="3FFBC961"/>
    <w:rsid w:val="44F2BE6A"/>
    <w:rsid w:val="47F76EC1"/>
    <w:rsid w:val="4DB79826"/>
    <w:rsid w:val="4DCF751B"/>
    <w:rsid w:val="4FAD0C5A"/>
    <w:rsid w:val="4FE9F9BE"/>
    <w:rsid w:val="52FD6B3B"/>
    <w:rsid w:val="56FED5BC"/>
    <w:rsid w:val="5BDF5263"/>
    <w:rsid w:val="5EEB4677"/>
    <w:rsid w:val="5F7E0504"/>
    <w:rsid w:val="5FF3199C"/>
    <w:rsid w:val="5FF7BC60"/>
    <w:rsid w:val="67D79405"/>
    <w:rsid w:val="69B7B0DC"/>
    <w:rsid w:val="6A7C96FB"/>
    <w:rsid w:val="6ABCF5E3"/>
    <w:rsid w:val="6B6B4FEF"/>
    <w:rsid w:val="6CFE7290"/>
    <w:rsid w:val="6EE7661A"/>
    <w:rsid w:val="6EF58B0E"/>
    <w:rsid w:val="6F3D07E4"/>
    <w:rsid w:val="6FFFBCCC"/>
    <w:rsid w:val="6FFFD0C0"/>
    <w:rsid w:val="717FB672"/>
    <w:rsid w:val="72FD1202"/>
    <w:rsid w:val="74FFE172"/>
    <w:rsid w:val="757B1034"/>
    <w:rsid w:val="76FB9C81"/>
    <w:rsid w:val="77750A0F"/>
    <w:rsid w:val="77BEC7DB"/>
    <w:rsid w:val="77DA1AE4"/>
    <w:rsid w:val="793F3409"/>
    <w:rsid w:val="7B5FBB5B"/>
    <w:rsid w:val="7D9FCD0D"/>
    <w:rsid w:val="7DCBB4D8"/>
    <w:rsid w:val="7DDFAA76"/>
    <w:rsid w:val="7F305F24"/>
    <w:rsid w:val="7F508176"/>
    <w:rsid w:val="7F7E32AE"/>
    <w:rsid w:val="7F7FEF8C"/>
    <w:rsid w:val="7FAE7F4F"/>
    <w:rsid w:val="7FCFD49B"/>
    <w:rsid w:val="7FD7E0DF"/>
    <w:rsid w:val="7FDBE03A"/>
    <w:rsid w:val="7FFCB759"/>
    <w:rsid w:val="7FFF934F"/>
    <w:rsid w:val="7FFF93E4"/>
    <w:rsid w:val="7FFF9445"/>
    <w:rsid w:val="877FFD96"/>
    <w:rsid w:val="8BB53C63"/>
    <w:rsid w:val="8E7312C6"/>
    <w:rsid w:val="8FF59727"/>
    <w:rsid w:val="8FFBC5C3"/>
    <w:rsid w:val="9ABF096C"/>
    <w:rsid w:val="9D7E17F8"/>
    <w:rsid w:val="A3BFAEAC"/>
    <w:rsid w:val="A72FD248"/>
    <w:rsid w:val="AB775086"/>
    <w:rsid w:val="ABDE01C6"/>
    <w:rsid w:val="AED91F57"/>
    <w:rsid w:val="AEF4109C"/>
    <w:rsid w:val="AEF77BF3"/>
    <w:rsid w:val="AEFD8BBB"/>
    <w:rsid w:val="AFED45B2"/>
    <w:rsid w:val="B1EFA57D"/>
    <w:rsid w:val="B6FFABCF"/>
    <w:rsid w:val="BC7D1E85"/>
    <w:rsid w:val="BCF29576"/>
    <w:rsid w:val="BEDF05D0"/>
    <w:rsid w:val="BEF963FE"/>
    <w:rsid w:val="BEFA025F"/>
    <w:rsid w:val="BF96EE15"/>
    <w:rsid w:val="BFEB2A37"/>
    <w:rsid w:val="BFF54DD8"/>
    <w:rsid w:val="BFFF714E"/>
    <w:rsid w:val="CE3F8FC1"/>
    <w:rsid w:val="CFC10954"/>
    <w:rsid w:val="CFCBF9B8"/>
    <w:rsid w:val="CFEB5FC6"/>
    <w:rsid w:val="D47FB16D"/>
    <w:rsid w:val="D6FBBEAF"/>
    <w:rsid w:val="D75B0E31"/>
    <w:rsid w:val="D7794A3C"/>
    <w:rsid w:val="D7DB6DD0"/>
    <w:rsid w:val="D7F6738A"/>
    <w:rsid w:val="D7FDE821"/>
    <w:rsid w:val="DD3F67D9"/>
    <w:rsid w:val="DDBD0F0F"/>
    <w:rsid w:val="DEAC34AF"/>
    <w:rsid w:val="DFAF81FC"/>
    <w:rsid w:val="E29E3727"/>
    <w:rsid w:val="E7DF0E58"/>
    <w:rsid w:val="E7FD25B4"/>
    <w:rsid w:val="EB3CCA33"/>
    <w:rsid w:val="EBAFB3E9"/>
    <w:rsid w:val="EBDFAE4B"/>
    <w:rsid w:val="ECEB7538"/>
    <w:rsid w:val="EF58799B"/>
    <w:rsid w:val="EFBE6E85"/>
    <w:rsid w:val="EFF55EF7"/>
    <w:rsid w:val="EFFDEA81"/>
    <w:rsid w:val="F5DD2759"/>
    <w:rsid w:val="F5DFD75C"/>
    <w:rsid w:val="F60D98DD"/>
    <w:rsid w:val="F61EC8FE"/>
    <w:rsid w:val="F6FDC6A9"/>
    <w:rsid w:val="F7DBDBCA"/>
    <w:rsid w:val="F7F172D3"/>
    <w:rsid w:val="F7F7C9DD"/>
    <w:rsid w:val="F9DEE5A4"/>
    <w:rsid w:val="FB3F82D3"/>
    <w:rsid w:val="FB7F0A0D"/>
    <w:rsid w:val="FBB73F3D"/>
    <w:rsid w:val="FD5FBBDD"/>
    <w:rsid w:val="FE4BC1C6"/>
    <w:rsid w:val="FECD304F"/>
    <w:rsid w:val="FED9DA58"/>
    <w:rsid w:val="FEF0DC2B"/>
    <w:rsid w:val="FF1FC704"/>
    <w:rsid w:val="FF62A7D8"/>
    <w:rsid w:val="FF9D766D"/>
    <w:rsid w:val="FFB7B393"/>
    <w:rsid w:val="FFBBCFC9"/>
    <w:rsid w:val="FFE87064"/>
    <w:rsid w:val="FFEFD38D"/>
    <w:rsid w:val="FFFC4F44"/>
    <w:rsid w:val="FF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qFormat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qFormat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2018-09-09T02:54:00Z</dcterms:created>
  <dc:creator>lenlee</dc:creator>
  <cp:lastModifiedBy>lenlee</cp:lastModifiedBy>
  <dcterms:modified xsi:type="dcterms:W3CDTF">2018-10-12T18:13:15Z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