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_Toc311000943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_Toc311000943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_Toc17652203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_Toc17652203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_Toc327832535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_Toc327832535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_Toc1585861190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_Toc1585861190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_Toc1149477413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_Toc1149477413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_Toc503991879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_Toc503991879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_Toc916006585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_Toc916006585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_Toc12408752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_Toc12408752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_Toc247981105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_Toc247981105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_Toc1700156555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_Toc1700156555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_Toc113812903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_Toc113812903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_Toc1593014891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_Toc1593014891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_Toc1122645888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_Toc1122645888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_Toc518117074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_Toc518117074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_Toc2094957780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_Toc2094957780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_Toc1961015895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管理模块（TODO）：</w:t>
          </w:r>
          <w:r>
            <w:tab/>
          </w:r>
          <w:r>
            <w:fldChar w:fldCharType="begin"/>
          </w:r>
          <w:r>
            <w:instrText xml:space="preserve"> PAGEREF _Toc1961015895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_Toc1362616756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1. 设置合约地址</w:t>
          </w:r>
          <w:r>
            <w:tab/>
          </w:r>
          <w:r>
            <w:fldChar w:fldCharType="begin"/>
          </w:r>
          <w:r>
            <w:instrText xml:space="preserve"> PAGEREF _Toc1362616756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31100094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765220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327832535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585861190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chargeToken(userAddr, value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, pwd, keystore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149477413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redeemToken(userAddr, value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5. 查询主链moac余额和erc20余额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5" w:name="_Toc503991879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5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6" w:name="_Toc916006585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pwd, keystore, 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7" w:name="_Toc1240875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createTopic(award, desc, duration, userAddr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</w:t>
            </w:r>
            <w:r>
              <w:rPr>
                <w:rFonts w:ascii="宋体" w:hAnsi="宋体" w:eastAsia="宋体"/>
                <w:color w:val="FF0000"/>
              </w:rPr>
              <w:t>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24798110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170015655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createSubTopic(topicHash, desc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11381290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approveSubTopic(voter, subTopicHash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1593014891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122645888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18117074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</w:t>
            </w:r>
            <w:r>
              <w:rPr>
                <w:rFonts w:ascii="宋体" w:hAnsi="宋体" w:eastAsia="宋体"/>
                <w:color w:val="FF0000"/>
              </w:rPr>
              <w:t>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209495778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ascii="Microsoft YaHei" w:hAnsi="Microsoft YaHei" w:eastAsia="Microsoft YaHei" w:cs="Microsoft YaHei"/>
          <w:lang w:eastAsia="zh-CN"/>
        </w:rPr>
        <w:t>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>无</w:t>
      </w: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bdr w:val="none" w:color="auto" w:sz="0" w:space="0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bdr w:val="none" w:color="auto" w:sz="0" w:space="0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bdr w:val="none" w:color="auto" w:sz="0" w:space="0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bdr w:val="none" w:color="auto" w:sz="0" w:space="0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bdr w:val="none" w:color="auto" w:sz="0" w:space="0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bdr w:val="none" w:color="auto" w:sz="0" w:space="0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bdr w:val="none" w:color="auto" w:sz="0" w:space="0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5" w:name="_Toc1961015895"/>
      <w:r>
        <w:rPr>
          <w:rFonts w:hint="eastAsia" w:ascii="Microsoft YaHei" w:hAnsi="Microsoft YaHei" w:eastAsia="Microsoft YaHei" w:cs="Microsoft YaHei"/>
          <w:lang w:eastAsia="zh-CN"/>
        </w:rPr>
        <w:t>管理模块（TODO）：</w:t>
      </w:r>
      <w:bookmarkEnd w:id="15"/>
    </w:p>
    <w:p>
      <w:pPr>
        <w:pStyle w:val="18"/>
        <w:numPr>
          <w:ilvl w:val="0"/>
          <w:numId w:val="1"/>
        </w:numPr>
        <w:spacing w:line="360" w:lineRule="atLeast"/>
        <w:rPr>
          <w:rStyle w:val="24"/>
          <w:rFonts w:hint="eastAsia" w:ascii="Microsoft YaHei" w:hAnsi="Microsoft YaHei" w:eastAsia="Microsoft YaHei" w:cs="Microsoft YaHei"/>
          <w:lang w:eastAsia="zh-CN"/>
        </w:rPr>
      </w:pPr>
      <w:bookmarkStart w:id="16" w:name="_Toc1362616756"/>
      <w:r>
        <w:rPr>
          <w:rStyle w:val="24"/>
          <w:rFonts w:hint="eastAsia" w:ascii="Microsoft YaHei" w:hAnsi="Microsoft YaHei" w:eastAsia="Microsoft YaHei" w:cs="Microsoft YaHei"/>
          <w:lang w:eastAsia="zh-CN"/>
        </w:rPr>
        <w:t>设置合约地址</w:t>
      </w:r>
    </w:p>
    <w:bookmarkEnd w:id="16"/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eastAsia" w:ascii="Microsoft YaHei" w:hAnsi="Microsoft YaHei" w:eastAsia="Microsoft YaHei" w:cs="Microsoft YaHei"/>
          <w:lang w:eastAsia="zh-CN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eastAsia" w:ascii="Microsoft YaHei" w:hAnsi="Microsoft YaHei" w:eastAsia="Microsoft YaHei" w:cs="Microsoft YaHei"/>
          <w:lang w:eastAsia="zh-CN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eastAsia" w:ascii="Microsoft YaHei" w:hAnsi="Microsoft YaHei" w:eastAsia="Microsoft YaHei" w:cs="Microsoft YaHei"/>
          <w:lang w:eastAsia="zh-CN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eastAsia" w:ascii="Microsoft YaHei" w:hAnsi="Microsoft YaHei" w:eastAsia="Microsoft YaHei" w:cs="Microsoft YaHei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7615"/>
    <w:multiLevelType w:val="singleLevel"/>
    <w:tmpl w:val="5BA076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91FF50D"/>
    <w:rsid w:val="2FDF381D"/>
    <w:rsid w:val="3B7DC20A"/>
    <w:rsid w:val="3F7F4CC9"/>
    <w:rsid w:val="3FAEAD6A"/>
    <w:rsid w:val="3FFBBB62"/>
    <w:rsid w:val="44F2BE6A"/>
    <w:rsid w:val="4DB79826"/>
    <w:rsid w:val="4DCF751B"/>
    <w:rsid w:val="4FAD0C5A"/>
    <w:rsid w:val="52FD6B3B"/>
    <w:rsid w:val="5F7E0504"/>
    <w:rsid w:val="5FF7BC60"/>
    <w:rsid w:val="67D79405"/>
    <w:rsid w:val="6CFE7290"/>
    <w:rsid w:val="6F3D07E4"/>
    <w:rsid w:val="6FFFD0C0"/>
    <w:rsid w:val="717FB672"/>
    <w:rsid w:val="757B1034"/>
    <w:rsid w:val="77BEC7DB"/>
    <w:rsid w:val="77DA1AE4"/>
    <w:rsid w:val="793F3409"/>
    <w:rsid w:val="7B5FBB5B"/>
    <w:rsid w:val="7DCBB4D8"/>
    <w:rsid w:val="7DDFAA76"/>
    <w:rsid w:val="7F7FEF8C"/>
    <w:rsid w:val="7FAE7F4F"/>
    <w:rsid w:val="7FCFD49B"/>
    <w:rsid w:val="7FFF9445"/>
    <w:rsid w:val="8E7312C6"/>
    <w:rsid w:val="8FF59727"/>
    <w:rsid w:val="9ABF096C"/>
    <w:rsid w:val="9D7E17F8"/>
    <w:rsid w:val="A3BFAEAC"/>
    <w:rsid w:val="AED91F57"/>
    <w:rsid w:val="AFED45B2"/>
    <w:rsid w:val="B1EFA57D"/>
    <w:rsid w:val="BCF29576"/>
    <w:rsid w:val="BEFA025F"/>
    <w:rsid w:val="BFFF714E"/>
    <w:rsid w:val="CE3F8FC1"/>
    <w:rsid w:val="D75B0E31"/>
    <w:rsid w:val="DFAF81FC"/>
    <w:rsid w:val="E29E3727"/>
    <w:rsid w:val="E7FD25B4"/>
    <w:rsid w:val="EB3CCA33"/>
    <w:rsid w:val="EBAFB3E9"/>
    <w:rsid w:val="EFF55EF7"/>
    <w:rsid w:val="F6FDC6A9"/>
    <w:rsid w:val="F7F172D3"/>
    <w:rsid w:val="F7F7C9DD"/>
    <w:rsid w:val="FED9DA58"/>
    <w:rsid w:val="FF62A7D8"/>
    <w:rsid w:val="FF9D766D"/>
    <w:rsid w:val="FFB7B393"/>
    <w:rsid w:val="FFE87064"/>
    <w:rsid w:val="FFEFD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2018-09-05T18:54:00Z</dcterms:created>
  <dc:creator>lenlee</dc:creator>
  <cp:lastModifiedBy>lenlee</cp:lastModifiedBy>
  <dcterms:modified xsi:type="dcterms:W3CDTF">2018-09-19T18:03:01Z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