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rFonts w:eastAsia="Adobe Garamond Pro" w:cs="Adobe Garamond Pro" w:ascii="Adobe Garamond Pro" w:hAnsi="Adobe Garamond Pro"/>
          <w:b/>
          <w:bCs/>
        </w:rPr>
        <w:t>DoneBy50</w:t>
      </w:r>
    </w:p>
    <w:p>
      <w:pPr>
        <w:pStyle w:val="Normal"/>
        <w:spacing w:before="0" w:after="320"/>
        <w:rPr/>
      </w:pPr>
      <w:r>
        <w:rPr>
          <w:rFonts w:eastAsia="Adobe Garamond Pro" w:cs="Adobe Garamond Pro"/>
          <w:i/>
          <w:iCs/>
          <w:sz w:val="26"/>
          <w:szCs w:val="26"/>
        </w:rPr>
        <w:t>Monte Carlo Retirement Bridge Simulator</w:t>
      </w:r>
    </w:p>
    <w:p>
      <w:pPr>
        <w:pStyle w:val="Heading2"/>
        <w:spacing w:before="280" w:after="140"/>
        <w:rPr/>
      </w:pPr>
      <w:r>
        <w:rPr>
          <w:rFonts w:eastAsia="Adobe Garamond Pro" w:cs="Adobe Garamond Pro" w:ascii="Adobe Garamond Pro" w:hAnsi="Adobe Garamond Pro"/>
        </w:rPr>
        <w:t>Overview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BridgeCheck models the most financially fragile period in early retirement: the bridge years between leaving full-time work and gaining access to superannuation. For Australians retiring before preservation age, this gap — typically 5 to 20 years — must be funded entirely from non-super savings. Getting the numbers wrong means running out of money before super unlocks, with no Age Pension safety net during the bridge.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BridgeCheck runs thousands of simulated futures to tell you not just whether your bridge plan works, but how often it fails, when it breaks, and what drives the risk.</w:t>
      </w:r>
    </w:p>
    <w:p>
      <w:pPr>
        <w:pStyle w:val="Heading2"/>
        <w:spacing w:before="280" w:after="140"/>
        <w:rPr/>
      </w:pPr>
      <w:r>
        <w:rPr>
          <w:rFonts w:eastAsia="Adobe Garamond Pro" w:cs="Adobe Garamond Pro" w:ascii="Adobe Garamond Pro" w:hAnsi="Adobe Garamond Pro"/>
        </w:rPr>
        <w:t>Key Features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Realistic Household Modelling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Model up to two earners with distinct salary trajectories, employment types (employed, self-employed, or both), part-time work phases with custom daily rates and date ranges, and staggered retirement ages. Each earner has independent superannuation — with configurable asset allocations, growth/defensive glide paths, and optional non-concessional contributions.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Add children with education cost schedules, multiple mortgages (P&amp;I or interest-only) with linked offset accounts, and multiple investment accounts across different asset classes and tax jurisdictions (AU/UK). Accounts can be jointly held with per-owner taxable-income splitting for CGT.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Full Australian Tax Model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The simulator computes per-earner tax using the current marginal rate bracket system, including: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Progressive Medicare Levy Surcharge: </w:t>
      </w:r>
      <w:r>
        <w:rPr>
          <w:rFonts w:eastAsia="Adobe Garamond Pro" w:cs="Adobe Garamond Pro"/>
          <w:sz w:val="24"/>
          <w:szCs w:val="24"/>
        </w:rPr>
        <w:t>tiered rates (1.0% / 1.25% / 1.5%) based on singles or couple income thresholds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Division 293 tax: </w:t>
      </w:r>
      <w:r>
        <w:rPr>
          <w:rFonts w:eastAsia="Adobe Garamond Pro" w:cs="Adobe Garamond Pro"/>
          <w:sz w:val="24"/>
          <w:szCs w:val="24"/>
        </w:rPr>
        <w:t>additional 15% on concessional contributions above $250,000, with annual indexation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Concessional cap tracking: </w:t>
      </w:r>
      <w:r>
        <w:rPr>
          <w:rFonts w:eastAsia="Adobe Garamond Pro" w:cs="Adobe Garamond Pro"/>
          <w:sz w:val="24"/>
          <w:szCs w:val="24"/>
        </w:rPr>
        <w:t>auto-sacrifice logic with indexed caps and salary-growth-aware SG computation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Bracket creep: </w:t>
      </w:r>
      <w:r>
        <w:rPr>
          <w:rFonts w:eastAsia="Adobe Garamond Pro" w:cs="Adobe Garamond Pro"/>
          <w:sz w:val="24"/>
          <w:szCs w:val="24"/>
        </w:rPr>
        <w:t>tax thresholds index annually to preserve real tax burden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Post-2027 CGT Reform (Fully Implemented)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BridgeCheck models the 2026 Treasury Laws Amendment reforms: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CPI-indexed cost basis: </w:t>
      </w:r>
      <w:r>
        <w:rPr>
          <w:rFonts w:eastAsia="Adobe Garamond Pro" w:cs="Adobe Garamond Pro"/>
          <w:sz w:val="24"/>
          <w:szCs w:val="24"/>
        </w:rPr>
        <w:t>only real (above-inflation) gains attract CGT — untaxed return of capital is correctly excluded, matching the policy intent of neutral investment incentives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30% minimum rate floor: </w:t>
      </w:r>
      <w:r>
        <w:rPr>
          <w:rFonts w:eastAsia="Courier New" w:cs="Courier New" w:ascii="Courier New" w:hAnsi="Courier New"/>
          <w:sz w:val="22"/>
          <w:szCs w:val="22"/>
        </w:rPr>
        <w:t>max(marginal_rate, 0.30)</w:t>
      </w:r>
      <w:r>
        <w:rPr>
          <w:rFonts w:eastAsia="Adobe Garamond Pro" w:cs="Adobe Garamond Pro"/>
          <w:sz w:val="24"/>
          <w:szCs w:val="24"/>
        </w:rPr>
        <w:t xml:space="preserve"> per owner, weighted by ownership share, correctly preventing high earners from deferring gains into low-income years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Per-year inflation tracking: </w:t>
      </w:r>
      <w:r>
        <w:rPr>
          <w:rFonts w:eastAsia="Adobe Garamond Pro" w:cs="Adobe Garamond Pro"/>
          <w:sz w:val="24"/>
          <w:szCs w:val="24"/>
        </w:rPr>
        <w:t>cumulative inflation factor applied to every sell transaction, not just annualised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Stochastic Financial Modelling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BridgeCheck uses correlated stochastic processes to capture real-world uncertainty: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Equity returns: </w:t>
      </w:r>
      <w:r>
        <w:rPr>
          <w:rFonts w:eastAsia="Adobe Garamond Pro" w:cs="Adobe Garamond Pro"/>
          <w:sz w:val="24"/>
          <w:szCs w:val="24"/>
        </w:rPr>
        <w:t>log-normal with configurable mean (7% default) and volatility (15% default), correlated across asset classes via Cholesky decomposition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Super returns: </w:t>
      </w:r>
      <w:r>
        <w:rPr>
          <w:rFonts w:eastAsia="Adobe Garamond Pro" w:cs="Adobe Garamond Pro"/>
          <w:sz w:val="24"/>
          <w:szCs w:val="24"/>
        </w:rPr>
        <w:t>per-earner asset class returns (equity, bonds, cash, property, international equity), each with its own risk/return profile, computed from a shared equity z-score to preserve the equity-super correlation structure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Mortgage rates: </w:t>
      </w:r>
      <w:r>
        <w:rPr>
          <w:rFonts w:eastAsia="Adobe Garamond Pro" w:cs="Adobe Garamond Pro"/>
          <w:sz w:val="24"/>
          <w:szCs w:val="24"/>
        </w:rPr>
        <w:t>Black-Karasinski mean-reverting log-normal model (see Mathematical Soundness section) for stochastic interest rate paths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Inflation: </w:t>
      </w:r>
      <w:r>
        <w:rPr>
          <w:rFonts w:eastAsia="Adobe Garamond Pro" w:cs="Adobe Garamond Pro"/>
          <w:sz w:val="24"/>
          <w:szCs w:val="24"/>
        </w:rPr>
        <w:t>configurable as either a flat assumption or a correlated stochastic process (3-way Cholesky with equity and super), so inflation surprises are not independent of asset returns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Risk Analysis Suite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Sequencing risk analysis: </w:t>
      </w:r>
      <w:r>
        <w:rPr>
          <w:rFonts w:eastAsia="Adobe Garamond Pro" w:cs="Adobe Garamond Pro"/>
          <w:sz w:val="24"/>
          <w:szCs w:val="24"/>
        </w:rPr>
        <w:t>re-orders return histories to simulate “worst returns first” vs “best returns first” scenarios, isolating the impact of return order on the bridge's viability independent of the return level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Scenario comparison: </w:t>
      </w:r>
      <w:r>
        <w:rPr>
          <w:rFonts w:eastAsia="Adobe Garamond Pro" w:cs="Adobe Garamond Pro"/>
          <w:sz w:val="24"/>
          <w:szCs w:val="24"/>
        </w:rPr>
        <w:t>runs the same household under alternative assumptions (e.g., no part-time income, full offset drawdown) and compares key metrics side-by-side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Bootstrap standard errors: </w:t>
      </w:r>
      <w:r>
        <w:rPr>
          <w:rFonts w:eastAsia="Adobe Garamond Pro" w:cs="Adobe Garamond Pro"/>
          <w:sz w:val="24"/>
          <w:szCs w:val="24"/>
        </w:rPr>
        <w:t>200-resample bootstrap with color-coded relative SE (%): green &lt;2%, yellow 2–4%, orange 5–9%, red ≥10% — so you know when to increase trial count or report results with caution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Earliest feasible retirement age: </w:t>
      </w:r>
      <w:r>
        <w:rPr>
          <w:rFonts w:eastAsia="Adobe Garamond Pro" w:cs="Adobe Garamond Pro"/>
          <w:sz w:val="24"/>
          <w:szCs w:val="24"/>
        </w:rPr>
        <w:t>binary search over retirement age to find the youngest age that achieves a user-defined success threshold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Drawdown composition tracking: </w:t>
      </w:r>
      <w:r>
        <w:rPr>
          <w:rFonts w:eastAsia="Adobe Garamond Pro" w:cs="Adobe Garamond Pro"/>
          <w:sz w:val="24"/>
          <w:szCs w:val="24"/>
        </w:rPr>
        <w:t>per-year breakdown of offset vs non-offset funding sources and CGT paid, with cumulative totals across the bridge</w:t>
      </w:r>
    </w:p>
    <w:p>
      <w:pPr>
        <w:pStyle w:val="Heading2"/>
        <w:spacing w:before="280" w:after="140"/>
        <w:rPr/>
      </w:pPr>
      <w:r>
        <w:rPr>
          <w:rFonts w:eastAsia="Adobe Garamond Pro" w:cs="Adobe Garamond Pro" w:ascii="Adobe Garamond Pro" w:hAnsi="Adobe Garamond Pro"/>
        </w:rPr>
        <w:t>Mathematical Soundness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Correlated Return Generation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BridgeCheck generates multi-asset correlated returns using Cholesky decomposition, the standard approach in financial engineering for producing correlated Gaussian draws from independent normals. The correlation matrix is factorised once as: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</m:t>
          </m:r>
          <m:sSup>
            <m:e>
              <m:r>
                <m:t xml:space="preserve">L</m:t>
              </m:r>
            </m:e>
            <m:sup>
              <m:r>
                <m:t xml:space="preserve">T</m:t>
              </m:r>
            </m:sup>
          </m:sSup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and correlated z-scores are obtained as: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r>
            <m:rPr>
              <m:lit/>
              <m:nor/>
            </m:rPr>
            <m:t xml:space="preserve"> </m:t>
          </m:r>
          <m:r>
            <m:t xml:space="preserve">z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where z is a vector of independent standard normals.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The model preserves the equity-super correlation (default: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ρ</m:t>
          </m:r>
          <m:r>
            <m:rPr>
              <m:lit/>
              <m:nor/>
            </m:rPr>
            <m:t xml:space="preserve"> </m:t>
          </m:r>
          <m:r>
            <m:t xml:space="preserve">≈</m:t>
          </m:r>
          <m:r>
            <m:rPr>
              <m:lit/>
              <m:nor/>
            </m:rPr>
            <m:t xml:space="preserve"> </m:t>
          </m:r>
          <m:r>
            <m:t xml:space="preserve">0.80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), the equity-inflation correlation, and optionally the equity-mortgage-rate correlation (default: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ρ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0.20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all from a single Cholesky decomposition. Each year's shocks are drawn independently; multi-year dependency arises only through the mortgage rate's AR(1) structure.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Black-Karasinski Mortgage Rate Model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Mortgage interest rates follow a discrete-time Black-Karasinski (BK) model, a standard in interest rate derivatives for its ability to prevent negative rates via log-normal dynamics: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ln</m:t>
          </m:r>
          <m:r>
            <m:t xml:space="preserve">(</m:t>
          </m:r>
          <m:sSub>
            <m:e>
              <m:r>
                <m:t xml:space="preserve">r</m:t>
              </m:r>
            </m:e>
            <m:sub>
              <m:r>
                <m:t xml:space="preserve">t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ln</m:t>
          </m:r>
          <m:r>
            <m:t xml:space="preserve">(</m:t>
          </m:r>
          <m:r>
            <m:t xml:space="preserve">θ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φ</m:t>
          </m:r>
          <m:r>
            <m:t xml:space="preserve">(</m:t>
          </m:r>
          <m:r>
            <m:t xml:space="preserve">ln</m:t>
          </m:r>
          <m:r>
            <m:t xml:space="preserve">(</m:t>
          </m:r>
          <m:sSub>
            <m:e>
              <m:r>
                <m:t xml:space="preserve">r</m:t>
              </m:r>
            </m:e>
            <m:sub>
              <m:r>
                <m:t xml:space="preserve">t</m:t>
              </m:r>
            </m:sub>
          </m:sSub>
          <m:r>
            <m:t xml:space="preserve">)</m:t>
          </m:r>
          <m:r>
            <m:rPr>
              <m:lit/>
              <m:nor/>
            </m:rPr>
            <m:t xml:space="preserve"> </m:t>
          </m:r>
          <m:r>
            <m:t xml:space="preserve">−</m:t>
          </m:r>
          <m:r>
            <m:rPr>
              <m:lit/>
              <m:nor/>
            </m:rPr>
            <m:t xml:space="preserve"> </m:t>
          </m:r>
          <m:r>
            <m:t xml:space="preserve">ln</m:t>
          </m:r>
          <m:r>
            <m:t xml:space="preserve">(</m:t>
          </m:r>
          <m:r>
            <m:t xml:space="preserve">θ</m:t>
          </m:r>
          <m:r>
            <m:t xml:space="preserve">)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σ</m:t>
              </m:r>
            </m:e>
            <m:sub>
              <m:r>
                <m:t xml:space="preserve">ε</m:t>
              </m:r>
            </m:sub>
          </m:sSub>
          <m:r>
            <m:t xml:space="preserve">·</m:t>
          </m:r>
          <m:sSub>
            <m:e>
              <m:r>
                <m:t xml:space="preserve">ε</m:t>
              </m:r>
            </m:e>
            <m:sub>
              <m:r>
                <m:t xml:space="preserve">t</m:t>
              </m:r>
            </m:sub>
          </m:sSub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where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φ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−</m:t>
              </m:r>
              <m:r>
                <m:t xml:space="preserve">κ</m:t>
              </m:r>
            </m:sup>
          </m:sSup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is the exact AR(1) coefficient (mean-reversion strength κ, default 0.20/year, half-life ≈ 3.5 years), and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σ</m:t>
              </m:r>
            </m:e>
            <m:sub>
              <m:r>
                <m:t xml:space="preserve">ε</m:t>
              </m:r>
            </m:sub>
          </m:sSub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σ̃</m:t>
          </m:r>
          <m:rad>
            <m:radPr>
              <m:degHide m:val="1"/>
            </m:radPr>
            <m:deg/>
            <m:e>
              <m:f>
                <m:num>
                  <m:r>
                    <m:t xml:space="preserve">(</m:t>
                  </m:r>
                  <m:r>
                    <m:t xml:space="preserve">1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−</m:t>
                  </m:r>
                  <m:sSup>
                    <m:e>
                      <m:r>
                        <m:t xml:space="preserve">φ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)</m:t>
                  </m:r>
                </m:num>
                <m:den>
                  <m:r>
                    <m:t xml:space="preserve">2</m:t>
                  </m:r>
                  <m:r>
                    <m:t xml:space="preserve">κ</m:t>
                  </m:r>
                </m:den>
              </m:f>
            </m:e>
          </m:rad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is the discrete shock volatility calibrated to produce a stationary distribution consistent with the continuous-time parameter σ̃.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The model uses the exact discretisation of the OU process in log-space, not the Euler approximation: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1</m:t>
          </m:r>
          <m:r>
            <m:rPr>
              <m:lit/>
              <m:nor/>
            </m:rPr>
            <m:t xml:space="preserve"> </m:t>
          </m:r>
          <m:r>
            <m:t xml:space="preserve">−</m:t>
          </m:r>
          <m:r>
            <m:rPr>
              <m:lit/>
              <m:nor/>
            </m:rPr>
            <m:t xml:space="preserve"> </m:t>
          </m:r>
          <m:r>
            <m:t xml:space="preserve">κ</m:t>
          </m:r>
          <m:r>
            <m:rPr>
              <m:lit/>
              <m:nor/>
            </m:rPr>
            <m:t xml:space="preserve"> </m:t>
          </m:r>
          <m:r>
            <m:t xml:space="preserve">≈</m:t>
          </m:r>
          <m:r>
            <m:rPr>
              <m:lit/>
              <m:nor/>
            </m:rPr>
            <m:t xml:space="preserve"> </m:t>
          </m:r>
          <m:r>
            <m:t xml:space="preserve">0.107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Over a 10-year horizon, exact persistence is: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e</m:t>
              </m:r>
            </m:e>
            <m:sup>
              <m:r>
                <m:t xml:space="preserve">−</m:t>
              </m:r>
              <m:r>
                <m:t xml:space="preserve">10</m:t>
              </m:r>
              <m:r>
                <m:t xml:space="preserve">κ</m:t>
              </m:r>
            </m:sup>
          </m:sSup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0.135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vs Euler 0.107 — a 25.6% difference that compounds over multi-decade bridges. The stationary distribution has mean θ (default 6.5%) with a ~95% interval of approximately [3.7%, 11.4%] under moderate volatility.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CGT: Indexation, Floor, and the No-Discount-Doubling Error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Prior versions of the code incorrectly applied both CPI indexation AND the 50% CGT discount, computing: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max</m:t>
          </m:r>
          <m:r>
            <m:t xml:space="preserve">(</m:t>
          </m:r>
          <m:r>
            <m:t xml:space="preserve">marginal</m:t>
          </m:r>
          <m:r>
            <m:rPr>
              <m:lit/>
              <m:nor/>
            </m:rPr>
            <m:t xml:space="preserve">_</m:t>
          </m:r>
          <m:r>
            <m:t xml:space="preserve">rate</m:t>
          </m:r>
          <m:r>
            <m:rPr>
              <m:lit/>
              <m:nor/>
            </m:rPr>
            <m:t xml:space="preserve"> </m:t>
          </m:r>
          <m:r>
            <m:t xml:space="preserve">×</m:t>
          </m:r>
          <m:r>
            <m:rPr>
              <m:lit/>
              <m:nor/>
            </m:rPr>
            <m:t xml:space="preserve"> </m:t>
          </m:r>
          <m:r>
            <m:t xml:space="preserve">0.5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0.30</m:t>
          </m:r>
          <m:r>
            <m:t xml:space="preserve">)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The Treasury reform replaces the discount with indexation — they do not stack. The corrected formula is: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max</m:t>
          </m:r>
          <m:r>
            <m:t xml:space="preserve">(</m:t>
          </m:r>
          <m:r>
            <m:t xml:space="preserve">marginal</m:t>
          </m:r>
          <m:r>
            <m:rPr>
              <m:lit/>
              <m:nor/>
            </m:rPr>
            <m:t xml:space="preserve">_</m:t>
          </m:r>
          <m:r>
            <m:t xml:space="preserve">rate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0.30</m:t>
          </m:r>
          <m:r>
            <m:t xml:space="preserve">)</m:t>
          </m:r>
        </m:oMath>
      </m:oMathPara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which means earners in the 37% and 45% brackets pay at their full marginal rate on real gains. The model was corrected after a line-by-line audit confirmed the error against the policy text.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The CGT algorithm correctly handles: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Cost-basis proportioning: </w:t>
      </w:r>
      <w:r>
        <w:rPr>
          <w:rFonts w:eastAsia="Adobe Garamond Pro" w:cs="Adobe Garamond Pro"/>
          <w:sz w:val="24"/>
          <w:szCs w:val="24"/>
        </w:rPr>
        <w:t>only the gain fraction of each sale is taxed —</w:t>
      </w:r>
    </w:p>
    <w:p>
      <w:pPr>
        <w:pStyle w:val="Normal"/>
        <w:spacing w:before="120" w:after="1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1</m:t>
          </m:r>
          <m:r>
            <m:rPr>
              <m:lit/>
              <m:nor/>
            </m:rPr>
            <m:t xml:space="preserve"> </m:t>
          </m:r>
          <m:r>
            <m:t xml:space="preserve">−</m:t>
          </m:r>
          <m:f>
            <m:num>
              <m:r>
                <m:t xml:space="preserve">basis</m:t>
              </m:r>
            </m:num>
            <m:den>
              <m:r>
                <m:t xml:space="preserve">market</m:t>
              </m:r>
              <m:r>
                <m:rPr>
                  <m:lit/>
                  <m:nor/>
                </m:rPr>
                <m:t xml:space="preserve">_</m:t>
              </m:r>
              <m:r>
                <m:t xml:space="preserve">value</m:t>
              </m:r>
            </m:den>
          </m:f>
        </m:oMath>
      </m:oMathPara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Gross-up for tax: </w:t>
      </w:r>
      <w:r>
        <w:rPr>
          <w:rFonts w:eastAsia="Adobe Garamond Pro" w:cs="Adobe Garamond Pro"/>
          <w:sz w:val="24"/>
          <w:szCs w:val="24"/>
        </w:rPr>
        <w:t>the model solves for the gross sale amount needed to net the required after-tax spending, avoiding the common mistake of treating after-tax needs as the pre-tax sale amount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Per-owner weighted averaging: </w:t>
      </w:r>
      <w:r>
        <w:rPr>
          <w:rFonts w:eastAsia="Adobe Garamond Pro" w:cs="Adobe Garamond Pro"/>
          <w:sz w:val="24"/>
          <w:szCs w:val="24"/>
        </w:rPr>
        <w:t>for jointly-held accounts, each owner's rate is computed independently and weighted by their ownership share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RNG Isolation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All stochastic subsystems use isolated random number generators with separate seed-space regions. Equity and inflation return series are pre-generated at the trial level using a dedicated series_rng, ensuring that changing one subsystem's stochastic settings (e.g., enabling stochastic mortgage rates or inflation) does not alter the equity paths for a given seed. This makes “what-if” comparisons — running the same seed with and without stochastic mortgage rates — produce genuinely comparable results rather than conflating model changes with path changes.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Conservative Defaults</w:t>
      </w:r>
    </w:p>
    <w:p>
      <w:pPr>
        <w:pStyle w:val="Normal"/>
        <w:spacing w:before="0" w:after="160"/>
        <w:rPr/>
      </w:pPr>
      <w:r>
        <w:rPr>
          <w:rFonts w:eastAsia="Adobe Garamond Pro" w:cs="Adobe Garamond Pro"/>
          <w:sz w:val="24"/>
          <w:szCs w:val="24"/>
        </w:rPr>
        <w:t>The model defaults to conservative assumptions where the policy is ambiguous or the real-world outcome depends on taxpayer behaviour: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Division 293 tax </w:t>
      </w:r>
      <w:r>
        <w:rPr>
          <w:rFonts w:eastAsia="Adobe Garamond Pro" w:cs="Adobe Garamond Pro"/>
          <w:sz w:val="24"/>
          <w:szCs w:val="24"/>
        </w:rPr>
        <w:t>is deducted from take-home pay, not paid from super (worst case for bridge viability)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Bridge failure </w:t>
      </w:r>
      <w:r>
        <w:rPr>
          <w:rFonts w:eastAsia="Adobe Garamond Pro" w:cs="Adobe Garamond Pro"/>
          <w:sz w:val="24"/>
          <w:szCs w:val="24"/>
        </w:rPr>
        <w:t>continues the simulation rather than halting — unmet spending accumulates, so the model does not assume a borrower defaults or restructures, producing a clean lower bound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Success </w:t>
      </w:r>
      <w:r>
        <w:rPr>
          <w:rFonts w:eastAsia="Adobe Garamond Pro" w:cs="Adobe Garamond Pro"/>
          <w:sz w:val="24"/>
          <w:szCs w:val="24"/>
        </w:rPr>
        <w:t>is defined as bridge assets staying above zero at every timestep (running minimum check), not just at the final horizon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dobe Garamond Pro" w:cs="Adobe Garamond Pro"/>
          <w:b/>
          <w:bCs/>
          <w:sz w:val="24"/>
          <w:szCs w:val="24"/>
        </w:rPr>
        <w:t xml:space="preserve">Bridge values </w:t>
      </w:r>
      <w:r>
        <w:rPr>
          <w:rFonts w:eastAsia="Adobe Garamond Pro" w:cs="Adobe Garamond Pro"/>
          <w:sz w:val="24"/>
          <w:szCs w:val="24"/>
        </w:rPr>
        <w:t>are reported in today's dollars (deflated to simulation-start purchasing power), preventing nominal-dollar illusion</w:t>
      </w:r>
    </w:p>
    <w:p>
      <w:pPr>
        <w:pStyle w:val="Heading3"/>
        <w:spacing w:before="220" w:after="120"/>
        <w:rPr/>
      </w:pPr>
      <w:r>
        <w:rPr>
          <w:rFonts w:eastAsia="Adobe Garamond Pro" w:cs="Adobe Garamond Pro" w:ascii="Adobe Garamond Pro" w:hAnsi="Adobe Garamond Pro"/>
        </w:rPr>
        <w:t>Golden-Value Verification</w:t>
      </w:r>
    </w:p>
    <w:p>
      <w:pPr>
        <w:pStyle w:val="Normal"/>
        <w:spacing w:before="0" w:after="160"/>
        <w:rPr>
          <w:rFonts w:ascii="Adobe Garamond Pro" w:hAnsi="Adobe Garamond Pro" w:eastAsia="Adobe Garamond Pro" w:cs="Adobe Garamond Pro"/>
          <w:sz w:val="24"/>
          <w:szCs w:val="24"/>
        </w:rPr>
      </w:pPr>
      <w:r>
        <w:rPr>
          <w:rFonts w:eastAsia="Adobe Garamond Pro" w:cs="Adobe Garamond Pro"/>
          <w:sz w:val="24"/>
          <w:szCs w:val="24"/>
        </w:rPr>
        <w:t>Two deterministic end-to-end tests verify the model against hand calculations: a single-earner scenario produces bridge and super values matching independently-computed figures to the dollar, and a CGT drawdown scenario confirms the bridge stays positive through the full drawdown with known tax parameters.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dobe Garamond Pr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dobe Garamond Pro" w:hAnsi="Adobe Garamond Pro" w:eastAsia="Adobe Garamond Pro" w:cs="Adobe Garamond Pro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dobe Garamond Pro" w:hAnsi="Adobe Garamond Pro" w:eastAsia="Adobe Garamond Pro" w:cs="Adobe Garamond Pro"/>
      <w:color w:val="auto"/>
      <w:kern w:val="0"/>
      <w:sz w:val="24"/>
      <w:szCs w:val="24"/>
      <w:lang w:val="en-A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dobe Garamond Pro" w:hAnsi="Adobe Garamond Pro" w:eastAsia="Adobe Garamond Pro" w:cs="Adobe Garamond Pro"/>
      <w:b/>
      <w:bCs/>
      <w:color w:val="auto"/>
      <w:kern w:val="0"/>
      <w:sz w:val="24"/>
      <w:szCs w:val="24"/>
      <w:lang w:val="en-A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dobe Garamond Pro" w:hAnsi="Adobe Garamond Pro" w:eastAsia="Adobe Garamond Pro" w:cs="Adobe Garamond Pro"/>
      <w:color w:val="auto"/>
      <w:kern w:val="0"/>
      <w:sz w:val="24"/>
      <w:szCs w:val="24"/>
      <w:lang w:val="en-A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5</Pages>
  <Words>1149</Words>
  <Characters>7060</Characters>
  <CharactersWithSpaces>8129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2026-07-14T03:51:29Z</dcterms:created>
  <dc:creator>Un-named</dc:creator>
  <dc:description/>
  <dc:language>en-AU</dc:language>
  <cp:lastModifiedBy/>
  <dcterms:modified xsi:type="dcterms:W3CDTF">2026-07-14T14:46:32Z</dcterms:modified>
  <cp:revision>3</cp:revision>
  <dc:subject/>
  <dc:title/>
</cp:coreProperties>
</file>