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D6D6D"/>
          <w:sz w:val="18"/>
          <w:szCs w:val="18"/>
        </w:rPr>
        <w:t xml:space="preserve">BLOG EJECUTIVO  ·  TECNOLOGÍA &amp; ESTRATEGIA  ·  ABRIL 2026</w:t>
      </w:r>
    </w:p>
    <w:p>
      <w:pPr>
        <w:pStyle w:val="Heading1"/>
      </w:pPr>
      <w:r>
        <w:rPr>
          <w:rFonts w:ascii="Arial" w:cs="Arial" w:eastAsia="Arial" w:hAnsi="Arial"/>
          <w:b/>
          <w:bCs/>
          <w:color w:val="1A5276"/>
          <w:sz w:val="44"/>
          <w:szCs w:val="44"/>
        </w:rPr>
        <w:t xml:space="preserve">Sostenibilidad digital: de iniciativa ESG a ventaja competitiva real</w:t>
      </w:r>
    </w:p>
    <w:p>
      <w:pPr>
        <w:spacing w:after="240" w:before="0"/>
      </w:pPr>
      <w:r>
        <w:rPr>
          <w:rFonts w:ascii="Arial" w:cs="Arial" w:eastAsia="Arial" w:hAnsi="Arial"/>
          <w:i/>
          <w:iCs/>
          <w:color w:val="555555"/>
          <w:sz w:val="26"/>
          <w:szCs w:val="26"/>
        </w:rPr>
        <w:t xml:space="preserve">En 2026, digitalizar de forma sostenible ya no es una opción — es el nuevo estándar de competitividad que los líderes de negocio no pueden ignorar.</w:t>
      </w:r>
    </w:p>
    <w:p>
      <w:pPr>
        <w:pBdr>
          <w:bottom w:val="single" w:color="1A5276" w:sz="8" w:space="1"/>
        </w:pBdr>
        <w:spacing w:after="280" w:before="0"/>
      </w:pPr>
    </w:p>
    <w:p>
      <w:pPr>
        <w:shd w:fill="EBF5FB" w:val="clear"/>
        <w:spacing w:after="320" w:before="0"/>
      </w:pPr>
      <w:r>
        <w:rPr>
          <w:rFonts w:ascii="Arial" w:cs="Arial" w:eastAsia="Arial" w:hAnsi="Arial"/>
          <w:b/>
          <w:bCs/>
          <w:color w:val="1A5276"/>
          <w:sz w:val="24"/>
          <w:szCs w:val="24"/>
        </w:rPr>
        <w:t xml:space="preserve">Resumen ejecutivo: </w:t>
      </w:r>
      <w:r>
        <w:rPr>
          <w:rFonts w:ascii="Arial" w:cs="Arial" w:eastAsia="Arial" w:hAnsi="Arial"/>
          <w:color w:val="222222"/>
          <w:sz w:val="24"/>
          <w:szCs w:val="24"/>
        </w:rPr>
        <w:t xml:space="preserve">El 82% de las empresas que invirtieron en descarbonización obtienen beneficios económicos directos, con retornos medios que superan los 221 millones de dólares por compañía, según el informe del Pacto Mundial de la ONU. La pregunta ya no es si integrar la sostenibilidad digital, sino cuánto está costando no hacerlo.</w:t>
      </w:r>
    </w:p>
    <w:p>
      <w:pPr>
        <w:spacing w:after="0" w:before="80"/>
      </w:pPr>
      <w:r>
        <w:t xml:space="preserve"/>
      </w:r>
    </w:p>
    <w:p>
      <w:pPr>
        <w:pStyle w:val="Heading2"/>
      </w:pPr>
      <w:r>
        <w:rPr>
          <w:rFonts w:ascii="Arial" w:cs="Arial" w:eastAsia="Arial" w:hAnsi="Arial"/>
          <w:b/>
          <w:bCs/>
          <w:color w:val="1A5276"/>
          <w:sz w:val="30"/>
          <w:szCs w:val="30"/>
        </w:rPr>
        <w:t xml:space="preserve">1. El nuevo imperativo: digitalizar sin destruir</w:t>
      </w:r>
    </w:p>
    <w:p>
      <w:pPr>
        <w:spacing w:after="200" w:before="0"/>
      </w:pPr>
      <w:r>
        <w:rPr>
          <w:rFonts w:ascii="Arial" w:cs="Arial" w:eastAsia="Arial" w:hAnsi="Arial"/>
          <w:sz w:val="24"/>
          <w:szCs w:val="24"/>
        </w:rPr>
        <w:t xml:space="preserve">Durante años, la transformación digital y la sostenibilidad corrieron por carriles separados. En 2026, esa separación es insostenible — en todos los sentidos. Los centros de datos consumen entre el 1% y el 2% de la electricidad global, y ese porcentaje crece a ritmo acelerado con la expansión de la inteligencia artificial generativa y los agentes autónomos.</w:t>
      </w:r>
    </w:p>
    <w:p>
      <w:pPr>
        <w:spacing w:after="200" w:before="0"/>
      </w:pPr>
      <w:r>
        <w:rPr>
          <w:rFonts w:ascii="Arial" w:cs="Arial" w:eastAsia="Arial" w:hAnsi="Arial"/>
          <w:sz w:val="24"/>
          <w:szCs w:val="24"/>
        </w:rPr>
        <w:t xml:space="preserve">Las organizaciones que comprenden esta convergencia no solo reducen su huella de carbono — también fortalecen su competitividad, reputación y resiliencia operativa. La pregunta que todo líder debe hacerse hoy es: ¿cómo digitalizar de manera sostenible?</w:t>
      </w:r>
    </w:p>
    <w:p>
      <w:pPr>
        <w:pStyle w:val="Heading2"/>
      </w:pPr>
      <w:r>
        <w:rPr>
          <w:rFonts w:ascii="Arial" w:cs="Arial" w:eastAsia="Arial" w:hAnsi="Arial"/>
          <w:b/>
          <w:bCs/>
          <w:color w:val="1A5276"/>
          <w:sz w:val="30"/>
          <w:szCs w:val="30"/>
        </w:rPr>
        <w:t xml:space="preserve">2. Los tres ejes de la sostenibilidad digital</w:t>
      </w:r>
    </w:p>
    <w:p>
      <w:pPr>
        <w:pStyle w:val="Heading3"/>
      </w:pPr>
      <w:r>
        <w:rPr>
          <w:rFonts w:ascii="Arial" w:cs="Arial" w:eastAsia="Arial" w:hAnsi="Arial"/>
          <w:b/>
          <w:bCs/>
          <w:color w:val="2E86C1"/>
          <w:sz w:val="26"/>
          <w:szCs w:val="26"/>
        </w:rPr>
        <w:t xml:space="preserve">Infraestructura verde</w:t>
      </w:r>
    </w:p>
    <w:p>
      <w:pPr>
        <w:spacing w:after="200" w:before="0"/>
      </w:pPr>
      <w:r>
        <w:rPr>
          <w:rFonts w:ascii="Arial" w:cs="Arial" w:eastAsia="Arial" w:hAnsi="Arial"/>
          <w:sz w:val="24"/>
          <w:szCs w:val="24"/>
        </w:rPr>
        <w:t xml:space="preserve">Las empresas tecnológicas líderes están migrando hacia infraestructuras alimentadas por energía solar y eólica. Los sistemas de refrigeración líquida reducen el consumo energético hasta un 40%. Nvidia, por ejemplo, aplicó esta tecnología en sus procesos de entrenamiento de IA, demostrando que innovación tecnológica y responsabilidad ambiental son inseparables. Para las pymes, migrar a proveedores cloud con certificaciones ambientales — como Google Cloud o Microsoft Azure, que ya anunciaron compromisos de carbono neutralidad — es el primer paso concreto.</w:t>
      </w:r>
    </w:p>
    <w:p>
      <w:pPr>
        <w:pStyle w:val="Heading3"/>
      </w:pPr>
      <w:r>
        <w:rPr>
          <w:rFonts w:ascii="Arial" w:cs="Arial" w:eastAsia="Arial" w:hAnsi="Arial"/>
          <w:b/>
          <w:bCs/>
          <w:color w:val="2E86C1"/>
          <w:sz w:val="26"/>
          <w:szCs w:val="26"/>
        </w:rPr>
        <w:t xml:space="preserve">IA y datos ESG</w:t>
      </w:r>
    </w:p>
    <w:p>
      <w:pPr>
        <w:spacing w:after="200" w:before="0"/>
      </w:pPr>
      <w:r>
        <w:rPr>
          <w:rFonts w:ascii="Arial" w:cs="Arial" w:eastAsia="Arial" w:hAnsi="Arial"/>
          <w:sz w:val="24"/>
          <w:szCs w:val="24"/>
        </w:rPr>
        <w:t xml:space="preserve">La inteligencia artificial se consolida como motor de transparencia en sostenibilidad. Permite análisis de datos ESG más robustos, informes más precisos y toma de decisiones basada en evidencia. El 71% de los CEOs ya sitúa a la IA como su prioridad de inversión en 2026. Sin embargo, la misma IA que mide el impacto ambiental también genera emisiones. El desafío es adoptarla con criterios de “responsable by design”: incorporar sostenibilidad en el diseño y operación de los sistemas desde el inicio.</w:t>
      </w:r>
    </w:p>
    <w:p>
      <w:pPr>
        <w:pStyle w:val="Heading3"/>
      </w:pPr>
      <w:r>
        <w:rPr>
          <w:rFonts w:ascii="Arial" w:cs="Arial" w:eastAsia="Arial" w:hAnsi="Arial"/>
          <w:b/>
          <w:bCs/>
          <w:color w:val="2E86C1"/>
          <w:sz w:val="26"/>
          <w:szCs w:val="26"/>
        </w:rPr>
        <w:t xml:space="preserve">Cadena de suministro y economía circular</w:t>
      </w:r>
    </w:p>
    <w:p>
      <w:pPr>
        <w:spacing w:after="200" w:before="0"/>
      </w:pPr>
      <w:r>
        <w:rPr>
          <w:rFonts w:ascii="Arial" w:cs="Arial" w:eastAsia="Arial" w:hAnsi="Arial"/>
          <w:sz w:val="24"/>
          <w:szCs w:val="24"/>
        </w:rPr>
        <w:t xml:space="preserve">La mitad de los clientes B2B ya prioriza proveedores sostenibles, y se espera que esa cifra llegue a dos tercios en tres años. La sostenibilidad en la cadena de suministro deja de ser aspiracional y se convierte en una exigencia operativa. Trazabilidad, evaluación de riesgos y criterios ESG en compras son hoy requisitos para mantenerse competitivo — especialmente para las pymes que dependen de grandes clientes corporativos.</w:t>
      </w:r>
    </w:p>
    <w:p>
      <w:pPr>
        <w:pStyle w:val="Heading2"/>
      </w:pPr>
      <w:r>
        <w:rPr>
          <w:rFonts w:ascii="Arial" w:cs="Arial" w:eastAsia="Arial" w:hAnsi="Arial"/>
          <w:b/>
          <w:bCs/>
          <w:color w:val="1A5276"/>
          <w:sz w:val="30"/>
          <w:szCs w:val="30"/>
        </w:rPr>
        <w:t xml:space="preserve">3. Las cifras que todo C-Level debe conocer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shd w:fill="1A5276" w:val="clear"/>
            <w:tcMar>
              <w:top w:type="dxa" w:w="120"/>
              <w:left w:type="dxa" w:w="160"/>
              <w:bottom w:type="dxa" w:w="120"/>
              <w:right w:type="dxa" w:w="160"/>
            </w:tcMar>
          </w:tcPr>
          <w:p>
            <w:r>
              <w:rPr>
                <w:rFonts w:ascii="Arial" w:cs="Arial" w:eastAsia="Arial" w:hAnsi="Arial"/>
                <w:b/>
                <w:bCs/>
                <w:color w:val="FFFFFF"/>
                <w:sz w:val="22"/>
                <w:szCs w:val="22"/>
              </w:rPr>
              <w:t xml:space="preserve">Indicador</w:t>
            </w:r>
          </w:p>
        </w:tc>
        <w:tc>
          <w:tcPr>
            <w:tcW w:type="dxa" w:w="6240"/>
            <w:tcBorders>
              <w:top w:val="none"/>
              <w:left w:val="none"/>
              <w:bottom w:val="none"/>
              <w:right w:val="none"/>
            </w:tcBorders>
            <w:shd w:fill="1A5276" w:val="clear"/>
            <w:tcMar>
              <w:top w:type="dxa" w:w="120"/>
              <w:left w:type="dxa" w:w="160"/>
              <w:bottom w:type="dxa" w:w="120"/>
              <w:right w:type="dxa" w:w="160"/>
            </w:tcMar>
          </w:tcPr>
          <w:p>
            <w:r>
              <w:rPr>
                <w:rFonts w:ascii="Arial" w:cs="Arial" w:eastAsia="Arial" w:hAnsi="Arial"/>
                <w:b/>
                <w:bCs/>
                <w:color w:val="FFFFFF"/>
                <w:sz w:val="22"/>
                <w:szCs w:val="22"/>
              </w:rPr>
              <w:t xml:space="preserve">Dato clave</w:t>
            </w:r>
          </w:p>
        </w:tc>
      </w:tr>
      <w:tr>
        <w:tc>
          <w:tcPr>
            <w:tcW w:type="dxa" w:w="3120"/>
            <w:tcBorders>
              <w:top w:val="none"/>
              <w:left w:val="none"/>
              <w:bottom w:val="none"/>
              <w:right w:val="none"/>
            </w:tcBorders>
            <w:shd w:fill="D6EAF8" w:val="clear"/>
            <w:tcMar>
              <w:top w:type="dxa" w:w="100"/>
              <w:left w:type="dxa" w:w="160"/>
              <w:bottom w:type="dxa" w:w="100"/>
              <w:right w:type="dxa" w:w="160"/>
            </w:tcMar>
          </w:tcPr>
          <w:p>
            <w:r>
              <w:rPr>
                <w:rFonts w:ascii="Arial" w:cs="Arial" w:eastAsia="Arial" w:hAnsi="Arial"/>
                <w:b/>
                <w:bCs/>
                <w:color w:val="1A5276"/>
                <w:sz w:val="22"/>
                <w:szCs w:val="22"/>
              </w:rPr>
              <w:t xml:space="preserve">82% de empresas</w:t>
            </w:r>
          </w:p>
        </w:tc>
        <w:tc>
          <w:tcPr>
            <w:tcW w:type="dxa" w:w="6240"/>
            <w:tcBorders>
              <w:top w:val="none"/>
              <w:left w:val="none"/>
              <w:bottom w:val="none"/>
              <w:right w:val="none"/>
            </w:tcBorders>
            <w:shd w:fill="D6EAF8" w:val="clear"/>
            <w:tcMar>
              <w:top w:type="dxa" w:w="100"/>
              <w:left w:type="dxa" w:w="160"/>
              <w:bottom w:type="dxa" w:w="100"/>
              <w:right w:type="dxa" w:w="160"/>
            </w:tcMar>
          </w:tcPr>
          <w:p>
            <w:r>
              <w:rPr>
                <w:rFonts w:ascii="Arial" w:cs="Arial" w:eastAsia="Arial" w:hAnsi="Arial"/>
                <w:color w:val="222222"/>
                <w:sz w:val="22"/>
                <w:szCs w:val="22"/>
              </w:rPr>
              <w:t xml:space="preserve">obtienen beneficios económicos directos de sus inversiones en descarbonización (ONU Pacto Mundial)</w:t>
            </w:r>
          </w:p>
        </w:tc>
      </w:tr>
      <w:tr>
        <w:tc>
          <w:tcPr>
            <w:tcW w:type="dxa" w:w="312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b/>
                <w:bCs/>
                <w:color w:val="1A5276"/>
                <w:sz w:val="22"/>
                <w:szCs w:val="22"/>
              </w:rPr>
              <w:t xml:space="preserve">+221 M USD</w:t>
            </w:r>
          </w:p>
        </w:tc>
        <w:tc>
          <w:tcPr>
            <w:tcW w:type="dxa" w:w="624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22222"/>
                <w:sz w:val="22"/>
                <w:szCs w:val="22"/>
              </w:rPr>
              <w:t xml:space="preserve">retorno promedio por empresa derivado de iniciativas de sostenibilidad</w:t>
            </w:r>
          </w:p>
        </w:tc>
      </w:tr>
      <w:tr>
        <w:tc>
          <w:tcPr>
            <w:tcW w:type="dxa" w:w="3120"/>
            <w:tcBorders>
              <w:top w:val="none"/>
              <w:left w:val="none"/>
              <w:bottom w:val="none"/>
              <w:right w:val="none"/>
            </w:tcBorders>
            <w:shd w:fill="D6EAF8" w:val="clear"/>
            <w:tcMar>
              <w:top w:type="dxa" w:w="100"/>
              <w:left w:type="dxa" w:w="160"/>
              <w:bottom w:type="dxa" w:w="100"/>
              <w:right w:type="dxa" w:w="160"/>
            </w:tcMar>
          </w:tcPr>
          <w:p>
            <w:r>
              <w:rPr>
                <w:rFonts w:ascii="Arial" w:cs="Arial" w:eastAsia="Arial" w:hAnsi="Arial"/>
                <w:b/>
                <w:bCs/>
                <w:color w:val="1A5276"/>
                <w:sz w:val="22"/>
                <w:szCs w:val="22"/>
              </w:rPr>
              <w:t xml:space="preserve">88% de compañías</w:t>
            </w:r>
          </w:p>
        </w:tc>
        <w:tc>
          <w:tcPr>
            <w:tcW w:type="dxa" w:w="6240"/>
            <w:tcBorders>
              <w:top w:val="none"/>
              <w:left w:val="none"/>
              <w:bottom w:val="none"/>
              <w:right w:val="none"/>
            </w:tcBorders>
            <w:shd w:fill="D6EAF8" w:val="clear"/>
            <w:tcMar>
              <w:top w:type="dxa" w:w="100"/>
              <w:left w:type="dxa" w:w="160"/>
              <w:bottom w:type="dxa" w:w="100"/>
              <w:right w:type="dxa" w:w="160"/>
            </w:tcMar>
          </w:tcPr>
          <w:p>
            <w:r>
              <w:rPr>
                <w:rFonts w:ascii="Arial" w:cs="Arial" w:eastAsia="Arial" w:hAnsi="Arial"/>
                <w:color w:val="222222"/>
                <w:sz w:val="22"/>
                <w:szCs w:val="22"/>
              </w:rPr>
              <w:t xml:space="preserve">identifican la sostenibilidad como clave para generar valor futuro</w:t>
            </w:r>
          </w:p>
        </w:tc>
      </w:tr>
      <w:tr>
        <w:tc>
          <w:tcPr>
            <w:tcW w:type="dxa" w:w="312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b/>
                <w:bCs/>
                <w:color w:val="1A5276"/>
                <w:sz w:val="22"/>
                <w:szCs w:val="22"/>
              </w:rPr>
              <w:t xml:space="preserve">40%</w:t>
            </w:r>
          </w:p>
        </w:tc>
        <w:tc>
          <w:tcPr>
            <w:tcW w:type="dxa" w:w="624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22222"/>
                <w:sz w:val="22"/>
                <w:szCs w:val="22"/>
              </w:rPr>
              <w:t xml:space="preserve">reducción en consumo energético con sistemas de refrigeración líquida (Nvidia, líderes cloud)</w:t>
            </w:r>
          </w:p>
        </w:tc>
      </w:tr>
      <w:tr>
        <w:tc>
          <w:tcPr>
            <w:tcW w:type="dxa" w:w="3120"/>
            <w:tcBorders>
              <w:top w:val="none"/>
              <w:left w:val="none"/>
              <w:bottom w:val="none"/>
              <w:right w:val="none"/>
            </w:tcBorders>
            <w:shd w:fill="D6EAF8" w:val="clear"/>
            <w:tcMar>
              <w:top w:type="dxa" w:w="100"/>
              <w:left w:type="dxa" w:w="160"/>
              <w:bottom w:type="dxa" w:w="100"/>
              <w:right w:type="dxa" w:w="160"/>
            </w:tcMar>
          </w:tcPr>
          <w:p>
            <w:r>
              <w:rPr>
                <w:rFonts w:ascii="Arial" w:cs="Arial" w:eastAsia="Arial" w:hAnsi="Arial"/>
                <w:b/>
                <w:bCs/>
                <w:color w:val="1A5276"/>
                <w:sz w:val="22"/>
                <w:szCs w:val="22"/>
              </w:rPr>
              <w:t xml:space="preserve">50% clientes B2B</w:t>
            </w:r>
          </w:p>
        </w:tc>
        <w:tc>
          <w:tcPr>
            <w:tcW w:type="dxa" w:w="6240"/>
            <w:tcBorders>
              <w:top w:val="none"/>
              <w:left w:val="none"/>
              <w:bottom w:val="none"/>
              <w:right w:val="none"/>
            </w:tcBorders>
            <w:shd w:fill="D6EAF8" w:val="clear"/>
            <w:tcMar>
              <w:top w:type="dxa" w:w="100"/>
              <w:left w:type="dxa" w:w="160"/>
              <w:bottom w:type="dxa" w:w="100"/>
              <w:right w:type="dxa" w:w="160"/>
            </w:tcMar>
          </w:tcPr>
          <w:p>
            <w:r>
              <w:rPr>
                <w:rFonts w:ascii="Arial" w:cs="Arial" w:eastAsia="Arial" w:hAnsi="Arial"/>
                <w:color w:val="222222"/>
                <w:sz w:val="22"/>
                <w:szCs w:val="22"/>
              </w:rPr>
              <w:t xml:space="preserve">ya priorizan proveedores sostenibles — y crecerá a 2/3 en 3 años</w:t>
            </w:r>
          </w:p>
        </w:tc>
      </w:tr>
      <w:tr>
        <w:tc>
          <w:tcPr>
            <w:tcW w:type="dxa" w:w="312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b/>
                <w:bCs/>
                <w:color w:val="1A5276"/>
                <w:sz w:val="22"/>
                <w:szCs w:val="22"/>
              </w:rPr>
              <w:t xml:space="preserve">Marzo 2026</w:t>
            </w:r>
          </w:p>
        </w:tc>
        <w:tc>
          <w:tcPr>
            <w:tcW w:type="dxa" w:w="6240"/>
            <w:tcBorders>
              <w:top w:val="none"/>
              <w:left w:val="none"/>
              <w:bottom w:val="none"/>
              <w:right w:val="none"/>
            </w:tcBorders>
            <w:shd w:fill="EBF5FB" w:val="clear"/>
            <w:tcMar>
              <w:top w:type="dxa" w:w="100"/>
              <w:left w:type="dxa" w:w="160"/>
              <w:bottom w:type="dxa" w:w="100"/>
              <w:right w:type="dxa" w:w="160"/>
            </w:tcMar>
          </w:tcPr>
          <w:p>
            <w:r>
              <w:rPr>
                <w:rFonts w:ascii="Arial" w:cs="Arial" w:eastAsia="Arial" w:hAnsi="Arial"/>
                <w:color w:val="222222"/>
                <w:sz w:val="22"/>
                <w:szCs w:val="22"/>
              </w:rPr>
              <w:t xml:space="preserve">entra en vigor la directiva europea anti-greenwashing: información ambiental verificable o multas</w:t>
            </w:r>
          </w:p>
        </w:tc>
      </w:tr>
    </w:tbl>
    <w:p>
      <w:pPr>
        <w:spacing w:after="0" w:before="280"/>
      </w:pPr>
      <w:r>
        <w:t xml:space="preserve"/>
      </w:r>
    </w:p>
    <w:p>
      <w:pPr>
        <w:pStyle w:val="Heading2"/>
      </w:pPr>
      <w:r>
        <w:rPr>
          <w:rFonts w:ascii="Arial" w:cs="Arial" w:eastAsia="Arial" w:hAnsi="Arial"/>
          <w:b/>
          <w:bCs/>
          <w:color w:val="1A5276"/>
          <w:sz w:val="30"/>
          <w:szCs w:val="30"/>
        </w:rPr>
        <w:t xml:space="preserve">4. El marco regulatorio aprieta: lo que ya no es opcional</w:t>
      </w:r>
    </w:p>
    <w:p>
      <w:pPr>
        <w:spacing w:after="200" w:before="0"/>
      </w:pPr>
      <w:r>
        <w:rPr>
          <w:rFonts w:ascii="Arial" w:cs="Arial" w:eastAsia="Arial" w:hAnsi="Arial"/>
          <w:sz w:val="24"/>
          <w:szCs w:val="24"/>
        </w:rPr>
        <w:t xml:space="preserve">En marzo de 2026 entró en vigor la directiva europea contra el greenwashing, que exige a las empresas proporcionar información ambiental clara y verificable. No cumplir tiene consecuencias financieras y reputacionales directas. Paralelamente, el CBAM (Mecanismo de Ajuste en Frontera por Carbono) convierte las emisiones en costos de importación: las empresas que importen más de 50 toneladas anuales de materiales como acero o aluminio deben acreditar cumplimiento.</w:t>
      </w:r>
    </w:p>
    <w:p>
      <w:pPr>
        <w:spacing w:after="200" w:before="0"/>
      </w:pPr>
      <w:r>
        <w:rPr>
          <w:rFonts w:ascii="Arial" w:cs="Arial" w:eastAsia="Arial" w:hAnsi="Arial"/>
          <w:sz w:val="24"/>
          <w:szCs w:val="24"/>
        </w:rPr>
        <w:t xml:space="preserve">La normativa CSRD, aunque simplificada, exige datos sólidos y útiles para la gestión — no solo check-lists de cumplimiento. El foco regulatorio se desplaza hacia la acción real y medible.</w:t>
      </w:r>
    </w:p>
    <w:p>
      <w:pPr>
        <w:pStyle w:val="Heading2"/>
      </w:pPr>
      <w:r>
        <w:rPr>
          <w:rFonts w:ascii="Arial" w:cs="Arial" w:eastAsia="Arial" w:hAnsi="Arial"/>
          <w:b/>
          <w:bCs/>
          <w:color w:val="1A5276"/>
          <w:sz w:val="30"/>
          <w:szCs w:val="30"/>
        </w:rPr>
        <w:t xml:space="preserve">5. Tres acciones concretas para líderes en 2026</w:t>
      </w:r>
    </w:p>
    <w:p>
      <w:pPr>
        <w:pStyle w:val="ListParagraph"/>
        <w:numPr>
          <w:ilvl w:val="0"/>
          <w:numId w:val="2"/>
        </w:numPr>
        <w:spacing w:after="120" w:before="120"/>
      </w:pPr>
      <w:r>
        <w:rPr>
          <w:rFonts w:ascii="Arial" w:cs="Arial" w:eastAsia="Arial" w:hAnsi="Arial"/>
          <w:b/>
          <w:bCs/>
          <w:color w:val="1A5276"/>
          <w:sz w:val="24"/>
          <w:szCs w:val="24"/>
        </w:rPr>
        <w:t xml:space="preserve">Auditar la infraestructura digital hoy: </w:t>
      </w:r>
      <w:r>
        <w:rPr>
          <w:rFonts w:ascii="Arial" w:cs="Arial" w:eastAsia="Arial" w:hAnsi="Arial"/>
          <w:color w:val="222222"/>
          <w:sz w:val="24"/>
          <w:szCs w:val="24"/>
        </w:rPr>
        <w:t xml:space="preserve">Identificar qué porcentaje de operaciones corre en servidores propios vs. cloud certificado. Migrar cargas no críticas a proveedores con compromisos de energía renovable es la palanca más rápida y medible.</w:t>
      </w:r>
    </w:p>
    <w:p>
      <w:pPr>
        <w:pStyle w:val="ListParagraph"/>
        <w:numPr>
          <w:ilvl w:val="0"/>
          <w:numId w:val="2"/>
        </w:numPr>
        <w:spacing w:after="120" w:before="120"/>
      </w:pPr>
      <w:r>
        <w:rPr>
          <w:rFonts w:ascii="Arial" w:cs="Arial" w:eastAsia="Arial" w:hAnsi="Arial"/>
          <w:b/>
          <w:bCs/>
          <w:color w:val="1A5276"/>
          <w:sz w:val="24"/>
          <w:szCs w:val="24"/>
        </w:rPr>
        <w:t xml:space="preserve">Integrar métricas ESG en el tablero de control: </w:t>
      </w:r>
      <w:r>
        <w:rPr>
          <w:rFonts w:ascii="Arial" w:cs="Arial" w:eastAsia="Arial" w:hAnsi="Arial"/>
          <w:color w:val="222222"/>
          <w:sz w:val="24"/>
          <w:szCs w:val="24"/>
        </w:rPr>
        <w:t xml:space="preserve">La sostenibilidad que no se mide no se gestiona. Incorporar KPIs de huella de carbono, consumo energético y eficiencia digital al mismo tablero donde se reportan ingresos y margen operativo.</w:t>
      </w:r>
    </w:p>
    <w:p>
      <w:pPr>
        <w:pStyle w:val="ListParagraph"/>
        <w:numPr>
          <w:ilvl w:val="0"/>
          <w:numId w:val="2"/>
        </w:numPr>
        <w:spacing w:after="120" w:before="120"/>
      </w:pPr>
      <w:r>
        <w:rPr>
          <w:rFonts w:ascii="Arial" w:cs="Arial" w:eastAsia="Arial" w:hAnsi="Arial"/>
          <w:b/>
          <w:bCs/>
          <w:color w:val="1A5276"/>
          <w:sz w:val="24"/>
          <w:szCs w:val="24"/>
        </w:rPr>
        <w:t xml:space="preserve">Exigir transparencia en la cadena de suministro: </w:t>
      </w:r>
      <w:r>
        <w:rPr>
          <w:rFonts w:ascii="Arial" w:cs="Arial" w:eastAsia="Arial" w:hAnsi="Arial"/>
          <w:color w:val="222222"/>
          <w:sz w:val="24"/>
          <w:szCs w:val="24"/>
        </w:rPr>
        <w:t xml:space="preserve">Solicitar a proveedores clave información sobre su impacto ambiental no es solo cumplimiento normativo — es protección de negocio. El 56% de las pymes se mueve hacia la sostenibilidad impulsado por exigencias de grandes clientes.</w:t>
      </w:r>
    </w:p>
    <w:p>
      <w:pPr>
        <w:spacing w:after="0" w:before="200"/>
      </w:pPr>
      <w:r>
        <w:t xml:space="preserve"/>
      </w:r>
    </w:p>
    <w:p>
      <w:pPr>
        <w:pStyle w:val="Heading2"/>
      </w:pPr>
      <w:r>
        <w:rPr>
          <w:rFonts w:ascii="Arial" w:cs="Arial" w:eastAsia="Arial" w:hAnsi="Arial"/>
          <w:b/>
          <w:bCs/>
          <w:color w:val="1A5276"/>
          <w:sz w:val="30"/>
          <w:szCs w:val="30"/>
        </w:rPr>
        <w:t xml:space="preserve">Conclusión: la sostenibilidad ya es estrategia, no reputación</w:t>
      </w:r>
    </w:p>
    <w:p>
      <w:pPr>
        <w:spacing w:after="200" w:before="0"/>
      </w:pPr>
      <w:r>
        <w:rPr>
          <w:rFonts w:ascii="Arial" w:cs="Arial" w:eastAsia="Arial" w:hAnsi="Arial"/>
          <w:sz w:val="24"/>
          <w:szCs w:val="24"/>
        </w:rPr>
        <w:t xml:space="preserve">Las organizaciones que hoy lideran la sostenibilidad digital no lo hacen por imagen — lo hacen porque ven el retorno. Google lleva siete años igualando su consumo eléctrico con energía 100% renovable. Amazon es el mayor comprador corporativo de energía renovable del mundo. Estos no son gestos de marketing: son ventajas competitivas estructurales.</w:t>
      </w:r>
    </w:p>
    <w:p>
      <w:pPr>
        <w:spacing w:after="320" w:before="0"/>
      </w:pPr>
      <w:r>
        <w:rPr>
          <w:rFonts w:ascii="Arial" w:cs="Arial" w:eastAsia="Arial" w:hAnsi="Arial"/>
          <w:sz w:val="24"/>
          <w:szCs w:val="24"/>
        </w:rPr>
        <w:t xml:space="preserve">En 2026, la sostenibilidad digital es la conversión de compromisos en resultados medibles que atraen capital, diferencian en el mercado y consolidan la confianza de clientes, inversores y reguladores. Los líderes que actúen ahora estarán mejor posicionados. Los que esperen, pagarán el costo de ponerse al día.</w:t>
      </w:r>
    </w:p>
    <w:p>
      <w:pPr>
        <w:pBdr>
          <w:top w:val="single" w:color="CCCCCC" w:sz="4" w:space="1"/>
        </w:pBdr>
        <w:spacing w:after="80" w:before="200"/>
      </w:pPr>
    </w:p>
    <w:p>
      <w:pPr>
        <w:spacing w:after="0" w:before="0"/>
      </w:pPr>
      <w:r>
        <w:rPr>
          <w:rFonts w:ascii="Arial" w:cs="Arial" w:eastAsia="Arial" w:hAnsi="Arial"/>
          <w:i/>
          <w:iCs/>
          <w:color w:val="888888"/>
          <w:sz w:val="18"/>
          <w:szCs w:val="18"/>
        </w:rPr>
        <w:t xml:space="preserve">Fuentes: Pacto Mundial ONU – Tendencias en sostenibilidad empresarial 2026 · KPMG Top Sustainability Themes 2026 · Gartner IT Symposium 2026 · McKinsey &amp; Company · IBM Institute for Business Value · La Página Verde Digital · Alto Perfil Magazine · Moeve Global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2026-04-24T01:51:08.341Z</dcterms:created>
  <dcterms:modified xsi:type="dcterms:W3CDTF">2026-04-24T01:51:08.341Z</dcterms:modified>
</cp:coreProperties>
</file>

<file path=docProps/custom.xml><?xml version="1.0" encoding="utf-8"?>
<Properties xmlns="http://schemas.openxmlformats.org/officeDocument/2006/custom-properties" xmlns:vt="http://schemas.openxmlformats.org/officeDocument/2006/docPropsVTypes"/>
</file>