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3A3" w:rsidRDefault="00C043D6" w:rsidP="00A30CBE">
      <w:pPr>
        <w:pStyle w:val="Heading1"/>
      </w:pPr>
      <w:r w:rsidRPr="007C32E1">
        <w:t>The Biological Problem</w:t>
      </w:r>
    </w:p>
    <w:p w:rsidR="00A30CBE" w:rsidRDefault="00A30CBE" w:rsidP="00A30CBE">
      <w:pPr>
        <w:pStyle w:val="Heading2"/>
      </w:pPr>
      <w:r>
        <w:t>Second heading</w:t>
      </w:r>
    </w:p>
    <w:p w:rsidR="00A30CBE" w:rsidRDefault="00A30CBE" w:rsidP="00A30CBE">
      <w:pPr>
        <w:pStyle w:val="Heading3"/>
      </w:pPr>
      <w:r>
        <w:t>Third heading</w:t>
      </w:r>
    </w:p>
    <w:p w:rsidR="00A30CBE" w:rsidRPr="00A30CBE" w:rsidRDefault="00A30CBE" w:rsidP="00A30CBE">
      <w:pPr>
        <w:pStyle w:val="Heading4"/>
      </w:pPr>
      <w:r>
        <w:t>Forth Heading</w:t>
      </w:r>
    </w:p>
    <w:p w:rsidR="00436812" w:rsidRDefault="00B65E5F" w:rsidP="006843A3">
      <w:pPr>
        <w:spacing w:line="480" w:lineRule="auto"/>
        <w:jc w:val="both"/>
        <w:rPr>
          <w:rFonts w:asciiTheme="minorHAnsi" w:hAnsiTheme="minorHAnsi"/>
        </w:rPr>
      </w:pPr>
      <w:r>
        <w:rPr>
          <w:rFonts w:asciiTheme="minorHAnsi" w:hAnsiTheme="minorHAnsi"/>
        </w:rPr>
        <w:t xml:space="preserve">The </w:t>
      </w:r>
      <w:r w:rsidR="007B7D3A">
        <w:rPr>
          <w:rFonts w:asciiTheme="minorHAnsi" w:hAnsiTheme="minorHAnsi"/>
        </w:rPr>
        <w:t xml:space="preserve">first </w:t>
      </w:r>
      <w:r>
        <w:rPr>
          <w:rFonts w:asciiTheme="minorHAnsi" w:hAnsiTheme="minorHAnsi"/>
        </w:rPr>
        <w:t xml:space="preserve">biological problem presented in this paper involves the modeling of the </w:t>
      </w:r>
      <w:proofErr w:type="spellStart"/>
      <w:r>
        <w:rPr>
          <w:rFonts w:asciiTheme="minorHAnsi" w:hAnsiTheme="minorHAnsi"/>
        </w:rPr>
        <w:t>endocytosis</w:t>
      </w:r>
      <w:proofErr w:type="spellEnd"/>
      <w:r>
        <w:rPr>
          <w:rFonts w:asciiTheme="minorHAnsi" w:hAnsiTheme="minorHAnsi"/>
        </w:rPr>
        <w:t xml:space="preserve"> of Low Density </w:t>
      </w:r>
      <w:proofErr w:type="gramStart"/>
      <w:r>
        <w:rPr>
          <w:rFonts w:asciiTheme="minorHAnsi" w:hAnsiTheme="minorHAnsi"/>
        </w:rPr>
        <w:t>Lipoprotein(</w:t>
      </w:r>
      <w:proofErr w:type="gramEnd"/>
      <w:r>
        <w:rPr>
          <w:rFonts w:asciiTheme="minorHAnsi" w:hAnsiTheme="minorHAnsi"/>
        </w:rPr>
        <w:t>LDL). The model is broken down into several small</w:t>
      </w:r>
      <w:r w:rsidR="007B7D3A">
        <w:rPr>
          <w:rFonts w:asciiTheme="minorHAnsi" w:hAnsiTheme="minorHAnsi"/>
        </w:rPr>
        <w:t xml:space="preserve">er parts. The amount of receptors with a quantified amount of LDL is modeled, as well as the subsequent breakdown of these receptors, the recycling of some amount of the receptors, and the rate of new receptor production. This problem is expanded and generalized to </w:t>
      </w:r>
      <w:r w:rsidR="008D1281">
        <w:rPr>
          <w:rFonts w:asciiTheme="minorHAnsi" w:hAnsiTheme="minorHAnsi"/>
        </w:rPr>
        <w:t xml:space="preserve">the case where LDL particles are added at a constant rate to the extracellular medium, which is the more likely situation </w:t>
      </w:r>
      <w:r w:rsidR="008D1281">
        <w:rPr>
          <w:rFonts w:asciiTheme="minorHAnsi" w:hAnsiTheme="minorHAnsi"/>
          <w:i/>
        </w:rPr>
        <w:t>in vivo</w:t>
      </w:r>
      <w:r w:rsidR="00B045B8">
        <w:rPr>
          <w:rFonts w:asciiTheme="minorHAnsi" w:hAnsiTheme="minorHAnsi"/>
        </w:rPr>
        <w:t>. For each model, steady states and pseudo steady states are calculated from the differential equations.</w:t>
      </w:r>
    </w:p>
    <w:p w:rsidR="00444F76" w:rsidRPr="007C32E1" w:rsidRDefault="00444F76" w:rsidP="00444F76">
      <w:pPr>
        <w:pStyle w:val="ListParagraph"/>
        <w:numPr>
          <w:ilvl w:val="0"/>
          <w:numId w:val="1"/>
        </w:numPr>
        <w:spacing w:line="480" w:lineRule="auto"/>
        <w:jc w:val="both"/>
        <w:rPr>
          <w:b/>
          <w:sz w:val="28"/>
          <w:szCs w:val="28"/>
        </w:rPr>
      </w:pPr>
      <w:r w:rsidRPr="007C32E1">
        <w:rPr>
          <w:b/>
          <w:sz w:val="28"/>
          <w:szCs w:val="28"/>
        </w:rPr>
        <w:t>Summary of the computations</w:t>
      </w:r>
    </w:p>
    <w:p w:rsidR="000B219F" w:rsidRDefault="00012011" w:rsidP="00BC4DF7">
      <w:pPr>
        <w:spacing w:line="480" w:lineRule="auto"/>
        <w:jc w:val="both"/>
        <w:rPr>
          <w:sz w:val="24"/>
          <w:szCs w:val="24"/>
        </w:rPr>
      </w:pPr>
      <w:r>
        <w:rPr>
          <w:sz w:val="24"/>
          <w:szCs w:val="24"/>
        </w:rPr>
        <w:t xml:space="preserve">A system of seven equations is used to summarize the interactions and the dynamics of LDL cholesterol and receptors. </w:t>
      </w:r>
      <w:r w:rsidR="00191604">
        <w:rPr>
          <w:sz w:val="24"/>
          <w:szCs w:val="24"/>
        </w:rPr>
        <w:t xml:space="preserve">These seven equations illustrate the rates of change in the concentration of free pits, the concentration of occupied pits, the concentration of bound LDL, </w:t>
      </w:r>
      <w:r w:rsidR="00BD0AA4">
        <w:rPr>
          <w:sz w:val="24"/>
          <w:szCs w:val="24"/>
        </w:rPr>
        <w:t>the concentration of the internal store of receptors, the concentration of the intracellular and extracellular LDL, and the concentration of the cholesterol derived from intracellular LDL.</w:t>
      </w:r>
    </w:p>
    <w:p w:rsidR="000B219F" w:rsidRDefault="000B219F" w:rsidP="008336F6">
      <w:pPr>
        <w:spacing w:line="480" w:lineRule="auto"/>
        <w:jc w:val="both"/>
        <w:rPr>
          <w:sz w:val="24"/>
          <w:szCs w:val="24"/>
        </w:rPr>
      </w:pPr>
      <w:r w:rsidRPr="000B219F">
        <w:rPr>
          <w:sz w:val="24"/>
          <w:szCs w:val="24"/>
        </w:rPr>
        <w:t xml:space="preserve">The seven differential equations </w:t>
      </w:r>
      <w:r w:rsidR="008336F6">
        <w:rPr>
          <w:sz w:val="24"/>
          <w:szCs w:val="24"/>
        </w:rPr>
        <w:t>summarize</w:t>
      </w:r>
      <w:r w:rsidR="0022491F">
        <w:rPr>
          <w:sz w:val="24"/>
          <w:szCs w:val="24"/>
        </w:rPr>
        <w:t xml:space="preserve"> the</w:t>
      </w:r>
      <w:r w:rsidRPr="000B219F">
        <w:rPr>
          <w:sz w:val="24"/>
          <w:szCs w:val="24"/>
        </w:rPr>
        <w:t xml:space="preserve"> aspects</w:t>
      </w:r>
      <w:r>
        <w:rPr>
          <w:sz w:val="24"/>
          <w:szCs w:val="24"/>
        </w:rPr>
        <w:t xml:space="preserve"> that we are interested to model</w:t>
      </w:r>
      <w:r w:rsidR="0002710E">
        <w:rPr>
          <w:sz w:val="24"/>
          <w:szCs w:val="24"/>
        </w:rPr>
        <w:t>.</w:t>
      </w:r>
    </w:p>
    <w:p w:rsidR="002F75B7" w:rsidRDefault="005A7F0A" w:rsidP="0022491F">
      <w:pPr>
        <w:spacing w:line="480" w:lineRule="auto"/>
        <w:jc w:val="both"/>
        <w:rPr>
          <w:sz w:val="24"/>
          <w:szCs w:val="24"/>
        </w:rPr>
      </w:pPr>
      <w:r>
        <w:rPr>
          <w:sz w:val="24"/>
          <w:szCs w:val="24"/>
        </w:rPr>
        <w:lastRenderedPageBreak/>
        <w:t>From these differential equations it is possible to solve for the steady states in the system, and make predictions for systems which are in different experimental conditions as the ones which are being modeled here.</w:t>
      </w:r>
    </w:p>
    <w:p w:rsidR="00191604" w:rsidRDefault="00A30CBE" w:rsidP="00191604">
      <w:pPr>
        <w:spacing w:line="480" w:lineRule="auto"/>
        <w:jc w:val="both"/>
        <w:rPr>
          <w:sz w:val="24"/>
          <w:szCs w:val="24"/>
        </w:rPr>
      </w:pPr>
      <w:r>
        <w:rPr>
          <w:noProof/>
          <w:lang w:val="en-CA" w:eastAsia="zh-CN" w:bidi="ar-SA"/>
        </w:rPr>
        <w:drawing>
          <wp:inline distT="0" distB="0" distL="0" distR="0">
            <wp:extent cx="4191000" cy="2819400"/>
            <wp:effectExtent l="0" t="0" r="0" b="0"/>
            <wp:docPr id="1" name="Picture 1" descr="http://www.paleovillage.com/wp-content/uploads/2011/07/440px-Cholesterol.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leovillage.com/wp-content/uploads/2011/07/440px-Cholesterol.svg_.png"/>
                    <pic:cNvPicPr>
                      <a:picLocks noChangeAspect="1" noChangeArrowheads="1"/>
                    </pic:cNvPicPr>
                  </pic:nvPicPr>
                  <pic:blipFill>
                    <a:blip r:embed="rId6" cstate="print"/>
                    <a:srcRect/>
                    <a:stretch>
                      <a:fillRect/>
                    </a:stretch>
                  </pic:blipFill>
                  <pic:spPr bwMode="auto">
                    <a:xfrm>
                      <a:off x="0" y="0"/>
                      <a:ext cx="4191000" cy="2819400"/>
                    </a:xfrm>
                    <a:prstGeom prst="rect">
                      <a:avLst/>
                    </a:prstGeom>
                    <a:noFill/>
                    <a:ln w="9525">
                      <a:noFill/>
                      <a:miter lim="800000"/>
                      <a:headEnd/>
                      <a:tailEnd/>
                    </a:ln>
                  </pic:spPr>
                </pic:pic>
              </a:graphicData>
            </a:graphic>
          </wp:inline>
        </w:drawing>
      </w:r>
    </w:p>
    <w:p w:rsidR="00A30CBE" w:rsidRDefault="00A30CBE" w:rsidP="00191604">
      <w:pPr>
        <w:spacing w:line="480" w:lineRule="auto"/>
        <w:jc w:val="both"/>
        <w:rPr>
          <w:sz w:val="24"/>
          <w:szCs w:val="24"/>
        </w:rPr>
      </w:pPr>
      <w:r>
        <w:rPr>
          <w:sz w:val="24"/>
          <w:szCs w:val="24"/>
        </w:rPr>
        <w:t>Testing image displaying</w:t>
      </w:r>
    </w:p>
    <w:p w:rsidR="00380D8E" w:rsidRPr="00380D8E" w:rsidRDefault="00380D8E" w:rsidP="00191604">
      <w:pPr>
        <w:spacing w:line="480" w:lineRule="auto"/>
        <w:jc w:val="both"/>
        <w:rPr>
          <w:i/>
          <w:sz w:val="28"/>
          <w:szCs w:val="28"/>
        </w:rPr>
      </w:pPr>
      <w:r w:rsidRPr="00380D8E">
        <w:rPr>
          <w:i/>
          <w:sz w:val="28"/>
          <w:szCs w:val="28"/>
        </w:rPr>
        <w:t>Equations and Constants</w:t>
      </w:r>
    </w:p>
    <w:p w:rsidR="00191604" w:rsidRP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num>
            <m:den>
              <m:r>
                <w:rPr>
                  <w:rFonts w:ascii="Cambria Math" w:hAnsi="Cambria Math"/>
                  <w:sz w:val="24"/>
                  <w:szCs w:val="24"/>
                </w:rPr>
                <m:t>dt</m:t>
              </m:r>
            </m:den>
          </m:f>
          <m:r>
            <w:rPr>
              <w:rFonts w:ascii="Cambria Math" w:hAnsi="Cambria Math"/>
              <w:sz w:val="24"/>
              <w:szCs w:val="24"/>
            </w:rPr>
            <m:t>=gR-A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 xml:space="preserve">         </m:t>
          </m:r>
        </m:oMath>
      </m:oMathPara>
    </w:p>
    <w:p w:rsidR="00191604" w:rsidRP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 N</m:t>
          </m:r>
        </m:oMath>
      </m:oMathPara>
    </w:p>
    <w:p w:rsidR="00191604" w:rsidRP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e</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m:t>
              </m:r>
            </m:e>
          </m:d>
          <m:r>
            <w:rPr>
              <w:rFonts w:ascii="Cambria Math" w:hAnsi="Cambria Math"/>
              <w:sz w:val="24"/>
              <w:szCs w:val="24"/>
            </w:rPr>
            <m:t>- M</m:t>
          </m:r>
        </m:oMath>
      </m:oMathPara>
    </w:p>
    <w:p w:rsidR="00191604" w:rsidRP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m:t>
                  </m:r>
                </m:sub>
              </m:sSub>
            </m:num>
            <m:den>
              <m:r>
                <w:rPr>
                  <w:rFonts w:ascii="Cambria Math" w:hAnsi="Cambria Math"/>
                  <w:sz w:val="24"/>
                  <w:szCs w:val="24"/>
                </w:rPr>
                <m:t>K+C</m:t>
              </m:r>
            </m:den>
          </m:f>
          <m:r>
            <w:rPr>
              <w:rFonts w:ascii="Cambria Math" w:hAnsi="Cambria Math"/>
              <w:sz w:val="24"/>
              <w:szCs w:val="24"/>
            </w:rPr>
            <m:t>+fN+f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-gR</m:t>
          </m:r>
        </m:oMath>
      </m:oMathPara>
    </w:p>
    <w:p w:rsidR="00191604" w:rsidRP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 xml:space="preserve">  α</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e</m:t>
                  </m:r>
                </m:sub>
              </m:sSub>
            </m:num>
            <m:den>
              <m:r>
                <w:rPr>
                  <w:rFonts w:ascii="Cambria Math" w:hAnsi="Cambria Math"/>
                  <w:sz w:val="24"/>
                  <w:szCs w:val="24"/>
                </w:rPr>
                <m:t>dt</m:t>
              </m:r>
            </m:den>
          </m:f>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m:t>
              </m:r>
            </m:sub>
          </m:sSub>
          <m:r>
            <w:rPr>
              <w:rFonts w:ascii="Cambria Math" w:hAnsi="Cambria Math"/>
              <w:sz w:val="24"/>
              <w:szCs w:val="24"/>
            </w:rPr>
            <m:t>- Aψ</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e</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m:t>
              </m:r>
            </m:e>
          </m:d>
        </m:oMath>
      </m:oMathPara>
    </w:p>
    <w:p w:rsidR="00191604" w:rsidRP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6</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r>
                <w:rPr>
                  <w:rFonts w:ascii="Cambria Math" w:hAnsi="Cambria Math"/>
                  <w:sz w:val="24"/>
                  <w:szCs w:val="24"/>
                </w:rPr>
                <m:t>dt</m:t>
              </m:r>
            </m:den>
          </m:f>
          <m:r>
            <w:rPr>
              <w:rFonts w:ascii="Cambria Math" w:hAnsi="Cambria Math"/>
              <w:sz w:val="24"/>
              <w:szCs w:val="24"/>
            </w:rPr>
            <m:t>= ψM-</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id</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m:oMathPara>
    </w:p>
    <w:p w:rsidR="00191604" w:rsidRDefault="00E32BE9" w:rsidP="00191604">
      <w:pPr>
        <w:spacing w:line="480" w:lineRule="auto"/>
        <w:jc w:val="both"/>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7</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dC</m:t>
              </m:r>
            </m:num>
            <m:den>
              <m:r>
                <w:rPr>
                  <w:rFonts w:ascii="Cambria Math" w:hAnsi="Cambria Math"/>
                  <w:sz w:val="24"/>
                  <w:szCs w:val="24"/>
                </w:rPr>
                <m:t>dt</m:t>
              </m:r>
            </m:den>
          </m:f>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id</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 λ</m:t>
          </m:r>
          <m:d>
            <m:dPr>
              <m:ctrlPr>
                <w:rPr>
                  <w:rFonts w:ascii="Cambria Math" w:hAnsi="Cambria Math"/>
                  <w:i/>
                  <w:sz w:val="24"/>
                  <w:szCs w:val="24"/>
                </w:rPr>
              </m:ctrlPr>
            </m:dPr>
            <m:e>
              <m:r>
                <w:rPr>
                  <w:rFonts w:ascii="Cambria Math" w:hAnsi="Cambria Math"/>
                  <w:sz w:val="24"/>
                  <w:szCs w:val="24"/>
                </w:rPr>
                <m:t>C-1</m:t>
              </m:r>
            </m:e>
          </m:d>
        </m:oMath>
      </m:oMathPara>
    </w:p>
    <w:p w:rsidR="00D16F2E" w:rsidRDefault="00D16F2E" w:rsidP="00191604">
      <w:pPr>
        <w:spacing w:line="480" w:lineRule="auto"/>
        <w:jc w:val="both"/>
        <w:rPr>
          <w:sz w:val="24"/>
          <w:szCs w:val="24"/>
        </w:rPr>
      </w:pPr>
    </w:p>
    <w:p w:rsidR="00380D8E" w:rsidRDefault="00380D8E" w:rsidP="00191604">
      <w:pPr>
        <w:spacing w:line="480" w:lineRule="auto"/>
        <w:jc w:val="both"/>
        <w:rPr>
          <w:sz w:val="24"/>
          <w:szCs w:val="24"/>
        </w:rPr>
      </w:pPr>
    </w:p>
    <w:p w:rsidR="00380D8E" w:rsidRDefault="00380D8E" w:rsidP="00191604">
      <w:pPr>
        <w:spacing w:line="480" w:lineRule="auto"/>
        <w:jc w:val="both"/>
        <w:rPr>
          <w:sz w:val="24"/>
          <w:szCs w:val="24"/>
        </w:rPr>
      </w:pPr>
    </w:p>
    <w:p w:rsidR="00380D8E" w:rsidRDefault="00380D8E" w:rsidP="00191604">
      <w:pPr>
        <w:spacing w:line="480" w:lineRule="auto"/>
        <w:jc w:val="both"/>
        <w:rPr>
          <w:sz w:val="24"/>
          <w:szCs w:val="24"/>
        </w:rPr>
      </w:pPr>
    </w:p>
    <w:p w:rsidR="00380D8E" w:rsidRDefault="00380D8E" w:rsidP="00191604">
      <w:pPr>
        <w:spacing w:line="480" w:lineRule="auto"/>
        <w:jc w:val="both"/>
        <w:rPr>
          <w:sz w:val="24"/>
          <w:szCs w:val="24"/>
        </w:rPr>
      </w:pPr>
    </w:p>
    <w:p w:rsidR="00380D8E" w:rsidRPr="00191604" w:rsidRDefault="00380D8E" w:rsidP="00191604">
      <w:pPr>
        <w:spacing w:line="480" w:lineRule="auto"/>
        <w:jc w:val="both"/>
        <w:rPr>
          <w:sz w:val="24"/>
          <w:szCs w:val="24"/>
        </w:rPr>
      </w:pPr>
    </w:p>
    <w:tbl>
      <w:tblPr>
        <w:tblStyle w:val="TableGrid"/>
        <w:tblW w:w="0" w:type="auto"/>
        <w:tblInd w:w="360" w:type="dxa"/>
        <w:tblLook w:val="04A0"/>
      </w:tblPr>
      <w:tblGrid>
        <w:gridCol w:w="852"/>
        <w:gridCol w:w="5559"/>
        <w:gridCol w:w="2805"/>
      </w:tblGrid>
      <w:tr w:rsidR="00191604" w:rsidRPr="00191604" w:rsidTr="00380D8E">
        <w:trPr>
          <w:trHeight w:val="416"/>
        </w:trPr>
        <w:tc>
          <w:tcPr>
            <w:tcW w:w="852" w:type="dxa"/>
          </w:tcPr>
          <w:p w:rsidR="00191604" w:rsidRPr="00191604" w:rsidRDefault="00191604" w:rsidP="00191604">
            <w:pPr>
              <w:spacing w:after="200"/>
              <w:jc w:val="both"/>
              <w:rPr>
                <w:sz w:val="24"/>
                <w:szCs w:val="24"/>
              </w:rPr>
            </w:pPr>
          </w:p>
        </w:tc>
        <w:tc>
          <w:tcPr>
            <w:tcW w:w="5559" w:type="dxa"/>
          </w:tcPr>
          <w:p w:rsidR="00191604" w:rsidRPr="00191604" w:rsidRDefault="00191604" w:rsidP="00191604">
            <w:pPr>
              <w:spacing w:after="200"/>
              <w:jc w:val="both"/>
              <w:rPr>
                <w:sz w:val="24"/>
                <w:szCs w:val="24"/>
              </w:rPr>
            </w:pPr>
            <w:r w:rsidRPr="00191604">
              <w:rPr>
                <w:sz w:val="24"/>
                <w:szCs w:val="24"/>
              </w:rPr>
              <w:t>Description</w:t>
            </w:r>
          </w:p>
        </w:tc>
        <w:tc>
          <w:tcPr>
            <w:tcW w:w="2805" w:type="dxa"/>
          </w:tcPr>
          <w:p w:rsidR="00191604" w:rsidRPr="00191604" w:rsidRDefault="00191604" w:rsidP="00191604">
            <w:pPr>
              <w:spacing w:after="200"/>
              <w:jc w:val="both"/>
              <w:rPr>
                <w:sz w:val="24"/>
                <w:szCs w:val="24"/>
              </w:rPr>
            </w:pPr>
            <w:r w:rsidRPr="00191604">
              <w:rPr>
                <w:sz w:val="24"/>
                <w:szCs w:val="24"/>
              </w:rPr>
              <w:t>Value</w:t>
            </w:r>
          </w:p>
        </w:tc>
      </w:tr>
      <w:tr w:rsidR="00191604" w:rsidRPr="00191604" w:rsidTr="00380D8E">
        <w:trPr>
          <w:trHeight w:val="709"/>
        </w:trPr>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m:oMathPara>
          </w:p>
        </w:tc>
        <w:tc>
          <w:tcPr>
            <w:tcW w:w="5559" w:type="dxa"/>
          </w:tcPr>
          <w:p w:rsidR="00191604" w:rsidRPr="00380D8E" w:rsidRDefault="00191604" w:rsidP="00380D8E">
            <w:pPr>
              <w:spacing w:after="200"/>
              <w:jc w:val="both"/>
            </w:pPr>
            <w:r w:rsidRPr="00380D8E">
              <w:t>Concentration of pits free of LDL divided by the initial concentration of pits.</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g</m:t>
                </m:r>
              </m:oMath>
            </m:oMathPara>
          </w:p>
        </w:tc>
        <w:tc>
          <w:tcPr>
            <w:tcW w:w="5559" w:type="dxa"/>
          </w:tcPr>
          <w:p w:rsidR="00191604" w:rsidRPr="00380D8E" w:rsidRDefault="00191604" w:rsidP="00380D8E">
            <w:pPr>
              <w:spacing w:after="200"/>
              <w:jc w:val="both"/>
            </w:pPr>
            <w:r w:rsidRPr="00380D8E">
              <w:t>Rate of return of internal pits to the surface</w:t>
            </w:r>
          </w:p>
        </w:tc>
        <w:tc>
          <w:tcPr>
            <w:tcW w:w="2805" w:type="dxa"/>
          </w:tcPr>
          <w:p w:rsidR="00191604" w:rsidRPr="00380D8E" w:rsidRDefault="00191604" w:rsidP="00380D8E">
            <w:pPr>
              <w:spacing w:after="200"/>
              <w:jc w:val="both"/>
            </w:pPr>
            <w:r w:rsidRPr="00380D8E">
              <w:t>0.006345</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R</m:t>
                </m:r>
              </m:oMath>
            </m:oMathPara>
          </w:p>
        </w:tc>
        <w:tc>
          <w:tcPr>
            <w:tcW w:w="5559" w:type="dxa"/>
          </w:tcPr>
          <w:p w:rsidR="00191604" w:rsidRPr="00380D8E" w:rsidRDefault="00191604" w:rsidP="00380D8E">
            <w:pPr>
              <w:spacing w:after="200"/>
              <w:jc w:val="both"/>
            </w:pPr>
            <w:r w:rsidRPr="00380D8E">
              <w:t>Concentration of pits in the internal store divided by the initial concentration of pits</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A</m:t>
                </m:r>
              </m:oMath>
            </m:oMathPara>
          </w:p>
        </w:tc>
        <w:tc>
          <w:tcPr>
            <w:tcW w:w="5559" w:type="dxa"/>
          </w:tcPr>
          <w:p w:rsidR="00191604" w:rsidRPr="00380D8E" w:rsidRDefault="00191604" w:rsidP="00380D8E">
            <w:pPr>
              <w:spacing w:after="200"/>
              <w:jc w:val="both"/>
            </w:pPr>
            <w:r w:rsidRPr="00380D8E">
              <w:t>Rate of LDL binding</w:t>
            </w:r>
          </w:p>
        </w:tc>
        <w:tc>
          <w:tcPr>
            <w:tcW w:w="2805" w:type="dxa"/>
          </w:tcPr>
          <w:p w:rsidR="00191604" w:rsidRPr="00380D8E" w:rsidRDefault="00191604" w:rsidP="00380D8E">
            <w:pPr>
              <w:spacing w:after="200"/>
              <w:jc w:val="both"/>
            </w:pPr>
            <w:r w:rsidRPr="00380D8E">
              <w:t>0.000459</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oMath>
            </m:oMathPara>
          </w:p>
        </w:tc>
        <w:tc>
          <w:tcPr>
            <w:tcW w:w="5559" w:type="dxa"/>
          </w:tcPr>
          <w:p w:rsidR="00191604" w:rsidRPr="00380D8E" w:rsidRDefault="00191604" w:rsidP="00380D8E">
            <w:pPr>
              <w:spacing w:after="200"/>
              <w:jc w:val="both"/>
            </w:pPr>
            <w:r w:rsidRPr="00380D8E">
              <w:t>Number of receptors in a pit</w:t>
            </w:r>
          </w:p>
        </w:tc>
        <w:tc>
          <w:tcPr>
            <w:tcW w:w="2805" w:type="dxa"/>
          </w:tcPr>
          <w:p w:rsidR="00191604" w:rsidRPr="00380D8E" w:rsidRDefault="00191604" w:rsidP="00380D8E">
            <w:pPr>
              <w:spacing w:after="200"/>
              <w:jc w:val="both"/>
            </w:pPr>
            <w:r w:rsidRPr="00380D8E">
              <w:t>200</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e</m:t>
                    </m:r>
                  </m:sub>
                </m:sSub>
              </m:oMath>
            </m:oMathPara>
          </w:p>
        </w:tc>
        <w:tc>
          <w:tcPr>
            <w:tcW w:w="5559" w:type="dxa"/>
          </w:tcPr>
          <w:p w:rsidR="00191604" w:rsidRPr="00380D8E" w:rsidRDefault="00191604" w:rsidP="00380D8E">
            <w:pPr>
              <w:spacing w:after="200"/>
              <w:jc w:val="both"/>
            </w:pPr>
            <w:r w:rsidRPr="00380D8E">
              <w:t>Concentration of LDL particles in the extracellular medium divided by the initial concentration of extracellular LDL</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5559" w:type="dxa"/>
          </w:tcPr>
          <w:p w:rsidR="00191604" w:rsidRPr="00380D8E" w:rsidRDefault="00191604" w:rsidP="00380D8E">
            <w:pPr>
              <w:spacing w:after="200"/>
              <w:jc w:val="both"/>
            </w:pPr>
            <w:r w:rsidRPr="00380D8E">
              <w:t>Rate of internalization of empty pits</w:t>
            </w:r>
          </w:p>
        </w:tc>
        <w:tc>
          <w:tcPr>
            <w:tcW w:w="2805" w:type="dxa"/>
          </w:tcPr>
          <w:p w:rsidR="00191604" w:rsidRPr="00380D8E" w:rsidRDefault="00191604" w:rsidP="00380D8E">
            <w:pPr>
              <w:spacing w:after="200"/>
              <w:jc w:val="both"/>
            </w:pPr>
            <w:r w:rsidRPr="00380D8E">
              <w:t>0.003564</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w:lastRenderedPageBreak/>
                  <m:t>N</m:t>
                </m:r>
              </m:oMath>
            </m:oMathPara>
          </w:p>
        </w:tc>
        <w:tc>
          <w:tcPr>
            <w:tcW w:w="5559" w:type="dxa"/>
          </w:tcPr>
          <w:p w:rsidR="00191604" w:rsidRPr="00380D8E" w:rsidRDefault="00191604" w:rsidP="00380D8E">
            <w:pPr>
              <w:spacing w:after="200"/>
              <w:jc w:val="both"/>
            </w:pPr>
            <w:r w:rsidRPr="00380D8E">
              <w:t>Concentration of pits containing LDL divided by the initial concentration of pits</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M</m:t>
                </m:r>
              </m:oMath>
            </m:oMathPara>
          </w:p>
        </w:tc>
        <w:tc>
          <w:tcPr>
            <w:tcW w:w="5559" w:type="dxa"/>
          </w:tcPr>
          <w:p w:rsidR="00191604" w:rsidRPr="00380D8E" w:rsidRDefault="00191604" w:rsidP="00380D8E">
            <w:pPr>
              <w:spacing w:after="200"/>
              <w:jc w:val="both"/>
            </w:pPr>
            <w:r w:rsidRPr="00380D8E">
              <w:t>Concentration of bound LDL divided by the initial concentration of pits</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m:t>
                    </m:r>
                  </m:sub>
                </m:sSub>
              </m:oMath>
            </m:oMathPara>
          </w:p>
        </w:tc>
        <w:tc>
          <w:tcPr>
            <w:tcW w:w="5559" w:type="dxa"/>
          </w:tcPr>
          <w:p w:rsidR="00191604" w:rsidRPr="00380D8E" w:rsidRDefault="00191604" w:rsidP="00380D8E">
            <w:pPr>
              <w:spacing w:after="200"/>
              <w:jc w:val="both"/>
            </w:pPr>
            <w:r w:rsidRPr="00380D8E">
              <w:t>Rate of production of new pits</w:t>
            </w:r>
          </w:p>
        </w:tc>
        <w:tc>
          <w:tcPr>
            <w:tcW w:w="2805" w:type="dxa"/>
          </w:tcPr>
          <w:p w:rsidR="00191604" w:rsidRPr="00380D8E" w:rsidRDefault="00191604" w:rsidP="00380D8E">
            <w:pPr>
              <w:spacing w:after="200"/>
              <w:jc w:val="both"/>
            </w:pPr>
            <w:r w:rsidRPr="00380D8E">
              <w:t>0.0006345</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C</m:t>
                </m:r>
              </m:oMath>
            </m:oMathPara>
          </w:p>
        </w:tc>
        <w:tc>
          <w:tcPr>
            <w:tcW w:w="5559" w:type="dxa"/>
          </w:tcPr>
          <w:p w:rsidR="00191604" w:rsidRPr="00380D8E" w:rsidRDefault="00191604" w:rsidP="00380D8E">
            <w:pPr>
              <w:spacing w:after="200"/>
              <w:jc w:val="both"/>
            </w:pPr>
            <w:r w:rsidRPr="00380D8E">
              <w:t>Concentration of intracellular LDL derived cholesterol divided by the ideal cholesterol concentration</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K</m:t>
                </m:r>
              </m:oMath>
            </m:oMathPara>
          </w:p>
        </w:tc>
        <w:tc>
          <w:tcPr>
            <w:tcW w:w="5559" w:type="dxa"/>
          </w:tcPr>
          <w:p w:rsidR="00191604" w:rsidRPr="00380D8E" w:rsidRDefault="00191604" w:rsidP="00380D8E">
            <w:pPr>
              <w:spacing w:after="200"/>
              <w:jc w:val="both"/>
            </w:pPr>
            <w:r w:rsidRPr="00380D8E">
              <w:t>Cholesterol dependence of pit production</w:t>
            </w:r>
          </w:p>
        </w:tc>
        <w:tc>
          <w:tcPr>
            <w:tcW w:w="2805" w:type="dxa"/>
          </w:tcPr>
          <w:p w:rsidR="00191604" w:rsidRPr="00380D8E" w:rsidRDefault="00191604" w:rsidP="00380D8E">
            <w:pPr>
              <w:spacing w:after="200"/>
              <w:jc w:val="both"/>
            </w:pPr>
            <w:r w:rsidRPr="00380D8E">
              <w:t>2.3</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f</m:t>
                </m:r>
              </m:oMath>
            </m:oMathPara>
          </w:p>
        </w:tc>
        <w:tc>
          <w:tcPr>
            <w:tcW w:w="5559" w:type="dxa"/>
          </w:tcPr>
          <w:p w:rsidR="00191604" w:rsidRPr="00380D8E" w:rsidRDefault="00191604" w:rsidP="00380D8E">
            <w:pPr>
              <w:spacing w:after="200"/>
              <w:jc w:val="both"/>
            </w:pPr>
            <w:r w:rsidRPr="00380D8E">
              <w:t>Fraction of internalized pits which are recycled</w:t>
            </w:r>
          </w:p>
        </w:tc>
        <w:tc>
          <w:tcPr>
            <w:tcW w:w="2805" w:type="dxa"/>
          </w:tcPr>
          <w:p w:rsidR="00191604" w:rsidRPr="00380D8E" w:rsidRDefault="00191604" w:rsidP="00380D8E">
            <w:pPr>
              <w:spacing w:after="200"/>
              <w:jc w:val="both"/>
            </w:pPr>
            <w:r w:rsidRPr="00380D8E">
              <w:t>0.7</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α</m:t>
                </m:r>
              </m:oMath>
            </m:oMathPara>
          </w:p>
        </w:tc>
        <w:tc>
          <w:tcPr>
            <w:tcW w:w="5559" w:type="dxa"/>
          </w:tcPr>
          <w:p w:rsidR="00191604" w:rsidRPr="00380D8E" w:rsidRDefault="00191604" w:rsidP="00380D8E">
            <w:pPr>
              <w:spacing w:after="200"/>
              <w:jc w:val="both"/>
            </w:pPr>
            <w:r w:rsidRPr="00380D8E">
              <w:t>Volume ratio of extracellular to cellular media</w:t>
            </w:r>
          </w:p>
        </w:tc>
        <w:tc>
          <w:tcPr>
            <w:tcW w:w="2805" w:type="dxa"/>
          </w:tcPr>
          <w:p w:rsidR="00191604" w:rsidRPr="00380D8E" w:rsidRDefault="00191604" w:rsidP="00380D8E">
            <w:pPr>
              <w:spacing w:after="200"/>
              <w:jc w:val="both"/>
            </w:pPr>
            <w:r w:rsidRPr="00380D8E">
              <w:t>15000</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m:t>
                    </m:r>
                  </m:sub>
                </m:sSub>
              </m:oMath>
            </m:oMathPara>
          </w:p>
        </w:tc>
        <w:tc>
          <w:tcPr>
            <w:tcW w:w="5559" w:type="dxa"/>
          </w:tcPr>
          <w:p w:rsidR="00191604" w:rsidRPr="00380D8E" w:rsidRDefault="00191604" w:rsidP="00380D8E">
            <w:pPr>
              <w:spacing w:after="200"/>
              <w:jc w:val="both"/>
            </w:pPr>
            <w:r w:rsidRPr="00380D8E">
              <w:t>Rate of LDL delivery, set to 0 because in the experiment LDL is not delivered in a steady rate.</w:t>
            </w:r>
          </w:p>
        </w:tc>
        <w:tc>
          <w:tcPr>
            <w:tcW w:w="2805" w:type="dxa"/>
          </w:tcPr>
          <w:p w:rsidR="00191604" w:rsidRPr="00380D8E" w:rsidRDefault="00191604" w:rsidP="00380D8E">
            <w:pPr>
              <w:spacing w:after="200"/>
              <w:jc w:val="both"/>
            </w:pPr>
            <w:r w:rsidRPr="00380D8E">
              <w:t>0</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ψ</m:t>
                </m:r>
              </m:oMath>
            </m:oMathPara>
          </w:p>
        </w:tc>
        <w:tc>
          <w:tcPr>
            <w:tcW w:w="5559" w:type="dxa"/>
          </w:tcPr>
          <w:p w:rsidR="00191604" w:rsidRPr="00380D8E" w:rsidRDefault="00191604" w:rsidP="00380D8E">
            <w:pPr>
              <w:spacing w:after="200"/>
              <w:jc w:val="both"/>
            </w:pPr>
            <w:r w:rsidRPr="00380D8E">
              <w:t>Ratio of pits to LDL particles at t = 0</w:t>
            </w:r>
          </w:p>
        </w:tc>
        <w:tc>
          <w:tcPr>
            <w:tcW w:w="2805" w:type="dxa"/>
          </w:tcPr>
          <w:p w:rsidR="00191604" w:rsidRPr="00380D8E" w:rsidRDefault="00191604" w:rsidP="00380D8E">
            <w:pPr>
              <w:spacing w:after="200"/>
              <w:jc w:val="both"/>
            </w:pPr>
            <w:r w:rsidRPr="00380D8E">
              <w:t>0.0155</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m:oMathPara>
          </w:p>
        </w:tc>
        <w:tc>
          <w:tcPr>
            <w:tcW w:w="5559" w:type="dxa"/>
          </w:tcPr>
          <w:p w:rsidR="00191604" w:rsidRPr="00380D8E" w:rsidRDefault="00191604" w:rsidP="00380D8E">
            <w:pPr>
              <w:spacing w:after="200"/>
              <w:jc w:val="both"/>
            </w:pPr>
            <w:r w:rsidRPr="00380D8E">
              <w:t>Concentration of LDL particles in the intracellular medium divided by the initial concentration of extracellular LDL</w:t>
            </w:r>
          </w:p>
        </w:tc>
        <w:tc>
          <w:tcPr>
            <w:tcW w:w="2805" w:type="dxa"/>
          </w:tcPr>
          <w:p w:rsidR="00191604" w:rsidRPr="00380D8E" w:rsidRDefault="00191604" w:rsidP="00380D8E">
            <w:pPr>
              <w:spacing w:after="200"/>
              <w:jc w:val="both"/>
            </w:pPr>
            <w:r w:rsidRPr="00380D8E">
              <w:t>Function of time</w:t>
            </w:r>
          </w:p>
        </w:tc>
      </w:tr>
      <w:tr w:rsidR="00191604" w:rsidRPr="00191604" w:rsidTr="008D7F72">
        <w:tc>
          <w:tcPr>
            <w:tcW w:w="852" w:type="dxa"/>
          </w:tcPr>
          <w:p w:rsidR="00191604" w:rsidRPr="00191604" w:rsidRDefault="00E32BE9" w:rsidP="00191604">
            <w:pPr>
              <w:spacing w:after="20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id</m:t>
                    </m:r>
                  </m:sub>
                </m:sSub>
              </m:oMath>
            </m:oMathPara>
          </w:p>
        </w:tc>
        <w:tc>
          <w:tcPr>
            <w:tcW w:w="5559" w:type="dxa"/>
          </w:tcPr>
          <w:p w:rsidR="00191604" w:rsidRPr="00380D8E" w:rsidRDefault="00191604" w:rsidP="00380D8E">
            <w:pPr>
              <w:spacing w:after="200"/>
              <w:jc w:val="both"/>
            </w:pPr>
            <w:r w:rsidRPr="00380D8E">
              <w:t>Rate of conversion of LDL to cholesterol</w:t>
            </w:r>
          </w:p>
        </w:tc>
        <w:tc>
          <w:tcPr>
            <w:tcW w:w="2805" w:type="dxa"/>
          </w:tcPr>
          <w:p w:rsidR="00191604" w:rsidRPr="00380D8E" w:rsidRDefault="00191604" w:rsidP="00380D8E">
            <w:pPr>
              <w:spacing w:after="200"/>
              <w:jc w:val="both"/>
            </w:pPr>
            <w:r w:rsidRPr="00380D8E">
              <w:t>0.00011745</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r</m:t>
                </m:r>
              </m:oMath>
            </m:oMathPara>
          </w:p>
        </w:tc>
        <w:tc>
          <w:tcPr>
            <w:tcW w:w="5559" w:type="dxa"/>
          </w:tcPr>
          <w:p w:rsidR="00191604" w:rsidRPr="00380D8E" w:rsidRDefault="00191604" w:rsidP="00380D8E">
            <w:pPr>
              <w:spacing w:after="200"/>
              <w:jc w:val="both"/>
            </w:pPr>
            <w:r w:rsidRPr="00380D8E">
              <w:t>Cholesterol content per LDL particle</w:t>
            </w:r>
          </w:p>
        </w:tc>
        <w:tc>
          <w:tcPr>
            <w:tcW w:w="2805" w:type="dxa"/>
          </w:tcPr>
          <w:p w:rsidR="00191604" w:rsidRPr="00380D8E" w:rsidRDefault="00191604" w:rsidP="00380D8E">
            <w:pPr>
              <w:spacing w:after="200"/>
              <w:jc w:val="both"/>
            </w:pPr>
            <w:r w:rsidRPr="00380D8E">
              <w:t>0.0015</w:t>
            </w:r>
          </w:p>
        </w:tc>
      </w:tr>
      <w:tr w:rsidR="00191604" w:rsidRPr="00191604" w:rsidTr="008D7F72">
        <w:tc>
          <w:tcPr>
            <w:tcW w:w="852" w:type="dxa"/>
          </w:tcPr>
          <w:p w:rsidR="00191604" w:rsidRPr="00191604" w:rsidRDefault="00191604" w:rsidP="00191604">
            <w:pPr>
              <w:spacing w:after="200"/>
              <w:jc w:val="both"/>
              <w:rPr>
                <w:sz w:val="24"/>
                <w:szCs w:val="24"/>
              </w:rPr>
            </w:pPr>
            <m:oMathPara>
              <m:oMath>
                <m:r>
                  <w:rPr>
                    <w:rFonts w:ascii="Cambria Math" w:hAnsi="Cambria Math"/>
                    <w:sz w:val="24"/>
                    <w:szCs w:val="24"/>
                  </w:rPr>
                  <m:t>λ</m:t>
                </m:r>
              </m:oMath>
            </m:oMathPara>
          </w:p>
        </w:tc>
        <w:tc>
          <w:tcPr>
            <w:tcW w:w="5559" w:type="dxa"/>
          </w:tcPr>
          <w:p w:rsidR="00191604" w:rsidRPr="00380D8E" w:rsidRDefault="00191604" w:rsidP="00380D8E">
            <w:pPr>
              <w:spacing w:after="200"/>
              <w:jc w:val="both"/>
            </w:pPr>
            <w:r w:rsidRPr="00380D8E">
              <w:t>Rate of cholesterol regulation</w:t>
            </w:r>
          </w:p>
        </w:tc>
        <w:tc>
          <w:tcPr>
            <w:tcW w:w="2805" w:type="dxa"/>
          </w:tcPr>
          <w:p w:rsidR="00191604" w:rsidRPr="00380D8E" w:rsidRDefault="00191604" w:rsidP="00380D8E">
            <w:pPr>
              <w:spacing w:after="200"/>
              <w:jc w:val="both"/>
            </w:pPr>
            <w:r w:rsidRPr="00380D8E">
              <w:t>0.0019359</w:t>
            </w:r>
          </w:p>
        </w:tc>
      </w:tr>
    </w:tbl>
    <w:p w:rsidR="00191604" w:rsidRDefault="00380D8E" w:rsidP="00296112">
      <w:pPr>
        <w:spacing w:line="480" w:lineRule="auto"/>
        <w:jc w:val="both"/>
        <w:rPr>
          <w:b/>
          <w:sz w:val="28"/>
          <w:szCs w:val="28"/>
        </w:rPr>
      </w:pPr>
      <w:r w:rsidRPr="00380D8E">
        <w:rPr>
          <w:b/>
          <w:sz w:val="28"/>
          <w:szCs w:val="28"/>
        </w:rPr>
        <w:t>References</w:t>
      </w:r>
    </w:p>
    <w:p w:rsidR="00380D8E" w:rsidRPr="00380D8E" w:rsidRDefault="00380D8E" w:rsidP="00380D8E">
      <w:pPr>
        <w:spacing w:line="240" w:lineRule="auto"/>
        <w:jc w:val="both"/>
        <w:rPr>
          <w:sz w:val="20"/>
          <w:szCs w:val="20"/>
        </w:rPr>
      </w:pPr>
      <w:proofErr w:type="gramStart"/>
      <w:r w:rsidRPr="00380D8E">
        <w:rPr>
          <w:sz w:val="20"/>
          <w:szCs w:val="20"/>
        </w:rPr>
        <w:t xml:space="preserve">August, E., Parker, K.H., </w:t>
      </w:r>
      <w:proofErr w:type="spellStart"/>
      <w:r w:rsidRPr="00380D8E">
        <w:rPr>
          <w:sz w:val="20"/>
          <w:szCs w:val="20"/>
        </w:rPr>
        <w:t>Barahona</w:t>
      </w:r>
      <w:proofErr w:type="spellEnd"/>
      <w:r w:rsidRPr="00380D8E">
        <w:rPr>
          <w:sz w:val="20"/>
          <w:szCs w:val="20"/>
        </w:rPr>
        <w:t>, M., 2007.</w:t>
      </w:r>
      <w:proofErr w:type="gramEnd"/>
      <w:r w:rsidRPr="00380D8E">
        <w:rPr>
          <w:sz w:val="20"/>
          <w:szCs w:val="20"/>
        </w:rPr>
        <w:t xml:space="preserve"> </w:t>
      </w:r>
      <w:proofErr w:type="gramStart"/>
      <w:r w:rsidRPr="00380D8E">
        <w:rPr>
          <w:sz w:val="20"/>
          <w:szCs w:val="20"/>
        </w:rPr>
        <w:t>A dynamical model of lipoprotein metabolism.</w:t>
      </w:r>
      <w:proofErr w:type="gramEnd"/>
      <w:r w:rsidRPr="00380D8E">
        <w:rPr>
          <w:sz w:val="20"/>
          <w:szCs w:val="20"/>
        </w:rPr>
        <w:t xml:space="preserve"> Bull. </w:t>
      </w:r>
      <w:proofErr w:type="gramStart"/>
      <w:r w:rsidRPr="00380D8E">
        <w:rPr>
          <w:sz w:val="20"/>
          <w:szCs w:val="20"/>
        </w:rPr>
        <w:t>Math.</w:t>
      </w:r>
      <w:proofErr w:type="gramEnd"/>
    </w:p>
    <w:p w:rsidR="00380D8E" w:rsidRDefault="00380D8E" w:rsidP="00380D8E">
      <w:pPr>
        <w:spacing w:line="240" w:lineRule="auto"/>
        <w:jc w:val="both"/>
        <w:rPr>
          <w:sz w:val="20"/>
          <w:szCs w:val="20"/>
        </w:rPr>
      </w:pPr>
      <w:r w:rsidRPr="00380D8E">
        <w:rPr>
          <w:sz w:val="20"/>
          <w:szCs w:val="20"/>
        </w:rPr>
        <w:t>Biol. 69, 1233–1254.</w:t>
      </w:r>
    </w:p>
    <w:p w:rsidR="00380D8E" w:rsidRDefault="00380D8E" w:rsidP="00380D8E">
      <w:pPr>
        <w:spacing w:line="240" w:lineRule="auto"/>
        <w:jc w:val="both"/>
        <w:rPr>
          <w:sz w:val="20"/>
          <w:szCs w:val="20"/>
        </w:rPr>
      </w:pPr>
      <w:proofErr w:type="spellStart"/>
      <w:r w:rsidRPr="00380D8E">
        <w:rPr>
          <w:sz w:val="20"/>
          <w:szCs w:val="20"/>
        </w:rPr>
        <w:t>Basu</w:t>
      </w:r>
      <w:proofErr w:type="spellEnd"/>
      <w:r w:rsidRPr="00380D8E">
        <w:rPr>
          <w:sz w:val="20"/>
          <w:szCs w:val="20"/>
        </w:rPr>
        <w:t xml:space="preserve">, S.K., Goldstein, J.L., Brown, M.S., 1978. Characterization of the low density lipoprotein receptor in membranes prepared from human </w:t>
      </w:r>
      <w:proofErr w:type="spellStart"/>
      <w:r w:rsidRPr="00380D8E">
        <w:rPr>
          <w:sz w:val="20"/>
          <w:szCs w:val="20"/>
        </w:rPr>
        <w:t>ﬁbroblasts</w:t>
      </w:r>
      <w:proofErr w:type="spellEnd"/>
      <w:r w:rsidRPr="00380D8E">
        <w:rPr>
          <w:sz w:val="20"/>
          <w:szCs w:val="20"/>
        </w:rPr>
        <w:t xml:space="preserve">. J. </w:t>
      </w:r>
      <w:proofErr w:type="spellStart"/>
      <w:r w:rsidRPr="00380D8E">
        <w:rPr>
          <w:sz w:val="20"/>
          <w:szCs w:val="20"/>
        </w:rPr>
        <w:t>BioPhys</w:t>
      </w:r>
      <w:proofErr w:type="spellEnd"/>
      <w:r w:rsidRPr="00380D8E">
        <w:rPr>
          <w:sz w:val="20"/>
          <w:szCs w:val="20"/>
        </w:rPr>
        <w:t xml:space="preserve">. </w:t>
      </w:r>
      <w:proofErr w:type="gramStart"/>
      <w:r w:rsidRPr="00380D8E">
        <w:rPr>
          <w:sz w:val="20"/>
          <w:szCs w:val="20"/>
        </w:rPr>
        <w:t>Chem. 253, 3852–3856.</w:t>
      </w:r>
      <w:proofErr w:type="gramEnd"/>
    </w:p>
    <w:p w:rsidR="00380D8E" w:rsidRPr="00380D8E" w:rsidRDefault="00380D8E" w:rsidP="00380D8E">
      <w:pPr>
        <w:spacing w:line="240" w:lineRule="auto"/>
        <w:jc w:val="both"/>
        <w:rPr>
          <w:sz w:val="20"/>
          <w:szCs w:val="20"/>
        </w:rPr>
      </w:pPr>
      <w:r w:rsidRPr="00380D8E">
        <w:rPr>
          <w:sz w:val="20"/>
          <w:szCs w:val="20"/>
        </w:rPr>
        <w:t xml:space="preserve">Brown, M.S., Goldstein, J.L., 1979. Receptor-mediated </w:t>
      </w:r>
      <w:proofErr w:type="spellStart"/>
      <w:r w:rsidRPr="00380D8E">
        <w:rPr>
          <w:sz w:val="20"/>
          <w:szCs w:val="20"/>
        </w:rPr>
        <w:t>endocytosis</w:t>
      </w:r>
      <w:proofErr w:type="spellEnd"/>
      <w:r w:rsidRPr="00380D8E">
        <w:rPr>
          <w:sz w:val="20"/>
          <w:szCs w:val="20"/>
        </w:rPr>
        <w:t>: insights from the lipoprotein receptor</w:t>
      </w:r>
    </w:p>
    <w:p w:rsidR="00380D8E" w:rsidRDefault="00380D8E" w:rsidP="00380D8E">
      <w:pPr>
        <w:spacing w:line="240" w:lineRule="auto"/>
        <w:jc w:val="both"/>
        <w:rPr>
          <w:sz w:val="20"/>
          <w:szCs w:val="20"/>
        </w:rPr>
      </w:pPr>
      <w:proofErr w:type="gramStart"/>
      <w:r w:rsidRPr="00380D8E">
        <w:rPr>
          <w:sz w:val="20"/>
          <w:szCs w:val="20"/>
        </w:rPr>
        <w:t>system</w:t>
      </w:r>
      <w:proofErr w:type="gramEnd"/>
      <w:r w:rsidRPr="00380D8E">
        <w:rPr>
          <w:sz w:val="20"/>
          <w:szCs w:val="20"/>
        </w:rPr>
        <w:t xml:space="preserve">. </w:t>
      </w:r>
      <w:proofErr w:type="gramStart"/>
      <w:r w:rsidRPr="00380D8E">
        <w:rPr>
          <w:sz w:val="20"/>
          <w:szCs w:val="20"/>
        </w:rPr>
        <w:t>Proc. Natl. Acad. Sci. USA 76, 3330–3337.</w:t>
      </w:r>
      <w:proofErr w:type="gramEnd"/>
    </w:p>
    <w:p w:rsidR="00380D8E" w:rsidRPr="00380D8E" w:rsidRDefault="00380D8E" w:rsidP="00380D8E">
      <w:pPr>
        <w:spacing w:line="240" w:lineRule="auto"/>
        <w:jc w:val="both"/>
        <w:rPr>
          <w:sz w:val="20"/>
          <w:szCs w:val="20"/>
        </w:rPr>
      </w:pPr>
      <w:r w:rsidRPr="00380D8E">
        <w:rPr>
          <w:sz w:val="20"/>
          <w:szCs w:val="20"/>
        </w:rPr>
        <w:t xml:space="preserve">Chun, P.W., Espinosa, A.J., Lee, C.W., </w:t>
      </w:r>
      <w:proofErr w:type="spellStart"/>
      <w:r w:rsidRPr="00380D8E">
        <w:rPr>
          <w:sz w:val="20"/>
          <w:szCs w:val="20"/>
        </w:rPr>
        <w:t>Shireman</w:t>
      </w:r>
      <w:proofErr w:type="spellEnd"/>
      <w:r w:rsidRPr="00380D8E">
        <w:rPr>
          <w:sz w:val="20"/>
          <w:szCs w:val="20"/>
        </w:rPr>
        <w:t xml:space="preserve">, R.B., </w:t>
      </w:r>
      <w:proofErr w:type="spellStart"/>
      <w:r w:rsidRPr="00380D8E">
        <w:rPr>
          <w:sz w:val="20"/>
          <w:szCs w:val="20"/>
        </w:rPr>
        <w:t>Brumbaugh</w:t>
      </w:r>
      <w:proofErr w:type="spellEnd"/>
      <w:r w:rsidRPr="00380D8E">
        <w:rPr>
          <w:sz w:val="20"/>
          <w:szCs w:val="20"/>
        </w:rPr>
        <w:t>, E.E., 1985. Low density lipoprotein</w:t>
      </w:r>
    </w:p>
    <w:p w:rsidR="00380D8E" w:rsidRDefault="00380D8E" w:rsidP="00380D8E">
      <w:pPr>
        <w:spacing w:line="240" w:lineRule="auto"/>
        <w:jc w:val="both"/>
        <w:rPr>
          <w:sz w:val="20"/>
          <w:szCs w:val="20"/>
        </w:rPr>
      </w:pPr>
      <w:proofErr w:type="gramStart"/>
      <w:r w:rsidRPr="00380D8E">
        <w:rPr>
          <w:sz w:val="20"/>
          <w:szCs w:val="20"/>
        </w:rPr>
        <w:t>receptor</w:t>
      </w:r>
      <w:proofErr w:type="gramEnd"/>
      <w:r w:rsidRPr="00380D8E">
        <w:rPr>
          <w:sz w:val="20"/>
          <w:szCs w:val="20"/>
        </w:rPr>
        <w:t xml:space="preserve"> regulation. </w:t>
      </w:r>
      <w:proofErr w:type="spellStart"/>
      <w:proofErr w:type="gramStart"/>
      <w:r w:rsidRPr="00380D8E">
        <w:rPr>
          <w:sz w:val="20"/>
          <w:szCs w:val="20"/>
        </w:rPr>
        <w:t>Biophys</w:t>
      </w:r>
      <w:proofErr w:type="spellEnd"/>
      <w:r w:rsidRPr="00380D8E">
        <w:rPr>
          <w:sz w:val="20"/>
          <w:szCs w:val="20"/>
        </w:rPr>
        <w:t>.</w:t>
      </w:r>
      <w:proofErr w:type="gramEnd"/>
      <w:r w:rsidRPr="00380D8E">
        <w:rPr>
          <w:sz w:val="20"/>
          <w:szCs w:val="20"/>
        </w:rPr>
        <w:t xml:space="preserve"> Chem. 21, 185–196.</w:t>
      </w:r>
    </w:p>
    <w:p w:rsidR="00380D8E" w:rsidRDefault="00380D8E" w:rsidP="00380D8E">
      <w:pPr>
        <w:spacing w:line="240" w:lineRule="auto"/>
        <w:jc w:val="both"/>
        <w:rPr>
          <w:sz w:val="20"/>
          <w:szCs w:val="20"/>
        </w:rPr>
      </w:pPr>
      <w:proofErr w:type="spellStart"/>
      <w:r w:rsidRPr="00380D8E">
        <w:rPr>
          <w:sz w:val="20"/>
          <w:szCs w:val="20"/>
        </w:rPr>
        <w:t>Wattis</w:t>
      </w:r>
      <w:proofErr w:type="spellEnd"/>
      <w:r w:rsidRPr="00380D8E">
        <w:rPr>
          <w:sz w:val="20"/>
          <w:szCs w:val="20"/>
        </w:rPr>
        <w:t xml:space="preserve"> et al., 2008 J. </w:t>
      </w:r>
      <w:proofErr w:type="spellStart"/>
      <w:r w:rsidRPr="00380D8E">
        <w:rPr>
          <w:sz w:val="20"/>
          <w:szCs w:val="20"/>
        </w:rPr>
        <w:t>Wattis</w:t>
      </w:r>
      <w:proofErr w:type="spellEnd"/>
      <w:r w:rsidRPr="00380D8E">
        <w:rPr>
          <w:sz w:val="20"/>
          <w:szCs w:val="20"/>
        </w:rPr>
        <w:t xml:space="preserve">, B. O’Malley, H. Blackburn, L. </w:t>
      </w:r>
      <w:proofErr w:type="spellStart"/>
      <w:r w:rsidRPr="00380D8E">
        <w:rPr>
          <w:sz w:val="20"/>
          <w:szCs w:val="20"/>
        </w:rPr>
        <w:t>Pickersgill</w:t>
      </w:r>
      <w:proofErr w:type="spellEnd"/>
      <w:r w:rsidRPr="00380D8E">
        <w:rPr>
          <w:sz w:val="20"/>
          <w:szCs w:val="20"/>
        </w:rPr>
        <w:t xml:space="preserve">, J. </w:t>
      </w:r>
      <w:proofErr w:type="spellStart"/>
      <w:r w:rsidRPr="00380D8E">
        <w:rPr>
          <w:sz w:val="20"/>
          <w:szCs w:val="20"/>
        </w:rPr>
        <w:t>Panovska</w:t>
      </w:r>
      <w:proofErr w:type="spellEnd"/>
      <w:r w:rsidRPr="00380D8E">
        <w:rPr>
          <w:sz w:val="20"/>
          <w:szCs w:val="20"/>
        </w:rPr>
        <w:t xml:space="preserve"> and K. Jackson, Mathematical model for low density lipoprotein (LDL) </w:t>
      </w:r>
      <w:proofErr w:type="spellStart"/>
      <w:r w:rsidRPr="00380D8E">
        <w:rPr>
          <w:sz w:val="20"/>
          <w:szCs w:val="20"/>
        </w:rPr>
        <w:t>endocytosis</w:t>
      </w:r>
      <w:proofErr w:type="spellEnd"/>
      <w:r w:rsidRPr="00380D8E">
        <w:rPr>
          <w:sz w:val="20"/>
          <w:szCs w:val="20"/>
        </w:rPr>
        <w:t xml:space="preserve"> by </w:t>
      </w:r>
      <w:proofErr w:type="spellStart"/>
      <w:r w:rsidRPr="00380D8E">
        <w:rPr>
          <w:sz w:val="20"/>
          <w:szCs w:val="20"/>
        </w:rPr>
        <w:t>hepatocytes</w:t>
      </w:r>
      <w:proofErr w:type="spellEnd"/>
      <w:proofErr w:type="gramStart"/>
      <w:r w:rsidRPr="00380D8E">
        <w:rPr>
          <w:sz w:val="20"/>
          <w:szCs w:val="20"/>
        </w:rPr>
        <w:t>, .</w:t>
      </w:r>
      <w:proofErr w:type="gramEnd"/>
      <w:r w:rsidRPr="00380D8E">
        <w:rPr>
          <w:sz w:val="20"/>
          <w:szCs w:val="20"/>
        </w:rPr>
        <w:t xml:space="preserve"> Bull. </w:t>
      </w:r>
      <w:proofErr w:type="gramStart"/>
      <w:r w:rsidRPr="00380D8E">
        <w:rPr>
          <w:sz w:val="20"/>
          <w:szCs w:val="20"/>
        </w:rPr>
        <w:t>Math.</w:t>
      </w:r>
      <w:proofErr w:type="gramEnd"/>
      <w:r w:rsidRPr="00380D8E">
        <w:rPr>
          <w:sz w:val="20"/>
          <w:szCs w:val="20"/>
        </w:rPr>
        <w:t xml:space="preserve"> Biol., (2008)</w:t>
      </w:r>
    </w:p>
    <w:p w:rsidR="00C4380A" w:rsidRDefault="00E32BE9" w:rsidP="00380D8E">
      <w:pPr>
        <w:spacing w:line="240" w:lineRule="auto"/>
        <w:jc w:val="both"/>
        <w:rPr>
          <w:sz w:val="20"/>
          <w:szCs w:val="20"/>
        </w:rPr>
      </w:pPr>
      <m:oMathPara>
        <m:oMath>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1+x</m:t>
                  </m:r>
                </m:e>
              </m:d>
            </m:e>
            <m:sup>
              <m:r>
                <w:rPr>
                  <w:rFonts w:ascii="Cambria Math" w:hAnsi="Cambria Math"/>
                  <w:sz w:val="20"/>
                  <w:szCs w:val="20"/>
                </w:rPr>
                <m:t>n</m:t>
              </m:r>
            </m:sup>
          </m:sSup>
          <m:r>
            <w:rPr>
              <w:rFonts w:ascii="Cambria Math" w:hAnsi="Cambria Math"/>
              <w:sz w:val="20"/>
              <w:szCs w:val="20"/>
            </w:rPr>
            <m:t>=1+</m:t>
          </m:r>
          <m:f>
            <m:fPr>
              <m:ctrlPr>
                <w:rPr>
                  <w:rFonts w:ascii="Cambria Math" w:hAnsi="Cambria Math"/>
                  <w:sz w:val="20"/>
                  <w:szCs w:val="20"/>
                </w:rPr>
              </m:ctrlPr>
            </m:fPr>
            <m:num>
              <m:r>
                <w:rPr>
                  <w:rFonts w:ascii="Cambria Math" w:hAnsi="Cambria Math"/>
                  <w:sz w:val="20"/>
                  <w:szCs w:val="20"/>
                </w:rPr>
                <m:t>nx</m:t>
              </m:r>
            </m:num>
            <m:den>
              <m:r>
                <w:rPr>
                  <w:rFonts w:ascii="Cambria Math" w:hAnsi="Cambria Math"/>
                  <w:sz w:val="20"/>
                  <w:szCs w:val="20"/>
                </w:rPr>
                <m:t>1!</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n</m:t>
              </m:r>
              <m:d>
                <m:dPr>
                  <m:ctrlPr>
                    <w:rPr>
                      <w:rFonts w:ascii="Cambria Math" w:hAnsi="Cambria Math"/>
                      <w:sz w:val="20"/>
                      <w:szCs w:val="20"/>
                    </w:rPr>
                  </m:ctrlPr>
                </m:dPr>
                <m:e>
                  <m:r>
                    <w:rPr>
                      <w:rFonts w:ascii="Cambria Math" w:hAnsi="Cambria Math"/>
                      <w:sz w:val="20"/>
                      <w:szCs w:val="20"/>
                    </w:rPr>
                    <m:t>n-1</m:t>
                  </m:r>
                </m:e>
              </m:d>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x+a</m:t>
                  </m:r>
                </m:e>
              </m:d>
            </m:e>
            <m:sup>
              <m:r>
                <w:rPr>
                  <w:rFonts w:ascii="Cambria Math" w:hAnsi="Cambria Math"/>
                  <w:sz w:val="20"/>
                  <w:szCs w:val="20"/>
                </w:rPr>
                <m:t>n</m:t>
              </m:r>
            </m:sup>
          </m:sSup>
          <m:r>
            <w:rPr>
              <w:rFonts w:ascii="Cambria Math" w:eastAsia="Cambria Math" w:hAnsi="Cambria Math" w:cs="Cambria Math"/>
              <w:sz w:val="20"/>
              <w:szCs w:val="20"/>
            </w:rPr>
            <m:t>=</m:t>
          </m:r>
          <m:nary>
            <m:naryPr>
              <m:chr m:val="∑"/>
              <m:grow m:val="on"/>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n</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a</m:t>
                  </m:r>
                </m:e>
                <m:sup>
                  <m:r>
                    <w:rPr>
                      <w:rFonts w:ascii="Cambria Math" w:eastAsia="Cambria Math" w:hAnsi="Cambria Math" w:cs="Cambria Math"/>
                      <w:sz w:val="20"/>
                      <w:szCs w:val="20"/>
                    </w:rPr>
                    <m:t>n-k</m:t>
                  </m:r>
                </m:sup>
              </m:sSup>
            </m:e>
          </m:nary>
        </m:oMath>
      </m:oMathPara>
    </w:p>
    <w:p w:rsidR="00C4380A" w:rsidRDefault="00C4380A" w:rsidP="00380D8E">
      <w:pPr>
        <w:spacing w:line="240" w:lineRule="auto"/>
        <w:jc w:val="both"/>
        <w:rPr>
          <w:sz w:val="20"/>
          <w:szCs w:val="20"/>
        </w:rPr>
      </w:pPr>
      <m:oMathPara>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nary>
            <m:naryPr>
              <m:chr m:val="∑"/>
              <m:grow m:val="on"/>
              <m:ctrlPr>
                <w:rPr>
                  <w:rFonts w:ascii="Cambria Math" w:hAnsi="Cambria Math"/>
                  <w:sz w:val="20"/>
                  <w:szCs w:val="20"/>
                </w:rPr>
              </m:ctrlPr>
            </m:naryPr>
            <m:sub>
              <m:r>
                <w:rPr>
                  <w:rFonts w:ascii="Cambria Math" w:hAnsi="Cambria Math"/>
                  <w:sz w:val="20"/>
                  <w:szCs w:val="20"/>
                </w:rPr>
                <m:t>n=1</m:t>
              </m:r>
            </m:sub>
            <m:sup>
              <m:r>
                <w:rPr>
                  <w:rFonts w:ascii="Cambria Math" w:hAnsi="Cambria Math"/>
                  <w:sz w:val="20"/>
                  <w:szCs w:val="20"/>
                </w:rPr>
                <m:t>∞</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n</m:t>
                      </m:r>
                    </m:sub>
                  </m:sSub>
                  <m:func>
                    <m:funcPr>
                      <m:ctrlPr>
                        <w:rPr>
                          <w:rFonts w:ascii="Cambria Math" w:hAnsi="Cambria Math"/>
                          <w:sz w:val="20"/>
                          <w:szCs w:val="20"/>
                        </w:rPr>
                      </m:ctrlPr>
                    </m:funcPr>
                    <m:fName>
                      <m:r>
                        <m:rPr>
                          <m:sty m:val="p"/>
                        </m:rPr>
                        <w:rPr>
                          <w:rFonts w:ascii="Cambria Math" w:eastAsia="Cambria Math" w:hAnsi="Cambria Math" w:cs="Cambria Math"/>
                          <w:sz w:val="20"/>
                          <w:szCs w:val="20"/>
                        </w:rPr>
                        <m:t>cos</m:t>
                      </m:r>
                    </m:fName>
                    <m:e>
                      <m:f>
                        <m:fPr>
                          <m:ctrlPr>
                            <w:rPr>
                              <w:rFonts w:ascii="Cambria Math" w:hAnsi="Cambria Math"/>
                              <w:sz w:val="20"/>
                              <w:szCs w:val="20"/>
                            </w:rPr>
                          </m:ctrlPr>
                        </m:fPr>
                        <m:num>
                          <m:r>
                            <w:rPr>
                              <w:rFonts w:ascii="Cambria Math" w:eastAsia="Cambria Math" w:hAnsi="Cambria Math" w:cs="Cambria Math"/>
                              <w:sz w:val="20"/>
                              <w:szCs w:val="20"/>
                            </w:rPr>
                            <m:t>nπx</m:t>
                          </m:r>
                        </m:num>
                        <m:den>
                          <m:r>
                            <w:rPr>
                              <w:rFonts w:ascii="Cambria Math" w:eastAsia="Cambria Math" w:hAnsi="Cambria Math" w:cs="Cambria Math"/>
                              <w:sz w:val="20"/>
                              <w:szCs w:val="20"/>
                            </w:rPr>
                            <m:t>L</m:t>
                          </m:r>
                        </m:den>
                      </m:f>
                    </m:e>
                  </m:func>
                  <m:r>
                    <w:rPr>
                      <w:rFonts w:ascii="Cambria Math" w:eastAsia="Cambria Math" w:hAnsi="Cambria Math" w:cs="Cambria Math"/>
                      <w:sz w:val="20"/>
                      <w:szCs w:val="20"/>
                    </w:rPr>
                    <m:t>+</m:t>
                  </m:r>
                  <m:sSub>
                    <m:sSubPr>
                      <m:ctrlPr>
                        <w:rPr>
                          <w:rFonts w:ascii="Cambria Math" w:hAnsi="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n</m:t>
                      </m:r>
                    </m:sub>
                  </m:sSub>
                  <m:func>
                    <m:funcPr>
                      <m:ctrlPr>
                        <w:rPr>
                          <w:rFonts w:ascii="Cambria Math" w:hAnsi="Cambria Math"/>
                          <w:sz w:val="20"/>
                          <w:szCs w:val="20"/>
                        </w:rPr>
                      </m:ctrlPr>
                    </m:funcPr>
                    <m:fName>
                      <m:r>
                        <m:rPr>
                          <m:sty m:val="p"/>
                        </m:rPr>
                        <w:rPr>
                          <w:rFonts w:ascii="Cambria Math" w:eastAsia="Cambria Math" w:hAnsi="Cambria Math" w:cs="Cambria Math"/>
                          <w:sz w:val="20"/>
                          <w:szCs w:val="20"/>
                        </w:rPr>
                        <m:t>sin</m:t>
                      </m:r>
                    </m:fName>
                    <m:e>
                      <m:f>
                        <m:fPr>
                          <m:ctrlPr>
                            <w:rPr>
                              <w:rFonts w:ascii="Cambria Math" w:hAnsi="Cambria Math"/>
                              <w:sz w:val="20"/>
                              <w:szCs w:val="20"/>
                            </w:rPr>
                          </m:ctrlPr>
                        </m:fPr>
                        <m:num>
                          <m:r>
                            <w:rPr>
                              <w:rFonts w:ascii="Cambria Math" w:eastAsia="Cambria Math" w:hAnsi="Cambria Math" w:cs="Cambria Math"/>
                              <w:sz w:val="20"/>
                              <w:szCs w:val="20"/>
                            </w:rPr>
                            <m:t>nπx</m:t>
                          </m:r>
                        </m:num>
                        <m:den>
                          <m:r>
                            <w:rPr>
                              <w:rFonts w:ascii="Cambria Math" w:eastAsia="Cambria Math" w:hAnsi="Cambria Math" w:cs="Cambria Math"/>
                              <w:sz w:val="20"/>
                              <w:szCs w:val="20"/>
                            </w:rPr>
                            <m:t>L</m:t>
                          </m:r>
                        </m:den>
                      </m:f>
                    </m:e>
                  </m:func>
                </m:e>
              </m:d>
            </m:e>
          </m:nary>
        </m:oMath>
      </m:oMathPara>
    </w:p>
    <w:p w:rsidR="00A30CBE" w:rsidRPr="00A30CBE" w:rsidRDefault="00E32BE9" w:rsidP="00380D8E">
      <w:pPr>
        <w:spacing w:line="240" w:lineRule="auto"/>
        <w:jc w:val="both"/>
        <w:rPr>
          <w:sz w:val="20"/>
          <w:szCs w:val="20"/>
        </w:rPr>
      </w:pPr>
      <m:oMathPara>
        <m:oMath>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=1+</m:t>
          </m:r>
          <m:f>
            <m:fPr>
              <m:ctrlPr>
                <w:rPr>
                  <w:rFonts w:ascii="Cambria Math" w:hAnsi="Cambria Math"/>
                  <w:sz w:val="20"/>
                  <w:szCs w:val="20"/>
                </w:rPr>
              </m:ctrlPr>
            </m:fPr>
            <m:num>
              <m:r>
                <w:rPr>
                  <w:rFonts w:ascii="Cambria Math" w:hAnsi="Cambria Math"/>
                  <w:sz w:val="20"/>
                  <w:szCs w:val="20"/>
                </w:rPr>
                <m:t>x</m:t>
              </m:r>
            </m:num>
            <m:den>
              <m:r>
                <w:rPr>
                  <w:rFonts w:ascii="Cambria Math" w:hAnsi="Cambria Math"/>
                  <w:sz w:val="20"/>
                  <w:szCs w:val="20"/>
                </w:rPr>
                <m:t>1!</m:t>
              </m:r>
            </m:den>
          </m:f>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3</m:t>
                  </m:r>
                </m:sup>
              </m:sSup>
            </m:num>
            <m:den>
              <m:r>
                <w:rPr>
                  <w:rFonts w:ascii="Cambria Math" w:hAnsi="Cambria Math"/>
                  <w:sz w:val="20"/>
                  <w:szCs w:val="20"/>
                </w:rPr>
                <m:t>3!</m:t>
              </m:r>
            </m:den>
          </m:f>
        </m:oMath>
      </m:oMathPara>
    </w:p>
    <w:p w:rsidR="00C4380A" w:rsidRDefault="00E32BE9" w:rsidP="00380D8E">
      <w:pPr>
        <w:spacing w:line="240" w:lineRule="auto"/>
        <w:jc w:val="both"/>
        <w:rPr>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sin</m:t>
              </m:r>
            </m:fName>
            <m:e>
              <m:r>
                <w:rPr>
                  <w:rFonts w:ascii="Cambria Math" w:eastAsia="Cambria Math" w:hAnsi="Cambria Math" w:cs="Cambria Math"/>
                  <w:sz w:val="20"/>
                  <w:szCs w:val="20"/>
                </w:rPr>
                <m:t>α</m:t>
              </m:r>
            </m:e>
          </m:func>
          <m:r>
            <w:rPr>
              <w:rFonts w:ascii="Cambria Math" w:eastAsia="Cambria Math" w:hAnsi="Cambria Math" w:cs="Cambria Math"/>
              <w:sz w:val="20"/>
              <w:szCs w:val="20"/>
            </w:rPr>
            <m:t>±</m:t>
          </m:r>
          <m:func>
            <m:funcPr>
              <m:ctrlPr>
                <w:rPr>
                  <w:rFonts w:ascii="Cambria Math" w:hAnsi="Cambria Math"/>
                  <w:sz w:val="20"/>
                  <w:szCs w:val="20"/>
                </w:rPr>
              </m:ctrlPr>
            </m:funcPr>
            <m:fName>
              <m:r>
                <m:rPr>
                  <m:sty m:val="p"/>
                </m:rPr>
                <w:rPr>
                  <w:rFonts w:ascii="Cambria Math" w:eastAsia="Cambria Math" w:hAnsi="Cambria Math" w:cs="Cambria Math"/>
                  <w:sz w:val="20"/>
                  <w:szCs w:val="20"/>
                </w:rPr>
                <m:t>sin</m:t>
              </m:r>
            </m:fName>
            <m:e>
              <m:r>
                <w:rPr>
                  <w:rFonts w:ascii="Cambria Math" w:eastAsia="Cambria Math" w:hAnsi="Cambria Math" w:cs="Cambria Math"/>
                  <w:sz w:val="20"/>
                  <w:szCs w:val="20"/>
                </w:rPr>
                <m:t>β</m:t>
              </m:r>
            </m:e>
          </m:func>
          <m:r>
            <w:rPr>
              <w:rFonts w:ascii="Cambria Math" w:eastAsia="Cambria Math" w:hAnsi="Cambria Math" w:cs="Cambria Math"/>
              <w:sz w:val="20"/>
              <w:szCs w:val="20"/>
            </w:rPr>
            <m:t>=2</m:t>
          </m:r>
          <m:func>
            <m:funcPr>
              <m:ctrlPr>
                <w:rPr>
                  <w:rFonts w:ascii="Cambria Math" w:hAnsi="Cambria Math"/>
                  <w:sz w:val="20"/>
                  <w:szCs w:val="20"/>
                </w:rPr>
              </m:ctrlPr>
            </m:funcPr>
            <m:fName>
              <m:r>
                <m:rPr>
                  <m:sty m:val="p"/>
                </m:rPr>
                <w:rPr>
                  <w:rFonts w:ascii="Cambria Math" w:eastAsia="Cambria Math" w:hAnsi="Cambria Math" w:cs="Cambria Math"/>
                  <w:sz w:val="20"/>
                  <w:szCs w:val="20"/>
                </w:rPr>
                <m:t>sin</m:t>
              </m:r>
            </m:fName>
            <m:e>
              <m:f>
                <m:fPr>
                  <m:ctrlPr>
                    <w:rPr>
                      <w:rFonts w:ascii="Cambria Math" w:hAnsi="Cambria Math"/>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d>
                <m:dPr>
                  <m:ctrlPr>
                    <w:rPr>
                      <w:rFonts w:ascii="Cambria Math" w:hAnsi="Cambria Math"/>
                      <w:sz w:val="20"/>
                      <w:szCs w:val="20"/>
                    </w:rPr>
                  </m:ctrlPr>
                </m:dPr>
                <m:e>
                  <m:r>
                    <w:rPr>
                      <w:rFonts w:ascii="Cambria Math" w:eastAsia="Cambria Math" w:hAnsi="Cambria Math" w:cs="Cambria Math"/>
                      <w:sz w:val="20"/>
                      <w:szCs w:val="20"/>
                    </w:rPr>
                    <m:t>α±β</m:t>
                  </m:r>
                </m:e>
              </m:d>
            </m:e>
          </m:func>
          <m:func>
            <m:funcPr>
              <m:ctrlPr>
                <w:rPr>
                  <w:rFonts w:ascii="Cambria Math" w:hAnsi="Cambria Math"/>
                  <w:sz w:val="20"/>
                  <w:szCs w:val="20"/>
                </w:rPr>
              </m:ctrlPr>
            </m:funcPr>
            <m:fName>
              <m:r>
                <m:rPr>
                  <m:sty m:val="p"/>
                </m:rPr>
                <w:rPr>
                  <w:rFonts w:ascii="Cambria Math" w:eastAsia="Cambria Math" w:hAnsi="Cambria Math" w:cs="Cambria Math"/>
                  <w:sz w:val="20"/>
                  <w:szCs w:val="20"/>
                </w:rPr>
                <m:t>cos</m:t>
              </m:r>
            </m:fName>
            <m:e>
              <m:f>
                <m:fPr>
                  <m:ctrlPr>
                    <w:rPr>
                      <w:rFonts w:ascii="Cambria Math" w:hAnsi="Cambria Math"/>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d>
                <m:dPr>
                  <m:ctrlPr>
                    <w:rPr>
                      <w:rFonts w:ascii="Cambria Math" w:hAnsi="Cambria Math"/>
                      <w:sz w:val="20"/>
                      <w:szCs w:val="20"/>
                    </w:rPr>
                  </m:ctrlPr>
                </m:dPr>
                <m:e>
                  <m:r>
                    <w:rPr>
                      <w:rFonts w:ascii="Cambria Math" w:eastAsia="Cambria Math" w:hAnsi="Cambria Math" w:cs="Cambria Math"/>
                      <w:sz w:val="20"/>
                      <w:szCs w:val="20"/>
                    </w:rPr>
                    <m:t>α∓β</m:t>
                  </m:r>
                </m:e>
              </m:d>
            </m:e>
          </m:func>
        </m:oMath>
      </m:oMathPara>
    </w:p>
    <w:p w:rsidR="00C4380A" w:rsidRDefault="00E32BE9" w:rsidP="00380D8E">
      <w:pPr>
        <w:spacing w:line="240" w:lineRule="auto"/>
        <w:jc w:val="both"/>
        <w:rPr>
          <w:sz w:val="20"/>
          <w:szCs w:val="20"/>
        </w:rPr>
      </w:pPr>
      <m:oMathPara>
        <m:oMath>
          <m:d>
            <m:dPr>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nary>
                      <m:naryPr>
                        <m:limLoc m:val="undOvr"/>
                        <m:subHide m:val="on"/>
                        <m:supHide m:val="on"/>
                        <m:ctrlPr>
                          <w:rPr>
                            <w:rFonts w:ascii="Cambria Math" w:hAnsi="Cambria Math"/>
                            <w:i/>
                            <w:sz w:val="20"/>
                            <w:szCs w:val="20"/>
                          </w:rPr>
                        </m:ctrlPr>
                      </m:naryPr>
                      <m:sub/>
                      <m:sup/>
                      <m:e>
                        <m:r>
                          <w:rPr>
                            <w:rFonts w:ascii="Cambria Math" w:hAnsi="Cambria Math"/>
                            <w:sz w:val="20"/>
                            <w:szCs w:val="20"/>
                          </w:rPr>
                          <m:t>x dx</m:t>
                        </m:r>
                      </m:e>
                    </m:nary>
                  </m:e>
                  <m:e>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sc</m:t>
                        </m:r>
                        <m:r>
                          <w:rPr>
                            <w:rFonts w:ascii="Cambria Math" w:hAnsi="Cambria Math"/>
                            <w:sz w:val="20"/>
                            <w:szCs w:val="20"/>
                          </w:rPr>
                          <m:t>ss</m:t>
                        </m:r>
                      </m:e>
                    </m:nary>
                  </m:e>
                </m:mr>
                <m:mr>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n→∞</m:t>
                            </m:r>
                          </m:lim>
                        </m:limLow>
                      </m:fNa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e>
                            </m:d>
                          </m:e>
                          <m:sup>
                            <m:r>
                              <w:rPr>
                                <w:rFonts w:ascii="Cambria Math" w:hAnsi="Cambria Math"/>
                                <w:sz w:val="20"/>
                                <w:szCs w:val="20"/>
                              </w:rPr>
                              <m:t>n</m:t>
                            </m:r>
                          </m:sup>
                        </m:sSup>
                      </m:e>
                    </m:func>
                  </m:e>
                  <m:e>
                    <m:f>
                      <m:fPr>
                        <m:ctrlPr>
                          <w:rPr>
                            <w:rFonts w:ascii="Cambria Math" w:hAnsi="Cambria Math"/>
                            <w:i/>
                            <w:sz w:val="20"/>
                            <w:szCs w:val="20"/>
                          </w:rPr>
                        </m:ctrlPr>
                      </m:fPr>
                      <m:num>
                        <m:r>
                          <w:rPr>
                            <w:rFonts w:ascii="Cambria Math" w:hAnsi="Cambria Math"/>
                            <w:sz w:val="20"/>
                            <w:szCs w:val="20"/>
                          </w:rPr>
                          <m:t>δy</m:t>
                        </m:r>
                      </m:num>
                      <m:den>
                        <m:r>
                          <w:rPr>
                            <w:rFonts w:ascii="Cambria Math" w:hAnsi="Cambria Math"/>
                            <w:sz w:val="20"/>
                            <w:szCs w:val="20"/>
                          </w:rPr>
                          <m:t>δx</m:t>
                        </m:r>
                      </m:den>
                    </m:f>
                    <m:r>
                      <w:rPr>
                        <w:rFonts w:ascii="Cambria Math" w:hAnsi="Cambria Math"/>
                        <w:sz w:val="20"/>
                        <w:szCs w:val="20"/>
                      </w:rPr>
                      <m:t>x^2</m:t>
                    </m:r>
                  </m:e>
                </m:mr>
              </m:m>
            </m:e>
          </m:d>
        </m:oMath>
      </m:oMathPara>
    </w:p>
    <w:p w:rsidR="00C4380A" w:rsidRDefault="00A30CBE" w:rsidP="00380D8E">
      <w:pPr>
        <w:spacing w:line="240" w:lineRule="auto"/>
        <w:jc w:val="both"/>
        <w:rPr>
          <w:sz w:val="20"/>
          <w:szCs w:val="20"/>
        </w:rPr>
      </w:pPr>
      <w:r>
        <w:rPr>
          <w:sz w:val="20"/>
          <w:szCs w:val="20"/>
        </w:rPr>
        <w:t>How the above looks in Microsoft Word 2010:</w:t>
      </w:r>
    </w:p>
    <w:p w:rsidR="00A30CBE" w:rsidRPr="00380D8E" w:rsidRDefault="00A30CBE" w:rsidP="00380D8E">
      <w:pPr>
        <w:spacing w:line="240" w:lineRule="auto"/>
        <w:jc w:val="both"/>
        <w:rPr>
          <w:sz w:val="20"/>
          <w:szCs w:val="20"/>
        </w:rPr>
      </w:pPr>
      <w:r>
        <w:rPr>
          <w:noProof/>
          <w:lang w:val="en-CA" w:eastAsia="zh-CN" w:bidi="ar-SA"/>
        </w:rPr>
        <w:drawing>
          <wp:inline distT="0" distB="0" distL="0" distR="0">
            <wp:extent cx="4886325" cy="3190875"/>
            <wp:effectExtent l="19050" t="0" r="9525" b="0"/>
            <wp:docPr id="4" name="Picture 4" descr="http://img1.uploadscreenshot.com/images/orig/12/33918115081-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uploadscreenshot.com/images/orig/12/33918115081-orig.jpg"/>
                    <pic:cNvPicPr>
                      <a:picLocks noChangeAspect="1" noChangeArrowheads="1"/>
                    </pic:cNvPicPr>
                  </pic:nvPicPr>
                  <pic:blipFill>
                    <a:blip r:embed="rId7" cstate="print"/>
                    <a:srcRect/>
                    <a:stretch>
                      <a:fillRect/>
                    </a:stretch>
                  </pic:blipFill>
                  <pic:spPr bwMode="auto">
                    <a:xfrm>
                      <a:off x="0" y="0"/>
                      <a:ext cx="4886325" cy="3190875"/>
                    </a:xfrm>
                    <a:prstGeom prst="rect">
                      <a:avLst/>
                    </a:prstGeom>
                    <a:noFill/>
                    <a:ln w="9525">
                      <a:noFill/>
                      <a:miter lim="800000"/>
                      <a:headEnd/>
                      <a:tailEnd/>
                    </a:ln>
                  </pic:spPr>
                </pic:pic>
              </a:graphicData>
            </a:graphic>
          </wp:inline>
        </w:drawing>
      </w:r>
    </w:p>
    <w:sectPr w:rsidR="00A30CBE" w:rsidRPr="00380D8E" w:rsidSect="007D13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STXinwe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C430F"/>
    <w:multiLevelType w:val="hybridMultilevel"/>
    <w:tmpl w:val="93441AA6"/>
    <w:lvl w:ilvl="0" w:tplc="362E0C2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D7F4664"/>
    <w:multiLevelType w:val="hybridMultilevel"/>
    <w:tmpl w:val="2A16F0D6"/>
    <w:lvl w:ilvl="0" w:tplc="9BBE3E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A22F4D"/>
    <w:multiLevelType w:val="hybridMultilevel"/>
    <w:tmpl w:val="1584E078"/>
    <w:lvl w:ilvl="0" w:tplc="E182CB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43D6"/>
    <w:rsid w:val="00012011"/>
    <w:rsid w:val="0002710E"/>
    <w:rsid w:val="000B219F"/>
    <w:rsid w:val="000D2DCE"/>
    <w:rsid w:val="00105C98"/>
    <w:rsid w:val="001432E8"/>
    <w:rsid w:val="00191604"/>
    <w:rsid w:val="0022491F"/>
    <w:rsid w:val="00296112"/>
    <w:rsid w:val="002F75B7"/>
    <w:rsid w:val="00301A53"/>
    <w:rsid w:val="00333EAE"/>
    <w:rsid w:val="00376E5F"/>
    <w:rsid w:val="00380D8E"/>
    <w:rsid w:val="003C3B03"/>
    <w:rsid w:val="004066D5"/>
    <w:rsid w:val="00436812"/>
    <w:rsid w:val="00444F76"/>
    <w:rsid w:val="00462C02"/>
    <w:rsid w:val="005A7F0A"/>
    <w:rsid w:val="005E402D"/>
    <w:rsid w:val="006843A3"/>
    <w:rsid w:val="00716AC7"/>
    <w:rsid w:val="00737EB3"/>
    <w:rsid w:val="0077271D"/>
    <w:rsid w:val="00795773"/>
    <w:rsid w:val="007B7D3A"/>
    <w:rsid w:val="007C15FD"/>
    <w:rsid w:val="007C32E1"/>
    <w:rsid w:val="007D1394"/>
    <w:rsid w:val="008336F6"/>
    <w:rsid w:val="0084744B"/>
    <w:rsid w:val="00866FE3"/>
    <w:rsid w:val="008905C8"/>
    <w:rsid w:val="008D1281"/>
    <w:rsid w:val="008D6F3C"/>
    <w:rsid w:val="009B0C1C"/>
    <w:rsid w:val="009E59C5"/>
    <w:rsid w:val="00A26C0D"/>
    <w:rsid w:val="00A30CBE"/>
    <w:rsid w:val="00A61A81"/>
    <w:rsid w:val="00A65A05"/>
    <w:rsid w:val="00B045B8"/>
    <w:rsid w:val="00B65E5F"/>
    <w:rsid w:val="00BC4DF7"/>
    <w:rsid w:val="00BD0AA4"/>
    <w:rsid w:val="00BE043F"/>
    <w:rsid w:val="00C00420"/>
    <w:rsid w:val="00C043D6"/>
    <w:rsid w:val="00C21841"/>
    <w:rsid w:val="00C33F5C"/>
    <w:rsid w:val="00C4380A"/>
    <w:rsid w:val="00C70E36"/>
    <w:rsid w:val="00C9074A"/>
    <w:rsid w:val="00CE4F52"/>
    <w:rsid w:val="00D16F2E"/>
    <w:rsid w:val="00D318A6"/>
    <w:rsid w:val="00E32BE9"/>
    <w:rsid w:val="00EB19E1"/>
    <w:rsid w:val="00FA3DC1"/>
    <w:rsid w:val="00FF1F5A"/>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E5F"/>
  </w:style>
  <w:style w:type="paragraph" w:styleId="Heading1">
    <w:name w:val="heading 1"/>
    <w:basedOn w:val="Normal"/>
    <w:next w:val="Normal"/>
    <w:link w:val="Heading1Char"/>
    <w:uiPriority w:val="9"/>
    <w:qFormat/>
    <w:rsid w:val="00B65E5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65E5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65E5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B65E5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65E5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65E5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65E5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65E5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65E5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E5F"/>
    <w:pPr>
      <w:ind w:left="720"/>
      <w:contextualSpacing/>
    </w:pPr>
  </w:style>
  <w:style w:type="character" w:customStyle="1" w:styleId="Heading1Char">
    <w:name w:val="Heading 1 Char"/>
    <w:basedOn w:val="DefaultParagraphFont"/>
    <w:link w:val="Heading1"/>
    <w:uiPriority w:val="9"/>
    <w:rsid w:val="00B65E5F"/>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B65E5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65E5F"/>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rsid w:val="00B65E5F"/>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B65E5F"/>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B65E5F"/>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B65E5F"/>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B65E5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65E5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65E5F"/>
    <w:rPr>
      <w:caps/>
      <w:spacing w:val="10"/>
      <w:sz w:val="18"/>
      <w:szCs w:val="18"/>
    </w:rPr>
  </w:style>
  <w:style w:type="paragraph" w:styleId="Title">
    <w:name w:val="Title"/>
    <w:basedOn w:val="Normal"/>
    <w:next w:val="Normal"/>
    <w:link w:val="TitleChar"/>
    <w:uiPriority w:val="10"/>
    <w:qFormat/>
    <w:rsid w:val="00B65E5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65E5F"/>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B65E5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65E5F"/>
    <w:rPr>
      <w:rFonts w:eastAsiaTheme="majorEastAsia" w:cstheme="majorBidi"/>
      <w:caps/>
      <w:spacing w:val="20"/>
      <w:sz w:val="18"/>
      <w:szCs w:val="18"/>
    </w:rPr>
  </w:style>
  <w:style w:type="character" w:styleId="Strong">
    <w:name w:val="Strong"/>
    <w:uiPriority w:val="22"/>
    <w:qFormat/>
    <w:rsid w:val="00B65E5F"/>
    <w:rPr>
      <w:b/>
      <w:bCs/>
      <w:color w:val="943634" w:themeColor="accent2" w:themeShade="BF"/>
      <w:spacing w:val="5"/>
    </w:rPr>
  </w:style>
  <w:style w:type="character" w:styleId="Emphasis">
    <w:name w:val="Emphasis"/>
    <w:uiPriority w:val="20"/>
    <w:qFormat/>
    <w:rsid w:val="00B65E5F"/>
    <w:rPr>
      <w:caps/>
      <w:spacing w:val="5"/>
      <w:sz w:val="20"/>
      <w:szCs w:val="20"/>
    </w:rPr>
  </w:style>
  <w:style w:type="paragraph" w:styleId="NoSpacing">
    <w:name w:val="No Spacing"/>
    <w:basedOn w:val="Normal"/>
    <w:link w:val="NoSpacingChar"/>
    <w:uiPriority w:val="1"/>
    <w:qFormat/>
    <w:rsid w:val="00B65E5F"/>
    <w:pPr>
      <w:spacing w:after="0" w:line="240" w:lineRule="auto"/>
    </w:pPr>
  </w:style>
  <w:style w:type="character" w:customStyle="1" w:styleId="NoSpacingChar">
    <w:name w:val="No Spacing Char"/>
    <w:basedOn w:val="DefaultParagraphFont"/>
    <w:link w:val="NoSpacing"/>
    <w:uiPriority w:val="1"/>
    <w:rsid w:val="00B65E5F"/>
  </w:style>
  <w:style w:type="paragraph" w:styleId="Quote">
    <w:name w:val="Quote"/>
    <w:basedOn w:val="Normal"/>
    <w:next w:val="Normal"/>
    <w:link w:val="QuoteChar"/>
    <w:uiPriority w:val="29"/>
    <w:qFormat/>
    <w:rsid w:val="00B65E5F"/>
    <w:rPr>
      <w:i/>
      <w:iCs/>
    </w:rPr>
  </w:style>
  <w:style w:type="character" w:customStyle="1" w:styleId="QuoteChar">
    <w:name w:val="Quote Char"/>
    <w:basedOn w:val="DefaultParagraphFont"/>
    <w:link w:val="Quote"/>
    <w:uiPriority w:val="29"/>
    <w:rsid w:val="00B65E5F"/>
    <w:rPr>
      <w:rFonts w:eastAsiaTheme="majorEastAsia" w:cstheme="majorBidi"/>
      <w:i/>
      <w:iCs/>
    </w:rPr>
  </w:style>
  <w:style w:type="paragraph" w:styleId="IntenseQuote">
    <w:name w:val="Intense Quote"/>
    <w:basedOn w:val="Normal"/>
    <w:next w:val="Normal"/>
    <w:link w:val="IntenseQuoteChar"/>
    <w:uiPriority w:val="30"/>
    <w:qFormat/>
    <w:rsid w:val="00B65E5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65E5F"/>
    <w:rPr>
      <w:rFonts w:eastAsiaTheme="majorEastAsia" w:cstheme="majorBidi"/>
      <w:caps/>
      <w:color w:val="622423" w:themeColor="accent2" w:themeShade="7F"/>
      <w:spacing w:val="5"/>
      <w:sz w:val="20"/>
      <w:szCs w:val="20"/>
    </w:rPr>
  </w:style>
  <w:style w:type="character" w:styleId="SubtleEmphasis">
    <w:name w:val="Subtle Emphasis"/>
    <w:uiPriority w:val="19"/>
    <w:qFormat/>
    <w:rsid w:val="00B65E5F"/>
    <w:rPr>
      <w:i/>
      <w:iCs/>
    </w:rPr>
  </w:style>
  <w:style w:type="character" w:styleId="IntenseEmphasis">
    <w:name w:val="Intense Emphasis"/>
    <w:uiPriority w:val="21"/>
    <w:qFormat/>
    <w:rsid w:val="00B65E5F"/>
    <w:rPr>
      <w:i/>
      <w:iCs/>
      <w:caps/>
      <w:spacing w:val="10"/>
      <w:sz w:val="20"/>
      <w:szCs w:val="20"/>
    </w:rPr>
  </w:style>
  <w:style w:type="character" w:styleId="SubtleReference">
    <w:name w:val="Subtle Reference"/>
    <w:basedOn w:val="DefaultParagraphFont"/>
    <w:uiPriority w:val="31"/>
    <w:qFormat/>
    <w:rsid w:val="00B65E5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65E5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65E5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65E5F"/>
    <w:pPr>
      <w:outlineLvl w:val="9"/>
    </w:pPr>
  </w:style>
  <w:style w:type="character" w:styleId="PlaceholderText">
    <w:name w:val="Placeholder Text"/>
    <w:basedOn w:val="DefaultParagraphFont"/>
    <w:uiPriority w:val="99"/>
    <w:semiHidden/>
    <w:rsid w:val="00BC4DF7"/>
    <w:rPr>
      <w:color w:val="808080"/>
    </w:rPr>
  </w:style>
  <w:style w:type="paragraph" w:styleId="BalloonText">
    <w:name w:val="Balloon Text"/>
    <w:basedOn w:val="Normal"/>
    <w:link w:val="BalloonTextChar"/>
    <w:uiPriority w:val="99"/>
    <w:semiHidden/>
    <w:unhideWhenUsed/>
    <w:rsid w:val="00BC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DF7"/>
    <w:rPr>
      <w:rFonts w:ascii="Tahoma" w:hAnsi="Tahoma" w:cs="Tahoma"/>
      <w:sz w:val="16"/>
      <w:szCs w:val="16"/>
    </w:rPr>
  </w:style>
  <w:style w:type="table" w:styleId="TableGrid">
    <w:name w:val="Table Grid"/>
    <w:basedOn w:val="TableNormal"/>
    <w:uiPriority w:val="59"/>
    <w:rsid w:val="008D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0D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A1BA3-8A96-4905-A50F-40470AA7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YangZhou</dc:creator>
  <cp:lastModifiedBy>YangZhou</cp:lastModifiedBy>
  <cp:revision>25</cp:revision>
  <dcterms:created xsi:type="dcterms:W3CDTF">2011-11-16T01:47:00Z</dcterms:created>
  <dcterms:modified xsi:type="dcterms:W3CDTF">2011-12-06T23:12:00Z</dcterms:modified>
</cp:coreProperties>
</file>