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Justified layout reference</w:t>
      </w:r>
    </w:p>
    <w:p>
      <w:pPr>
        <w:pStyle w:val="Normal"/>
        <w:bidi w:val="0"/>
        <w:jc w:val="both"/>
        <w:rPr/>
      </w:pPr>
      <w:r>
        <w:rPr/>
        <w:t>Justified paragraph begins here and runs on for several lines so that every line break depends on the width of each word and of each space in Liberation Serif at eleven points. A converter that measures a single character differently moves a word from one line to the next, and the text of the exported page shows it line by line. The words are ordinary on purpose: short ones and long ones such as interoperability, documentation and configuration, mixed with numbers like 1234 and 56.78, commas, semicolons; and a few parentheses (like these) keep the spacing realistic. The paragraph keeps going for a while longer, because a layout difference often appears only after the third or fourth line, once the small errors in width have added up enough to push a word past the right margin. This is the last sentence of the justified paragraph.</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kern w:val="2"/>
        <w:sz w:val="22"/>
        <w:szCs w:val="22"/>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Liberation Serif" w:cs="Liberation Serif"/>
      <w:color w:val="auto"/>
      <w:kern w:val="2"/>
      <w:sz w:val="22"/>
      <w:szCs w:val="22"/>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Justified paragraph</dc:title>
</cp:coreProperties>
</file>