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A97C9" w14:textId="77777777" w:rsidR="00526F24" w:rsidRPr="00526F24" w:rsidRDefault="00526F24" w:rsidP="00526F24">
      <w:pPr>
        <w:rPr>
          <w:b/>
          <w:bCs/>
        </w:rPr>
      </w:pPr>
      <w:r w:rsidRPr="00526F24">
        <w:rPr>
          <w:b/>
          <w:bCs/>
        </w:rPr>
        <w:t>Building a Profile Hidden Markov Model for the Kunitz-type Protease Inhibitor Domain</w:t>
      </w:r>
    </w:p>
    <w:p w14:paraId="2C0DFF3E" w14:textId="77777777" w:rsidR="00526F24" w:rsidRPr="00526F24" w:rsidRDefault="00526F24" w:rsidP="00526F24">
      <w:pPr>
        <w:rPr>
          <w:b/>
          <w:bCs/>
        </w:rPr>
      </w:pPr>
      <w:r w:rsidRPr="00526F24">
        <w:rPr>
          <w:b/>
          <w:bCs/>
        </w:rPr>
        <w:t>Overview</w:t>
      </w:r>
    </w:p>
    <w:p w14:paraId="3005C5DD" w14:textId="77777777" w:rsidR="00526F24" w:rsidRPr="00526F24" w:rsidRDefault="00526F24" w:rsidP="00526F24">
      <w:r w:rsidRPr="00526F24">
        <w:t xml:space="preserve">This repository contains the code and data for building a </w:t>
      </w:r>
      <w:r w:rsidRPr="00526F24">
        <w:rPr>
          <w:b/>
          <w:bCs/>
        </w:rPr>
        <w:t>Profile Hidden Markov Model (HMM)</w:t>
      </w:r>
      <w:r w:rsidRPr="00526F24">
        <w:t xml:space="preserve"> designed to identify the Kunitz-type protease inhibitor domain in protein sequences. The Kunitz domain is a conserved protein domain critical for inhibiting serine proteases, with significant implications in biological regulation and drug development.</w:t>
      </w:r>
    </w:p>
    <w:p w14:paraId="68848F0B" w14:textId="77777777" w:rsidR="00526F24" w:rsidRPr="00526F24" w:rsidRDefault="00526F24" w:rsidP="00526F24">
      <w:r w:rsidRPr="00526F24">
        <w:t xml:space="preserve">The model was constructed using </w:t>
      </w:r>
      <w:r w:rsidRPr="00526F24">
        <w:rPr>
          <w:b/>
          <w:bCs/>
        </w:rPr>
        <w:t>experimentally validated structural data</w:t>
      </w:r>
      <w:r w:rsidRPr="00526F24">
        <w:t xml:space="preserve"> and </w:t>
      </w:r>
      <w:r w:rsidRPr="00526F24">
        <w:rPr>
          <w:b/>
          <w:bCs/>
        </w:rPr>
        <w:t>multiple sequence alignments (MSA)</w:t>
      </w:r>
      <w:r w:rsidRPr="00526F24">
        <w:t xml:space="preserve"> to accurately detect Kunitz domains across a variety of protein sequences. The performance of the model was evaluated using metrics such as </w:t>
      </w:r>
      <w:r w:rsidRPr="00526F24">
        <w:rPr>
          <w:b/>
          <w:bCs/>
        </w:rPr>
        <w:t>accuracy (ACC)</w:t>
      </w:r>
      <w:r w:rsidRPr="00526F24">
        <w:t xml:space="preserve">, </w:t>
      </w:r>
      <w:r w:rsidRPr="00526F24">
        <w:rPr>
          <w:b/>
          <w:bCs/>
        </w:rPr>
        <w:t>Matthews Correlation Coefficient (MCC)</w:t>
      </w:r>
      <w:r w:rsidRPr="00526F24">
        <w:t xml:space="preserve">, and </w:t>
      </w:r>
      <w:r w:rsidRPr="00526F24">
        <w:rPr>
          <w:b/>
          <w:bCs/>
        </w:rPr>
        <w:t>Receiver Operating Characteristic (ROC)</w:t>
      </w:r>
      <w:r w:rsidRPr="00526F24">
        <w:t xml:space="preserve"> analysis.</w:t>
      </w:r>
    </w:p>
    <w:p w14:paraId="40707815" w14:textId="77777777" w:rsidR="00526F24" w:rsidRPr="00526F24" w:rsidRDefault="00526F24" w:rsidP="00526F24">
      <w:pPr>
        <w:rPr>
          <w:b/>
          <w:bCs/>
        </w:rPr>
      </w:pPr>
      <w:r w:rsidRPr="00526F24">
        <w:rPr>
          <w:b/>
          <w:bCs/>
        </w:rPr>
        <w:t>Project Steps</w:t>
      </w:r>
    </w:p>
    <w:p w14:paraId="35BB845D" w14:textId="77777777" w:rsidR="00526F24" w:rsidRPr="00526F24" w:rsidRDefault="00526F24" w:rsidP="00526F24">
      <w:pPr>
        <w:rPr>
          <w:b/>
          <w:bCs/>
        </w:rPr>
      </w:pPr>
      <w:r w:rsidRPr="00526F24">
        <w:rPr>
          <w:b/>
          <w:bCs/>
        </w:rPr>
        <w:t>1. Data Collection and Preparation</w:t>
      </w:r>
    </w:p>
    <w:p w14:paraId="75D1A93E" w14:textId="77777777" w:rsidR="00526F24" w:rsidRPr="00526F24" w:rsidRDefault="00526F24" w:rsidP="00526F24">
      <w:r w:rsidRPr="00526F24">
        <w:t xml:space="preserve">The first step involves collecting a comprehensive dataset of experimentally determined protein structures containing the Kunitz domain. The dataset was sourced from the </w:t>
      </w:r>
      <w:r w:rsidRPr="00526F24">
        <w:rPr>
          <w:b/>
          <w:bCs/>
        </w:rPr>
        <w:t>Protein Data Bank (PDB)</w:t>
      </w:r>
      <w:r w:rsidRPr="00526F24">
        <w:t>, using the following criteria:</w:t>
      </w:r>
    </w:p>
    <w:p w14:paraId="075697FA" w14:textId="77777777" w:rsidR="00526F24" w:rsidRPr="00526F24" w:rsidRDefault="00526F24" w:rsidP="00526F24">
      <w:pPr>
        <w:numPr>
          <w:ilvl w:val="0"/>
          <w:numId w:val="1"/>
        </w:numPr>
      </w:pPr>
      <w:r w:rsidRPr="00526F24">
        <w:t xml:space="preserve">Data resolution of less than 3 </w:t>
      </w:r>
      <w:proofErr w:type="spellStart"/>
      <w:r w:rsidRPr="00526F24">
        <w:t>Ångströms</w:t>
      </w:r>
      <w:proofErr w:type="spellEnd"/>
      <w:r w:rsidRPr="00526F24">
        <w:t>.</w:t>
      </w:r>
    </w:p>
    <w:p w14:paraId="20110D64" w14:textId="77777777" w:rsidR="00526F24" w:rsidRPr="00526F24" w:rsidRDefault="00526F24" w:rsidP="00526F24">
      <w:pPr>
        <w:numPr>
          <w:ilvl w:val="0"/>
          <w:numId w:val="1"/>
        </w:numPr>
      </w:pPr>
      <w:r w:rsidRPr="00526F24">
        <w:t>Sequence lengths between 50 and 80 amino acids.</w:t>
      </w:r>
    </w:p>
    <w:p w14:paraId="493B7850" w14:textId="77777777" w:rsidR="00526F24" w:rsidRPr="00526F24" w:rsidRDefault="00526F24" w:rsidP="00526F24">
      <w:pPr>
        <w:numPr>
          <w:ilvl w:val="0"/>
          <w:numId w:val="1"/>
        </w:numPr>
      </w:pPr>
      <w:r w:rsidRPr="00526F24">
        <w:t>Exclusion of proteins with mutations.</w:t>
      </w:r>
    </w:p>
    <w:p w14:paraId="09837DBE" w14:textId="77777777" w:rsidR="00526F24" w:rsidRPr="00526F24" w:rsidRDefault="00526F24" w:rsidP="00526F24">
      <w:r w:rsidRPr="00526F24">
        <w:t>Once the data was collected, it underwent cleaning and processing to ensure consistency and reliability.</w:t>
      </w:r>
    </w:p>
    <w:p w14:paraId="147B8BFC" w14:textId="77777777" w:rsidR="00526F24" w:rsidRPr="00526F24" w:rsidRDefault="00526F24" w:rsidP="00526F24">
      <w:pPr>
        <w:rPr>
          <w:b/>
          <w:bCs/>
        </w:rPr>
      </w:pPr>
      <w:r w:rsidRPr="00526F24">
        <w:rPr>
          <w:b/>
          <w:bCs/>
        </w:rPr>
        <w:t>2. Multiple Sequence Alignment (MSA)</w:t>
      </w:r>
    </w:p>
    <w:p w14:paraId="62B61198" w14:textId="77777777" w:rsidR="00526F24" w:rsidRPr="00526F24" w:rsidRDefault="00526F24" w:rsidP="00526F24">
      <w:r w:rsidRPr="00526F24">
        <w:t xml:space="preserve">The next step involved performing a </w:t>
      </w:r>
      <w:r w:rsidRPr="00526F24">
        <w:rPr>
          <w:b/>
          <w:bCs/>
        </w:rPr>
        <w:t>Multiple Sequence Alignment (MSA)</w:t>
      </w:r>
      <w:r w:rsidRPr="00526F24">
        <w:t xml:space="preserve"> to identify conserved regions and structural similarities across Kunitz domain-containing proteins. The alignment was performed using the </w:t>
      </w:r>
      <w:proofErr w:type="spellStart"/>
      <w:r w:rsidRPr="00526F24">
        <w:rPr>
          <w:b/>
          <w:bCs/>
        </w:rPr>
        <w:t>PDBeFold</w:t>
      </w:r>
      <w:proofErr w:type="spellEnd"/>
      <w:r w:rsidRPr="00526F24">
        <w:t xml:space="preserve"> server, and the results were visualized with </w:t>
      </w:r>
      <w:proofErr w:type="spellStart"/>
      <w:r w:rsidRPr="00526F24">
        <w:rPr>
          <w:b/>
          <w:bCs/>
        </w:rPr>
        <w:t>Jalview</w:t>
      </w:r>
      <w:proofErr w:type="spellEnd"/>
      <w:r w:rsidRPr="00526F24">
        <w:t xml:space="preserve"> to identify conserved regions critical for domain detection.</w:t>
      </w:r>
    </w:p>
    <w:p w14:paraId="7DCDE642" w14:textId="77777777" w:rsidR="00526F24" w:rsidRPr="00526F24" w:rsidRDefault="00526F24" w:rsidP="00526F24">
      <w:pPr>
        <w:rPr>
          <w:b/>
          <w:bCs/>
        </w:rPr>
      </w:pPr>
      <w:r w:rsidRPr="00526F24">
        <w:rPr>
          <w:b/>
          <w:bCs/>
        </w:rPr>
        <w:t>3. Model Generation</w:t>
      </w:r>
    </w:p>
    <w:p w14:paraId="5F075D59" w14:textId="77777777" w:rsidR="00526F24" w:rsidRPr="00526F24" w:rsidRDefault="00526F24" w:rsidP="00526F24">
      <w:r w:rsidRPr="00526F24">
        <w:t xml:space="preserve">The </w:t>
      </w:r>
      <w:r w:rsidRPr="00526F24">
        <w:rPr>
          <w:b/>
          <w:bCs/>
        </w:rPr>
        <w:t>HMM</w:t>
      </w:r>
      <w:r w:rsidRPr="00526F24">
        <w:t xml:space="preserve"> was generated using the </w:t>
      </w:r>
      <w:r w:rsidRPr="00526F24">
        <w:rPr>
          <w:b/>
          <w:bCs/>
        </w:rPr>
        <w:t>HMMER 3.4.0.2</w:t>
      </w:r>
      <w:r w:rsidRPr="00526F24">
        <w:t xml:space="preserve"> package. The aligned sequences from the MSA were used as input, and the model was trained to capture both variability and conservation across the Kunitz domain sequences.</w:t>
      </w:r>
    </w:p>
    <w:p w14:paraId="38950469" w14:textId="77777777" w:rsidR="00526F24" w:rsidRPr="00526F24" w:rsidRDefault="00526F24" w:rsidP="00526F24">
      <w:r w:rsidRPr="00526F24">
        <w:t xml:space="preserve">For model visualization, the </w:t>
      </w:r>
      <w:proofErr w:type="spellStart"/>
      <w:r w:rsidRPr="00526F24">
        <w:rPr>
          <w:b/>
          <w:bCs/>
        </w:rPr>
        <w:t>SkyAlign</w:t>
      </w:r>
      <w:proofErr w:type="spellEnd"/>
      <w:r w:rsidRPr="00526F24">
        <w:t xml:space="preserve"> platform was used, offering intuitive tools to explore the structural and evolutionary features of the model.</w:t>
      </w:r>
    </w:p>
    <w:p w14:paraId="47D70B42" w14:textId="77777777" w:rsidR="00526F24" w:rsidRPr="00526F24" w:rsidRDefault="00526F24" w:rsidP="00526F24">
      <w:pPr>
        <w:rPr>
          <w:b/>
          <w:bCs/>
        </w:rPr>
      </w:pPr>
      <w:r w:rsidRPr="00526F24">
        <w:rPr>
          <w:b/>
          <w:bCs/>
        </w:rPr>
        <w:lastRenderedPageBreak/>
        <w:t>4. Model Evaluation</w:t>
      </w:r>
    </w:p>
    <w:p w14:paraId="1FD7B806" w14:textId="77777777" w:rsidR="00526F24" w:rsidRPr="00526F24" w:rsidRDefault="00526F24" w:rsidP="00526F24">
      <w:r w:rsidRPr="00526F24">
        <w:t xml:space="preserve">To evaluate the model’s performance, a two-fold </w:t>
      </w:r>
      <w:r w:rsidRPr="00526F24">
        <w:rPr>
          <w:b/>
          <w:bCs/>
        </w:rPr>
        <w:t>cross-validation</w:t>
      </w:r>
      <w:r w:rsidRPr="00526F24">
        <w:t xml:space="preserve"> approach was employed. The dataset was split into two subsets, with the model being trained on one and tested on the other. </w:t>
      </w:r>
      <w:r w:rsidRPr="00526F24">
        <w:rPr>
          <w:b/>
          <w:bCs/>
        </w:rPr>
        <w:t>Accuracy (ACC)</w:t>
      </w:r>
      <w:r w:rsidRPr="00526F24">
        <w:t xml:space="preserve">, </w:t>
      </w:r>
      <w:r w:rsidRPr="00526F24">
        <w:rPr>
          <w:b/>
          <w:bCs/>
        </w:rPr>
        <w:t>Matthews Correlation Coefficient (MCC)</w:t>
      </w:r>
      <w:r w:rsidRPr="00526F24">
        <w:t xml:space="preserve">, and </w:t>
      </w:r>
      <w:r w:rsidRPr="00526F24">
        <w:rPr>
          <w:b/>
          <w:bCs/>
        </w:rPr>
        <w:t>ROC curves</w:t>
      </w:r>
      <w:r w:rsidRPr="00526F24">
        <w:t xml:space="preserve"> were used to measure the model's performance.</w:t>
      </w:r>
    </w:p>
    <w:p w14:paraId="31BB77E0" w14:textId="77777777" w:rsidR="00526F24" w:rsidRPr="00526F24" w:rsidRDefault="00526F24" w:rsidP="00526F24">
      <w:r w:rsidRPr="00526F24">
        <w:t>Key findings from the evaluation:</w:t>
      </w:r>
    </w:p>
    <w:p w14:paraId="7FF2A0F7" w14:textId="77777777" w:rsidR="00526F24" w:rsidRPr="00526F24" w:rsidRDefault="00526F24" w:rsidP="00526F24">
      <w:pPr>
        <w:numPr>
          <w:ilvl w:val="0"/>
          <w:numId w:val="2"/>
        </w:numPr>
      </w:pPr>
      <w:r w:rsidRPr="00526F24">
        <w:t xml:space="preserve">The model reached peak performance at an </w:t>
      </w:r>
      <w:r w:rsidRPr="00526F24">
        <w:rPr>
          <w:b/>
          <w:bCs/>
        </w:rPr>
        <w:t>e-value threshold of 1e-6</w:t>
      </w:r>
      <w:r w:rsidRPr="00526F24">
        <w:t xml:space="preserve">, with an accuracy of approximately </w:t>
      </w:r>
      <w:r w:rsidRPr="00526F24">
        <w:rPr>
          <w:b/>
          <w:bCs/>
        </w:rPr>
        <w:t>0.99995</w:t>
      </w:r>
      <w:r w:rsidRPr="00526F24">
        <w:t xml:space="preserve"> and an MCC of </w:t>
      </w:r>
      <w:r w:rsidRPr="00526F24">
        <w:rPr>
          <w:b/>
          <w:bCs/>
        </w:rPr>
        <w:t>0.9995</w:t>
      </w:r>
      <w:r w:rsidRPr="00526F24">
        <w:t>.</w:t>
      </w:r>
    </w:p>
    <w:p w14:paraId="1A1626B5" w14:textId="77777777" w:rsidR="00526F24" w:rsidRPr="00526F24" w:rsidRDefault="00526F24" w:rsidP="00526F24">
      <w:pPr>
        <w:numPr>
          <w:ilvl w:val="0"/>
          <w:numId w:val="2"/>
        </w:numPr>
      </w:pPr>
      <w:r w:rsidRPr="00526F24">
        <w:t xml:space="preserve">The confusion matrix showed minimal misclassifications with only </w:t>
      </w:r>
      <w:r w:rsidRPr="00526F24">
        <w:rPr>
          <w:b/>
          <w:bCs/>
        </w:rPr>
        <w:t>one false negative</w:t>
      </w:r>
      <w:r w:rsidRPr="00526F24">
        <w:t xml:space="preserve"> and no </w:t>
      </w:r>
      <w:r w:rsidRPr="00526F24">
        <w:rPr>
          <w:b/>
          <w:bCs/>
        </w:rPr>
        <w:t>false positives</w:t>
      </w:r>
      <w:r w:rsidRPr="00526F24">
        <w:t xml:space="preserve"> at this threshold.</w:t>
      </w:r>
    </w:p>
    <w:p w14:paraId="5ED7B4B6" w14:textId="77777777" w:rsidR="00526F24" w:rsidRPr="00526F24" w:rsidRDefault="00526F24" w:rsidP="00526F24">
      <w:pPr>
        <w:numPr>
          <w:ilvl w:val="0"/>
          <w:numId w:val="2"/>
        </w:numPr>
      </w:pPr>
      <w:r w:rsidRPr="00526F24">
        <w:t>ROC curve analysis confirmed the model’s robust discriminatory capacity.</w:t>
      </w:r>
    </w:p>
    <w:p w14:paraId="143C847C" w14:textId="77777777" w:rsidR="00526F24" w:rsidRPr="00526F24" w:rsidRDefault="00526F24" w:rsidP="00526F24">
      <w:pPr>
        <w:rPr>
          <w:b/>
          <w:bCs/>
        </w:rPr>
      </w:pPr>
      <w:r w:rsidRPr="00526F24">
        <w:rPr>
          <w:b/>
          <w:bCs/>
        </w:rPr>
        <w:t>5. Results</w:t>
      </w:r>
    </w:p>
    <w:p w14:paraId="70B33EC5" w14:textId="77777777" w:rsidR="00526F24" w:rsidRPr="00526F24" w:rsidRDefault="00526F24" w:rsidP="00526F24">
      <w:r w:rsidRPr="00526F24">
        <w:t>The model effectively identifies the Kunitz domain with high accuracy and precision. The results show:</w:t>
      </w:r>
    </w:p>
    <w:p w14:paraId="277BEE79" w14:textId="77777777" w:rsidR="00526F24" w:rsidRPr="00526F24" w:rsidRDefault="00526F24" w:rsidP="00526F24">
      <w:pPr>
        <w:numPr>
          <w:ilvl w:val="0"/>
          <w:numId w:val="3"/>
        </w:numPr>
      </w:pPr>
      <w:r w:rsidRPr="00526F24">
        <w:rPr>
          <w:b/>
          <w:bCs/>
        </w:rPr>
        <w:t>Accuracy</w:t>
      </w:r>
      <w:r w:rsidRPr="00526F24">
        <w:t xml:space="preserve">: Ranging from approximately </w:t>
      </w:r>
      <w:r w:rsidRPr="00526F24">
        <w:rPr>
          <w:b/>
          <w:bCs/>
        </w:rPr>
        <w:t>0.6362</w:t>
      </w:r>
      <w:r w:rsidRPr="00526F24">
        <w:t xml:space="preserve"> to </w:t>
      </w:r>
      <w:r w:rsidRPr="00526F24">
        <w:rPr>
          <w:b/>
          <w:bCs/>
        </w:rPr>
        <w:t>0.9999</w:t>
      </w:r>
      <w:r w:rsidRPr="00526F24">
        <w:t xml:space="preserve"> across different thresholds.</w:t>
      </w:r>
    </w:p>
    <w:p w14:paraId="587868CE" w14:textId="77777777" w:rsidR="00526F24" w:rsidRPr="00526F24" w:rsidRDefault="00526F24" w:rsidP="00526F24">
      <w:pPr>
        <w:numPr>
          <w:ilvl w:val="0"/>
          <w:numId w:val="3"/>
        </w:numPr>
      </w:pPr>
      <w:r w:rsidRPr="00526F24">
        <w:rPr>
          <w:b/>
          <w:bCs/>
        </w:rPr>
        <w:t>MCC</w:t>
      </w:r>
      <w:r w:rsidRPr="00526F24">
        <w:t xml:space="preserve">: Fluctuating from </w:t>
      </w:r>
      <w:r w:rsidRPr="00526F24">
        <w:rPr>
          <w:b/>
          <w:bCs/>
        </w:rPr>
        <w:t>0.0471</w:t>
      </w:r>
      <w:r w:rsidRPr="00526F24">
        <w:t xml:space="preserve"> to </w:t>
      </w:r>
      <w:r w:rsidRPr="00526F24">
        <w:rPr>
          <w:b/>
          <w:bCs/>
        </w:rPr>
        <w:t>0.9995</w:t>
      </w:r>
      <w:r w:rsidRPr="00526F24">
        <w:t>.</w:t>
      </w:r>
    </w:p>
    <w:p w14:paraId="1E59804D" w14:textId="77777777" w:rsidR="00526F24" w:rsidRPr="00526F24" w:rsidRDefault="00526F24" w:rsidP="00526F24">
      <w:pPr>
        <w:numPr>
          <w:ilvl w:val="0"/>
          <w:numId w:val="3"/>
        </w:numPr>
      </w:pPr>
      <w:r w:rsidRPr="00526F24">
        <w:t xml:space="preserve">The optimal threshold for classification was determined to be </w:t>
      </w:r>
      <w:r w:rsidRPr="00526F24">
        <w:rPr>
          <w:b/>
          <w:bCs/>
        </w:rPr>
        <w:t>1e-6</w:t>
      </w:r>
      <w:r w:rsidRPr="00526F24">
        <w:t>, balancing sensitivity and specificity.</w:t>
      </w:r>
    </w:p>
    <w:p w14:paraId="6A9BDF2A" w14:textId="77777777" w:rsidR="00526F24" w:rsidRPr="00526F24" w:rsidRDefault="00526F24" w:rsidP="00526F24">
      <w:pPr>
        <w:rPr>
          <w:b/>
          <w:bCs/>
        </w:rPr>
      </w:pPr>
      <w:r w:rsidRPr="00526F24">
        <w:rPr>
          <w:b/>
          <w:bCs/>
        </w:rPr>
        <w:t>6. Conclusion</w:t>
      </w:r>
    </w:p>
    <w:p w14:paraId="78CD3C40" w14:textId="77777777" w:rsidR="00526F24" w:rsidRPr="00526F24" w:rsidRDefault="00526F24" w:rsidP="00526F24">
      <w:r w:rsidRPr="00526F24">
        <w:t xml:space="preserve">The constructed Profile HMM successfully identifies the Kunitz-type protease inhibitor domain, with high classification accuracy and robustness across various thresholds. The model is an effective tool for protein domain annotation, with potential applications in </w:t>
      </w:r>
      <w:r w:rsidRPr="00526F24">
        <w:rPr>
          <w:b/>
          <w:bCs/>
        </w:rPr>
        <w:t>functional genomics</w:t>
      </w:r>
      <w:r w:rsidRPr="00526F24">
        <w:t xml:space="preserve"> and </w:t>
      </w:r>
      <w:r w:rsidRPr="00526F24">
        <w:rPr>
          <w:b/>
          <w:bCs/>
        </w:rPr>
        <w:t>drug discovery</w:t>
      </w:r>
      <w:r w:rsidRPr="00526F24">
        <w:t>.</w:t>
      </w:r>
    </w:p>
    <w:p w14:paraId="748D55F6" w14:textId="77777777" w:rsidR="00526F24" w:rsidRPr="00526F24" w:rsidRDefault="00526F24" w:rsidP="00526F24">
      <w:r w:rsidRPr="00526F24">
        <w:t>Further improvements could include:</w:t>
      </w:r>
    </w:p>
    <w:p w14:paraId="6D27C22A" w14:textId="77777777" w:rsidR="00526F24" w:rsidRPr="00526F24" w:rsidRDefault="00526F24" w:rsidP="00526F24">
      <w:pPr>
        <w:numPr>
          <w:ilvl w:val="0"/>
          <w:numId w:val="4"/>
        </w:numPr>
      </w:pPr>
      <w:r w:rsidRPr="00526F24">
        <w:t>Expanding the dataset for enhanced model generalization.</w:t>
      </w:r>
    </w:p>
    <w:p w14:paraId="2950B294" w14:textId="77777777" w:rsidR="00526F24" w:rsidRPr="00526F24" w:rsidRDefault="00526F24" w:rsidP="00526F24">
      <w:pPr>
        <w:numPr>
          <w:ilvl w:val="0"/>
          <w:numId w:val="4"/>
        </w:numPr>
      </w:pPr>
      <w:r w:rsidRPr="00526F24">
        <w:t>Integrating additional methods for detecting divergent sequences.</w:t>
      </w:r>
    </w:p>
    <w:p w14:paraId="17BA0480" w14:textId="77777777" w:rsidR="003D2CB3" w:rsidRDefault="003D2CB3"/>
    <w:sectPr w:rsidR="003D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B32"/>
    <w:multiLevelType w:val="multilevel"/>
    <w:tmpl w:val="5E56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09AA"/>
    <w:multiLevelType w:val="multilevel"/>
    <w:tmpl w:val="F4A4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601A3"/>
    <w:multiLevelType w:val="multilevel"/>
    <w:tmpl w:val="E05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44624"/>
    <w:multiLevelType w:val="multilevel"/>
    <w:tmpl w:val="3002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162757">
    <w:abstractNumId w:val="1"/>
  </w:num>
  <w:num w:numId="2" w16cid:durableId="1102725558">
    <w:abstractNumId w:val="0"/>
  </w:num>
  <w:num w:numId="3" w16cid:durableId="1013797208">
    <w:abstractNumId w:val="2"/>
  </w:num>
  <w:num w:numId="4" w16cid:durableId="1246723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24"/>
    <w:rsid w:val="00326460"/>
    <w:rsid w:val="003D2CB3"/>
    <w:rsid w:val="00526F24"/>
    <w:rsid w:val="007A18EA"/>
    <w:rsid w:val="0095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FD7FA"/>
  <w15:chartTrackingRefBased/>
  <w15:docId w15:val="{C2C6854F-862C-4738-969B-0901945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3073</Characters>
  <Application>Microsoft Office Word</Application>
  <DocSecurity>0</DocSecurity>
  <Lines>57</Lines>
  <Paragraphs>37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delnia khezragha</dc:creator>
  <cp:keywords/>
  <dc:description/>
  <cp:lastModifiedBy>delnia khezragha</cp:lastModifiedBy>
  <cp:revision>1</cp:revision>
  <dcterms:created xsi:type="dcterms:W3CDTF">2025-06-06T16:15:00Z</dcterms:created>
  <dcterms:modified xsi:type="dcterms:W3CDTF">2025-06-06T16:16:00Z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1df89990-6c41-401d-8f1f-22174f4d8202</vt:lpwstr>
  </property>
</Properties>
</file>