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6B7280"/>
          <w:sz w:val="22"/>
          <w:szCs w:val="22"/>
        </w:rPr>
        <w:t xml:space="preserve">Blueprint Studio</w:t>
      </w:r>
    </w:p>
    <w:p>
      <w:pPr>
        <w:spacing w:after="80"/>
      </w:pPr>
      <w:r>
        <w:rPr>
          <w:b/>
          <w:bCs/>
          <w:color w:val="1E3A8A"/>
          <w:sz w:val="44"/>
          <w:szCs w:val="44"/>
        </w:rPr>
        <w:t xml:space="preserve">Requirements</w:t>
      </w:r>
    </w:p>
    <w:p>
      <w:pPr>
        <w:spacing w:after="160"/>
      </w:pPr>
      <w:r>
        <w:rPr>
          <w:color w:val="1F2937"/>
          <w:sz w:val="24"/>
          <w:szCs w:val="24"/>
        </w:rPr>
        <w:t xml:space="preserve">Features, functional and non-functional requirements</w:t>
      </w:r>
    </w:p>
    <w:p>
      <w:pPr>
        <w:pBdr>
          <w:bottom w:val="single" w:color="1E3A8A" w:sz="6" w:space="6"/>
        </w:pBdr>
        <w:spacing w:after="240"/>
      </w:pPr>
      <w:r>
        <w:rPr>
          <w:color w:val="6B7280"/>
          <w:sz w:val="19"/>
          <w:szCs w:val="19"/>
        </w:rPr>
        <w:t xml:space="preserve">Version 0.1  ·  14 October 2026  ·  Scope approved</w:t>
      </w:r>
    </w:p>
    <w:p>
      <w:pPr>
        <w:spacing w:after="120"/>
      </w:pPr>
      <w:r>
        <w:rPr>
          <w:color w:val="6B7280"/>
          <w:sz w:val="19"/>
          <w:szCs w:val="19"/>
        </w:rPr>
        <w:t xml:space="preserve">Companion documents: PRD.docx (the full plan) and UserStories.docx (stories, tickets and acceptance criteria). IDs are stable across all documents and match PRD.md, SPECS.md and TICKETS.md.</w:t>
      </w:r>
    </w:p>
    <w:p>
      <w:pPr>
        <w:pStyle w:val="Heading1"/>
      </w:pPr>
      <w:r>
        <w:t xml:space="preserve">1. Purpose and scope</w:t>
      </w:r>
    </w:p>
    <w:p>
      <w:pPr>
        <w:spacing w:after="120"/>
      </w:pPr>
      <w:r>
        <w:t xml:space="preserve">Engineers who design systems, whether for an interview or for a real product, work without a partner that enforces structure. They draw boxes before fixing requirements, pick tools out of habit instead of from workload numbers, and describe happy paths while ignoring security, efficiency and maintainability. The design survives only as scattered notes.</w:t>
      </w:r>
    </w:p>
    <w:p>
      <w:pPr>
        <w:spacing w:after="120"/>
      </w:pPr>
      <w:r>
        <w:t xml:space="preserve">Turning that design into a signed-off PRD, user stories and implementable tickets is a second manual job that most people skip or do badly. When tickets do reach a tracker such as Jira, whoever creates them, a person or an agent, tends to add features, stories and tickets nobody agreed to. The delivered work then drifts from the design.</w:t>
      </w:r>
    </w:p>
    <w:p>
      <w:pPr>
        <w:spacing w:after="120"/>
      </w:pPr>
      <w:r>
        <w:t xml:space="preserve">This document lists what the first release must do (functional requirements) and how well it must do it (non-functional requirements), grouped into features. Each requirement names the user stories that deliver it, so every row can be followed to an implementable ticket.</w:t>
      </w:r>
    </w:p>
    <w:p>
      <w:pPr>
        <w:spacing w:after="120"/>
      </w:pPr>
      <w:r>
        <w:rPr>
          <w:b/>
          <w:bCs/>
        </w:rPr>
        <w:t xml:space="preserve">ID scheme.</w:t>
      </w:r>
      <w:r>
        <w:t xml:space="preserve"> Features </w:t>
      </w:r>
      <w:r>
        <w:rPr>
          <w:rFonts w:ascii="Consolas" w:cs="Consolas" w:eastAsia="Consolas" w:hAnsi="Consolas"/>
          <w:sz w:val="19"/>
          <w:szCs w:val="19"/>
        </w:rPr>
        <w:t xml:space="preserve">F-n</w:t>
      </w:r>
      <w:r>
        <w:t xml:space="preserve">, functional requirements </w:t>
      </w:r>
      <w:r>
        <w:rPr>
          <w:rFonts w:ascii="Consolas" w:cs="Consolas" w:eastAsia="Consolas" w:hAnsi="Consolas"/>
          <w:sz w:val="19"/>
          <w:szCs w:val="19"/>
        </w:rPr>
        <w:t xml:space="preserve">FR-n</w:t>
      </w:r>
      <w:r>
        <w:t xml:space="preserve">, non-functional requirements </w:t>
      </w:r>
      <w:r>
        <w:rPr>
          <w:rFonts w:ascii="Consolas" w:cs="Consolas" w:eastAsia="Consolas" w:hAnsi="Consolas"/>
          <w:sz w:val="19"/>
          <w:szCs w:val="19"/>
        </w:rPr>
        <w:t xml:space="preserve">NFR-n</w:t>
      </w:r>
      <w:r>
        <w:t xml:space="preserve">, goals </w:t>
      </w:r>
      <w:r>
        <w:rPr>
          <w:rFonts w:ascii="Consolas" w:cs="Consolas" w:eastAsia="Consolas" w:hAnsi="Consolas"/>
          <w:sz w:val="19"/>
          <w:szCs w:val="19"/>
        </w:rPr>
        <w:t xml:space="preserve">G#</w:t>
      </w:r>
      <w:r>
        <w:t xml:space="preserve">, non-goals </w:t>
      </w:r>
      <w:r>
        <w:rPr>
          <w:rFonts w:ascii="Consolas" w:cs="Consolas" w:eastAsia="Consolas" w:hAnsi="Consolas"/>
          <w:sz w:val="19"/>
          <w:szCs w:val="19"/>
        </w:rPr>
        <w:t xml:space="preserve">NG#</w:t>
      </w:r>
      <w:r>
        <w:t xml:space="preserve">, user stories </w:t>
      </w:r>
      <w:r>
        <w:rPr>
          <w:rFonts w:ascii="Consolas" w:cs="Consolas" w:eastAsia="Consolas" w:hAnsi="Consolas"/>
          <w:sz w:val="19"/>
          <w:szCs w:val="19"/>
        </w:rPr>
        <w:t xml:space="preserve">US-n</w:t>
      </w:r>
      <w:r>
        <w:t xml:space="preserve">, open questions </w:t>
      </w:r>
      <w:r>
        <w:rPr>
          <w:rFonts w:ascii="Consolas" w:cs="Consolas" w:eastAsia="Consolas" w:hAnsi="Consolas"/>
          <w:sz w:val="19"/>
          <w:szCs w:val="19"/>
        </w:rPr>
        <w:t xml:space="preserve">OQ-n</w:t>
      </w:r>
      <w:r>
        <w:t xml:space="preserve">. IDs are never renumbered.</w:t>
      </w:r>
    </w:p>
    <w:p>
      <w:pPr>
        <w:pStyle w:val="Heading1"/>
      </w:pPr>
      <w:r>
        <w:t xml:space="preserve">2. Goals</w:t>
      </w:r>
    </w:p>
    <w:p>
      <w:pPr>
        <w:pStyle w:val="ListParagraph"/>
        <w:numPr>
          <w:ilvl w:val="0"/>
          <w:numId w:val="2"/>
        </w:numPr>
        <w:spacing w:after="60"/>
      </w:pPr>
      <w:r>
        <w:rPr>
          <w:b/>
          <w:bCs/>
        </w:rPr>
        <w:t xml:space="preserve">G1</w:t>
      </w:r>
      <w:r>
        <w:t xml:space="preserve"> — Make a design session follow the five-step framework in order, with explicit confirmation at each step.</w:t>
      </w:r>
    </w:p>
    <w:p>
      <w:pPr>
        <w:pStyle w:val="ListParagraph"/>
        <w:numPr>
          <w:ilvl w:val="0"/>
          <w:numId w:val="2"/>
        </w:numPr>
        <w:spacing w:after="60"/>
      </w:pPr>
      <w:r>
        <w:rPr>
          <w:b/>
          <w:bCs/>
        </w:rPr>
        <w:t xml:space="preserve">G2</w:t>
      </w:r>
      <w:r>
        <w:t xml:space="preserve"> — Make every output traceable: every story traces to a requirement and a feature, and every ticket to a story.</w:t>
      </w:r>
    </w:p>
    <w:p>
      <w:pPr>
        <w:pStyle w:val="ListParagraph"/>
        <w:numPr>
          <w:ilvl w:val="0"/>
          <w:numId w:val="2"/>
        </w:numPr>
        <w:spacing w:after="60"/>
      </w:pPr>
      <w:r>
        <w:rPr>
          <w:b/>
          <w:bCs/>
        </w:rPr>
        <w:t xml:space="preserve">G3</w:t>
      </w:r>
      <w:r>
        <w:t xml:space="preserve"> — Eliminate scope creep after sign-off: nothing reaches the tickets or Jira that the user did not say or approve.</w:t>
      </w:r>
    </w:p>
    <w:p>
      <w:pPr>
        <w:pStyle w:val="ListParagraph"/>
        <w:numPr>
          <w:ilvl w:val="0"/>
          <w:numId w:val="2"/>
        </w:numPr>
        <w:spacing w:after="60"/>
      </w:pPr>
      <w:r>
        <w:rPr>
          <w:b/>
          <w:bCs/>
        </w:rPr>
        <w:t xml:space="preserve">G4</w:t>
      </w:r>
      <w:r>
        <w:t xml:space="preserve"> — Surface security, efficiency and maintainability gaps before sign-off, judged by a model other than the one that ran the interview.</w:t>
      </w:r>
    </w:p>
    <w:p>
      <w:pPr>
        <w:pStyle w:val="ListParagraph"/>
        <w:numPr>
          <w:ilvl w:val="0"/>
          <w:numId w:val="2"/>
        </w:numPr>
        <w:spacing w:after="60"/>
      </w:pPr>
      <w:r>
        <w:rPr>
          <w:b/>
          <w:bCs/>
        </w:rPr>
        <w:t xml:space="preserve">G5</w:t>
      </w:r>
      <w:r>
        <w:t xml:space="preserve"> — Teach while designing: feedback names the evaluation dimension it serves and quotes the evidence.</w:t>
      </w:r>
    </w:p>
    <w:p>
      <w:pPr>
        <w:pStyle w:val="Heading1"/>
      </w:pPr>
      <w:r>
        <w:t xml:space="preserve">3.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4460"/>
        <w:gridCol w:w="4000"/>
      </w:tblGrid>
      <w:tr>
        <w:trPr>
          <w:tblHeader/>
        </w:trPr>
        <w:tc>
          <w:tcPr>
            <w:tcW w:type="dxa" w:w="900"/>
            <w:tcBorders>
              <w:top w:val="single" w:color="D1D5DB" w:sz="4"/>
              <w:left w:val="single" w:color="D1D5DB" w:sz="4"/>
              <w:bottom w:val="single" w:color="D1D5DB" w:sz="4"/>
              <w:right w:val="single" w:color="D1D5DB" w:sz="4"/>
            </w:tcBorders>
            <w:shd w:fill="E5E7EB" w:color="auto" w:val="clear"/>
            <w:tcMar>
              <w:top w:type="dxa" w:w="60"/>
              <w:left w:type="dxa" w:w="100"/>
              <w:bottom w:type="dxa" w:w="60"/>
              <w:right w:type="dxa" w:w="100"/>
            </w:tcMar>
          </w:tcPr>
          <w:p>
            <w:pPr>
              <w:spacing w:after="0"/>
            </w:pPr>
            <w:r>
              <w:rPr>
                <w:b/>
                <w:bCs/>
              </w:rPr>
              <w:t xml:space="preserve">ID</w:t>
            </w:r>
          </w:p>
        </w:tc>
        <w:tc>
          <w:tcPr>
            <w:tcW w:type="dxa" w:w="4460"/>
            <w:tcBorders>
              <w:top w:val="single" w:color="D1D5DB" w:sz="4"/>
              <w:left w:val="single" w:color="D1D5DB" w:sz="4"/>
              <w:bottom w:val="single" w:color="D1D5DB" w:sz="4"/>
              <w:right w:val="single" w:color="D1D5DB" w:sz="4"/>
            </w:tcBorders>
            <w:shd w:fill="E5E7EB" w:color="auto" w:val="clear"/>
            <w:tcMar>
              <w:top w:type="dxa" w:w="60"/>
              <w:left w:type="dxa" w:w="100"/>
              <w:bottom w:type="dxa" w:w="60"/>
              <w:right w:type="dxa" w:w="100"/>
            </w:tcMar>
          </w:tcPr>
          <w:p>
            <w:pPr>
              <w:spacing w:after="0"/>
            </w:pPr>
            <w:r>
              <w:rPr>
                <w:b/>
                <w:bCs/>
              </w:rPr>
              <w:t xml:space="preserve">Feature</w:t>
            </w:r>
          </w:p>
        </w:tc>
        <w:tc>
          <w:tcPr>
            <w:tcW w:type="dxa" w:w="4000"/>
            <w:tcBorders>
              <w:top w:val="single" w:color="D1D5DB" w:sz="4"/>
              <w:left w:val="single" w:color="D1D5DB" w:sz="4"/>
              <w:bottom w:val="single" w:color="D1D5DB" w:sz="4"/>
              <w:right w:val="single" w:color="D1D5DB" w:sz="4"/>
            </w:tcBorders>
            <w:shd w:fill="E5E7EB" w:color="auto" w:val="clear"/>
            <w:tcMar>
              <w:top w:type="dxa" w:w="60"/>
              <w:left w:type="dxa" w:w="100"/>
              <w:bottom w:type="dxa" w:w="60"/>
              <w:right w:type="dxa" w:w="100"/>
            </w:tcMar>
          </w:tcPr>
          <w:p>
            <w:pPr>
              <w:spacing w:after="0"/>
            </w:pPr>
            <w:r>
              <w:rPr>
                <w:b/>
                <w:bCs/>
              </w:rPr>
              <w:t xml:space="preserve">Requirements</w:t>
            </w:r>
          </w:p>
        </w:tc>
      </w:tr>
      <w:tr>
        <w:trPr>
          <w:cantSplit/>
        </w:trPr>
        <w:tc>
          <w:tcPr>
            <w:tcW w:type="dxa" w:w="9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F-1</w:t>
            </w:r>
          </w:p>
        </w:tc>
        <w:tc>
          <w:tcPr>
            <w:tcW w:type="dxa" w:w="446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Sessions</w:t>
            </w:r>
          </w:p>
        </w:tc>
        <w:tc>
          <w:tcPr>
            <w:tcW w:type="dxa" w:w="40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FR-1</w:t>
            </w:r>
          </w:p>
        </w:tc>
      </w:tr>
      <w:tr>
        <w:trPr>
          <w:cantSplit/>
        </w:trPr>
        <w:tc>
          <w:tcPr>
            <w:tcW w:type="dxa" w:w="9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F-2</w:t>
            </w:r>
          </w:p>
        </w:tc>
        <w:tc>
          <w:tcPr>
            <w:tcW w:type="dxa" w:w="446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Guided interview</w:t>
            </w:r>
          </w:p>
        </w:tc>
        <w:tc>
          <w:tcPr>
            <w:tcW w:type="dxa" w:w="40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FR-2 to FR-10</w:t>
            </w:r>
          </w:p>
        </w:tc>
      </w:tr>
      <w:tr>
        <w:trPr>
          <w:cantSplit/>
        </w:trPr>
        <w:tc>
          <w:tcPr>
            <w:tcW w:type="dxa" w:w="9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F-3</w:t>
            </w:r>
          </w:p>
        </w:tc>
        <w:tc>
          <w:tcPr>
            <w:tcW w:type="dxa" w:w="446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Design review</w:t>
            </w:r>
          </w:p>
        </w:tc>
        <w:tc>
          <w:tcPr>
            <w:tcW w:type="dxa" w:w="40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FR-11 to FR-14</w:t>
            </w:r>
          </w:p>
        </w:tc>
      </w:tr>
      <w:tr>
        <w:trPr>
          <w:cantSplit/>
        </w:trPr>
        <w:tc>
          <w:tcPr>
            <w:tcW w:type="dxa" w:w="9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F-4</w:t>
            </w:r>
          </w:p>
        </w:tc>
        <w:tc>
          <w:tcPr>
            <w:tcW w:type="dxa" w:w="446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PRD drafting and sign-off</w:t>
            </w:r>
          </w:p>
        </w:tc>
        <w:tc>
          <w:tcPr>
            <w:tcW w:type="dxa" w:w="40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FR-15 to FR-17</w:t>
            </w:r>
          </w:p>
        </w:tc>
      </w:tr>
      <w:tr>
        <w:trPr>
          <w:cantSplit/>
        </w:trPr>
        <w:tc>
          <w:tcPr>
            <w:tcW w:type="dxa" w:w="9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F-5</w:t>
            </w:r>
          </w:p>
        </w:tc>
        <w:tc>
          <w:tcPr>
            <w:tcW w:type="dxa" w:w="446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Spec and ticket synthesis</w:t>
            </w:r>
          </w:p>
        </w:tc>
        <w:tc>
          <w:tcPr>
            <w:tcW w:type="dxa" w:w="40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FR-18 to FR-22</w:t>
            </w:r>
          </w:p>
        </w:tc>
      </w:tr>
      <w:tr>
        <w:trPr>
          <w:cantSplit/>
        </w:trPr>
        <w:tc>
          <w:tcPr>
            <w:tcW w:type="dxa" w:w="9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F-6</w:t>
            </w:r>
          </w:p>
        </w:tc>
        <w:tc>
          <w:tcPr>
            <w:tcW w:type="dxa" w:w="446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Documents and Jira hand-off</w:t>
            </w:r>
          </w:p>
        </w:tc>
        <w:tc>
          <w:tcPr>
            <w:tcW w:type="dxa" w:w="40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FR-23 to FR-29</w:t>
            </w:r>
          </w:p>
        </w:tc>
      </w:tr>
      <w:tr>
        <w:trPr>
          <w:cantSplit/>
        </w:trPr>
        <w:tc>
          <w:tcPr>
            <w:tcW w:type="dxa" w:w="9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F-7</w:t>
            </w:r>
          </w:p>
        </w:tc>
        <w:tc>
          <w:tcPr>
            <w:tcW w:type="dxa" w:w="446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Platform qualities</w:t>
            </w:r>
          </w:p>
        </w:tc>
        <w:tc>
          <w:tcPr>
            <w:tcW w:type="dxa" w:w="40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NFR-1 to NFR-13</w:t>
            </w:r>
          </w:p>
        </w:tc>
      </w:tr>
    </w:tbl>
    <w:p>
      <w:pPr>
        <w:spacing w:after="60"/>
      </w:pPr>
    </w:p>
    <w:p>
      <w:pPr>
        <w:pStyle w:val="Heading1"/>
      </w:pPr>
      <w:r>
        <w:t xml:space="preserve">4. 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20"/>
        <w:gridCol w:w="1080"/>
        <w:gridCol w:w="5560"/>
        <w:gridCol w:w="1900"/>
      </w:tblGrid>
      <w:tr>
        <w:trPr>
          <w:tblHeader/>
        </w:trPr>
        <w:tc>
          <w:tcPr>
            <w:tcW w:type="dxa" w:w="820"/>
            <w:tcBorders>
              <w:top w:val="single" w:color="D1D5DB" w:sz="4"/>
              <w:left w:val="single" w:color="D1D5DB" w:sz="4"/>
              <w:bottom w:val="single" w:color="D1D5DB" w:sz="4"/>
              <w:right w:val="single" w:color="D1D5DB" w:sz="4"/>
            </w:tcBorders>
            <w:shd w:fill="E5E7EB" w:color="auto" w:val="clear"/>
            <w:tcMar>
              <w:top w:type="dxa" w:w="60"/>
              <w:left w:type="dxa" w:w="100"/>
              <w:bottom w:type="dxa" w:w="60"/>
              <w:right w:type="dxa" w:w="100"/>
            </w:tcMar>
          </w:tcPr>
          <w:p>
            <w:pPr>
              <w:spacing w:after="0"/>
            </w:pPr>
            <w:r>
              <w:rPr>
                <w:b/>
                <w:bCs/>
              </w:rPr>
              <w:t xml:space="preserve">ID</w:t>
            </w:r>
          </w:p>
        </w:tc>
        <w:tc>
          <w:tcPr>
            <w:tcW w:type="dxa" w:w="1080"/>
            <w:tcBorders>
              <w:top w:val="single" w:color="D1D5DB" w:sz="4"/>
              <w:left w:val="single" w:color="D1D5DB" w:sz="4"/>
              <w:bottom w:val="single" w:color="D1D5DB" w:sz="4"/>
              <w:right w:val="single" w:color="D1D5DB" w:sz="4"/>
            </w:tcBorders>
            <w:shd w:fill="E5E7EB" w:color="auto" w:val="clear"/>
            <w:tcMar>
              <w:top w:type="dxa" w:w="60"/>
              <w:left w:type="dxa" w:w="100"/>
              <w:bottom w:type="dxa" w:w="60"/>
              <w:right w:type="dxa" w:w="100"/>
            </w:tcMar>
          </w:tcPr>
          <w:p>
            <w:pPr>
              <w:spacing w:after="0"/>
            </w:pPr>
            <w:r>
              <w:rPr>
                <w:b/>
                <w:bCs/>
              </w:rPr>
              <w:t xml:space="preserve">Feature</w:t>
            </w:r>
          </w:p>
        </w:tc>
        <w:tc>
          <w:tcPr>
            <w:tcW w:type="dxa" w:w="5560"/>
            <w:tcBorders>
              <w:top w:val="single" w:color="D1D5DB" w:sz="4"/>
              <w:left w:val="single" w:color="D1D5DB" w:sz="4"/>
              <w:bottom w:val="single" w:color="D1D5DB" w:sz="4"/>
              <w:right w:val="single" w:color="D1D5DB" w:sz="4"/>
            </w:tcBorders>
            <w:shd w:fill="E5E7EB" w:color="auto" w:val="clear"/>
            <w:tcMar>
              <w:top w:type="dxa" w:w="60"/>
              <w:left w:type="dxa" w:w="100"/>
              <w:bottom w:type="dxa" w:w="60"/>
              <w:right w:type="dxa" w:w="100"/>
            </w:tcMar>
          </w:tcPr>
          <w:p>
            <w:pPr>
              <w:spacing w:after="0"/>
            </w:pPr>
            <w:r>
              <w:rPr>
                <w:b/>
                <w:bCs/>
              </w:rPr>
              <w:t xml:space="preserve">Requirement</w:t>
            </w:r>
          </w:p>
        </w:tc>
        <w:tc>
          <w:tcPr>
            <w:tcW w:type="dxa" w:w="1900"/>
            <w:tcBorders>
              <w:top w:val="single" w:color="D1D5DB" w:sz="4"/>
              <w:left w:val="single" w:color="D1D5DB" w:sz="4"/>
              <w:bottom w:val="single" w:color="D1D5DB" w:sz="4"/>
              <w:right w:val="single" w:color="D1D5DB" w:sz="4"/>
            </w:tcBorders>
            <w:shd w:fill="E5E7EB" w:color="auto" w:val="clear"/>
            <w:tcMar>
              <w:top w:type="dxa" w:w="60"/>
              <w:left w:type="dxa" w:w="100"/>
              <w:bottom w:type="dxa" w:w="60"/>
              <w:right w:type="dxa" w:w="100"/>
            </w:tcMar>
          </w:tcPr>
          <w:p>
            <w:pPr>
              <w:spacing w:after="0"/>
            </w:pPr>
            <w:r>
              <w:rPr>
                <w:b/>
                <w:bCs/>
              </w:rPr>
              <w:t xml:space="preserve">User stories</w:t>
            </w:r>
          </w:p>
        </w:tc>
      </w:tr>
      <w:tr>
        <w:trPr>
          <w:cantSplit/>
        </w:trPr>
        <w:tc>
          <w:tcPr>
            <w:tcW w:type="dxa" w:w="82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FR-1</w:t>
            </w:r>
          </w:p>
        </w:tc>
        <w:tc>
          <w:tcPr>
            <w:tcW w:type="dxa" w:w="108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F-1</w:t>
            </w:r>
          </w:p>
        </w:tc>
        <w:tc>
          <w:tcPr>
            <w:tcW w:type="dxa" w:w="556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The user can create, name, rename, list, resume and delete design sessions.</w:t>
            </w:r>
          </w:p>
        </w:tc>
        <w:tc>
          <w:tcPr>
            <w:tcW w:type="dxa" w:w="19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US-1, US-2, US-3, US-4</w:t>
            </w:r>
          </w:p>
        </w:tc>
      </w:tr>
      <w:tr>
        <w:trPr>
          <w:cantSplit/>
        </w:trPr>
        <w:tc>
          <w:tcPr>
            <w:tcW w:type="dxa" w:w="82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FR-2</w:t>
            </w:r>
          </w:p>
        </w:tc>
        <w:tc>
          <w:tcPr>
            <w:tcW w:type="dxa" w:w="108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F-2</w:t>
            </w:r>
          </w:p>
        </w:tc>
        <w:tc>
          <w:tcPr>
            <w:tcW w:type="dxa" w:w="556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The interviewer's system prompt is built from the vendored project instructions and course context. It runs the five framework steps in order and records no components, flows, endpoints or storage choices until Step 1 is confirmed.</w:t>
            </w:r>
          </w:p>
        </w:tc>
        <w:tc>
          <w:tcPr>
            <w:tcW w:type="dxa" w:w="19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US-5, US-6</w:t>
            </w:r>
          </w:p>
        </w:tc>
      </w:tr>
      <w:tr>
        <w:trPr>
          <w:cantSplit/>
        </w:trPr>
        <w:tc>
          <w:tcPr>
            <w:tcW w:type="dxa" w:w="82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FR-3</w:t>
            </w:r>
          </w:p>
        </w:tc>
        <w:tc>
          <w:tcPr>
            <w:tcW w:type="dxa" w:w="108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F-2</w:t>
            </w:r>
          </w:p>
        </w:tc>
        <w:tc>
          <w:tcPr>
            <w:tcW w:type="dxa" w:w="556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When the user names a technology, the interviewer asks for a justification based on read/write ratio, consistency need, latency or throughput before recording the choice as decided.</w:t>
            </w:r>
          </w:p>
        </w:tc>
        <w:tc>
          <w:tcPr>
            <w:tcW w:type="dxa" w:w="19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US-8</w:t>
            </w:r>
          </w:p>
        </w:tc>
      </w:tr>
      <w:tr>
        <w:trPr>
          <w:cantSplit/>
        </w:trPr>
        <w:tc>
          <w:tcPr>
            <w:tcW w:type="dxa" w:w="82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FR-4</w:t>
            </w:r>
          </w:p>
        </w:tc>
        <w:tc>
          <w:tcPr>
            <w:tcW w:type="dxa" w:w="108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F-2</w:t>
            </w:r>
          </w:p>
        </w:tc>
        <w:tc>
          <w:tcPr>
            <w:tcW w:type="dxa" w:w="556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In Steps 3 and 4 the interviewer asks at least one failure-mode question and records the answer. Step 3 cannot be confirmed without a failure mode; Step 4 cannot be confirmed while any SPOF lacks a mitigation.</w:t>
            </w:r>
          </w:p>
        </w:tc>
        <w:tc>
          <w:tcPr>
            <w:tcW w:type="dxa" w:w="19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US-9</w:t>
            </w:r>
          </w:p>
        </w:tc>
      </w:tr>
      <w:tr>
        <w:trPr>
          <w:cantSplit/>
        </w:trPr>
        <w:tc>
          <w:tcPr>
            <w:tcW w:type="dxa" w:w="82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FR-5</w:t>
            </w:r>
          </w:p>
        </w:tc>
        <w:tc>
          <w:tcPr>
            <w:tcW w:type="dxa" w:w="108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F-2</w:t>
            </w:r>
          </w:p>
        </w:tc>
        <w:tc>
          <w:tcPr>
            <w:tcW w:type="dxa" w:w="556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The session holds a structured design record: functional requirements, non-functional targets with units, out-of-scope items, capacity estimates with formulas, entities and relationships, API endpoints, storage choices with justifications, components, read and write flows, the CAP stance, cache policies, SPOFs, failure modes, observability signals, trade-offs and extensions. Every item has a stable ID.</w:t>
            </w:r>
          </w:p>
        </w:tc>
        <w:tc>
          <w:tcPr>
            <w:tcW w:type="dxa" w:w="19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US-6, US-7, US-10, US-11</w:t>
            </w:r>
          </w:p>
        </w:tc>
      </w:tr>
      <w:tr>
        <w:trPr>
          <w:cantSplit/>
        </w:trPr>
        <w:tc>
          <w:tcPr>
            <w:tcW w:type="dxa" w:w="82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FR-6</w:t>
            </w:r>
          </w:p>
        </w:tc>
        <w:tc>
          <w:tcPr>
            <w:tcW w:type="dxa" w:w="108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F-2</w:t>
            </w:r>
          </w:p>
        </w:tc>
        <w:tc>
          <w:tcPr>
            <w:tcW w:type="dxa" w:w="556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A canvas shows the design record live. The user can add, edit and delete any item, and the interviewer acknowledges those edits by ID on its next turn.</w:t>
            </w:r>
          </w:p>
        </w:tc>
        <w:tc>
          <w:tcPr>
            <w:tcW w:type="dxa" w:w="19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US-12, US-13</w:t>
            </w:r>
          </w:p>
        </w:tc>
      </w:tr>
      <w:tr>
        <w:trPr>
          <w:cantSplit/>
        </w:trPr>
        <w:tc>
          <w:tcPr>
            <w:tcW w:type="dxa" w:w="82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FR-7</w:t>
            </w:r>
          </w:p>
        </w:tc>
        <w:tc>
          <w:tcPr>
            <w:tcW w:type="dxa" w:w="108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F-2</w:t>
            </w:r>
          </w:p>
        </w:tc>
        <w:tc>
          <w:tcPr>
            <w:tcW w:type="dxa" w:w="556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Moving to the next step requires the user to confirm the current step in an approval card; rejecting it requires a reason, and the interviewer continues the step.</w:t>
            </w:r>
          </w:p>
        </w:tc>
        <w:tc>
          <w:tcPr>
            <w:tcW w:type="dxa" w:w="19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US-15</w:t>
            </w:r>
          </w:p>
        </w:tc>
      </w:tr>
      <w:tr>
        <w:trPr>
          <w:cantSplit/>
        </w:trPr>
        <w:tc>
          <w:tcPr>
            <w:tcW w:type="dxa" w:w="82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FR-8</w:t>
            </w:r>
          </w:p>
        </w:tc>
        <w:tc>
          <w:tcPr>
            <w:tcW w:type="dxa" w:w="108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F-2</w:t>
            </w:r>
          </w:p>
        </w:tc>
        <w:tc>
          <w:tcPr>
            <w:tcW w:type="dxa" w:w="556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The canvas renders an architecture diagram generated from the recorded components and flows.</w:t>
            </w:r>
          </w:p>
        </w:tc>
        <w:tc>
          <w:tcPr>
            <w:tcW w:type="dxa" w:w="19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US-14</w:t>
            </w:r>
          </w:p>
        </w:tc>
      </w:tr>
      <w:tr>
        <w:trPr>
          <w:cantSplit/>
        </w:trPr>
        <w:tc>
          <w:tcPr>
            <w:tcW w:type="dxa" w:w="82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FR-9</w:t>
            </w:r>
          </w:p>
        </w:tc>
        <w:tc>
          <w:tcPr>
            <w:tcW w:type="dxa" w:w="108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F-2</w:t>
            </w:r>
          </w:p>
        </w:tc>
        <w:tc>
          <w:tcPr>
            <w:tcW w:type="dxa" w:w="556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After each confirmed step the interviewer gives a three-part critique (🟢 Strengths &amp; Alignment, ⚠️ Bottlenecks &amp; Unaddressed Trade-Offs, ❓ Probing / Next-Step Questions). After Step 5 it gives a scorecard across the five evaluation dimensions, each score backed by quoted evidence.</w:t>
            </w:r>
          </w:p>
        </w:tc>
        <w:tc>
          <w:tcPr>
            <w:tcW w:type="dxa" w:w="19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US-16</w:t>
            </w:r>
          </w:p>
        </w:tc>
      </w:tr>
      <w:tr>
        <w:trPr>
          <w:cantSplit/>
        </w:trPr>
        <w:tc>
          <w:tcPr>
            <w:tcW w:type="dxa" w:w="82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FR-10</w:t>
            </w:r>
          </w:p>
        </w:tc>
        <w:tc>
          <w:tcPr>
            <w:tcW w:type="dxa" w:w="108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F-2</w:t>
            </w:r>
          </w:p>
        </w:tc>
        <w:tc>
          <w:tcPr>
            <w:tcW w:type="dxa" w:w="556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When the design matches a reference blueprint (media streaming, reservations, real-time messaging), the interviewer names the pattern and its technique as something to consider, not as an answer.</w:t>
            </w:r>
          </w:p>
        </w:tc>
        <w:tc>
          <w:tcPr>
            <w:tcW w:type="dxa" w:w="19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US-17</w:t>
            </w:r>
          </w:p>
        </w:tc>
      </w:tr>
      <w:tr>
        <w:trPr>
          <w:cantSplit/>
        </w:trPr>
        <w:tc>
          <w:tcPr>
            <w:tcW w:type="dxa" w:w="82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FR-11</w:t>
            </w:r>
          </w:p>
        </w:tc>
        <w:tc>
          <w:tcPr>
            <w:tcW w:type="dxa" w:w="108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F-3</w:t>
            </w:r>
          </w:p>
        </w:tc>
        <w:tc>
          <w:tcPr>
            <w:tcW w:type="dxa" w:w="556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After Step 5 is confirmed, three reviewers running on the review model check the whole design record in parallel, one each for security, efficiency and maintainability. A merge step on the review model combines their findings into one gap register.</w:t>
            </w:r>
          </w:p>
        </w:tc>
        <w:tc>
          <w:tcPr>
            <w:tcW w:type="dxa" w:w="19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US-18</w:t>
            </w:r>
          </w:p>
        </w:tc>
      </w:tr>
      <w:tr>
        <w:trPr>
          <w:cantSplit/>
        </w:trPr>
        <w:tc>
          <w:tcPr>
            <w:tcW w:type="dxa" w:w="82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FR-12</w:t>
            </w:r>
          </w:p>
        </w:tc>
        <w:tc>
          <w:tcPr>
            <w:tcW w:type="dxa" w:w="108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F-3</w:t>
            </w:r>
          </w:p>
        </w:tc>
        <w:tc>
          <w:tcPr>
            <w:tcW w:type="dxa" w:w="556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Each gap has an ID (</w:t>
            </w:r>
            <w:r>
              <w:rPr>
                <w:rFonts w:ascii="Consolas" w:cs="Consolas" w:eastAsia="Consolas" w:hAnsi="Consolas"/>
                <w:sz w:val="19"/>
                <w:szCs w:val="19"/>
              </w:rPr>
              <w:t xml:space="preserve">GAP-n</w:t>
            </w:r>
            <w:r>
              <w:t xml:space="preserve">), a lens, the IDs of the design items it concerns, the risk, the decision needed, and a severity (high, medium or low). A gap that cites no existing item is discarded. The review never adds features, requirements or design items, and never recommends a solution.</w:t>
            </w:r>
          </w:p>
        </w:tc>
        <w:tc>
          <w:tcPr>
            <w:tcW w:type="dxa" w:w="19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US-19, US-20</w:t>
            </w:r>
          </w:p>
        </w:tc>
      </w:tr>
      <w:tr>
        <w:trPr>
          <w:cantSplit/>
        </w:trPr>
        <w:tc>
          <w:tcPr>
            <w:tcW w:type="dxa" w:w="82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FR-13</w:t>
            </w:r>
          </w:p>
        </w:tc>
        <w:tc>
          <w:tcPr>
            <w:tcW w:type="dxa" w:w="108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F-3</w:t>
            </w:r>
          </w:p>
        </w:tc>
        <w:tc>
          <w:tcPr>
            <w:tcW w:type="dxa" w:w="556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For each gap the user either answers it, and the interviewer records the answer as ordinary design items, or accepts it as an open risk with an optional note. PRD drafting waits until every gap is resolved or accepted.</w:t>
            </w:r>
          </w:p>
        </w:tc>
        <w:tc>
          <w:tcPr>
            <w:tcW w:type="dxa" w:w="19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US-21, US-22</w:t>
            </w:r>
          </w:p>
        </w:tc>
      </w:tr>
      <w:tr>
        <w:trPr>
          <w:cantSplit/>
        </w:trPr>
        <w:tc>
          <w:tcPr>
            <w:tcW w:type="dxa" w:w="82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FR-14</w:t>
            </w:r>
          </w:p>
        </w:tc>
        <w:tc>
          <w:tcPr>
            <w:tcW w:type="dxa" w:w="108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F-3</w:t>
            </w:r>
          </w:p>
        </w:tc>
        <w:tc>
          <w:tcPr>
            <w:tcW w:type="dxa" w:w="556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When the review model is configured to be the same model as the interview model, the review still runs, and the workspace shows a persistent warning that the cross-model check is not active.</w:t>
            </w:r>
          </w:p>
        </w:tc>
        <w:tc>
          <w:tcPr>
            <w:tcW w:type="dxa" w:w="19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US-23</w:t>
            </w:r>
          </w:p>
        </w:tc>
      </w:tr>
      <w:tr>
        <w:trPr>
          <w:cantSplit/>
        </w:trPr>
        <w:tc>
          <w:tcPr>
            <w:tcW w:type="dxa" w:w="82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FR-15</w:t>
            </w:r>
          </w:p>
        </w:tc>
        <w:tc>
          <w:tcPr>
            <w:tcW w:type="dxa" w:w="108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F-4</w:t>
            </w:r>
          </w:p>
        </w:tc>
        <w:tc>
          <w:tcPr>
            <w:tcW w:type="dxa" w:w="556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Once all gaps are settled, the agent drafts PRD v1.0 from the design record and gap register. It contains: problem statement, goals, users and stakeholders, features, functional requirements, non-functional requirements, scope and out-of-scope, and "Open gaps and accepted risks".</w:t>
            </w:r>
          </w:p>
        </w:tc>
        <w:tc>
          <w:tcPr>
            <w:tcW w:type="dxa" w:w="19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US-24, US-25, US-27</w:t>
            </w:r>
          </w:p>
        </w:tc>
      </w:tr>
      <w:tr>
        <w:trPr>
          <w:cantSplit/>
        </w:trPr>
        <w:tc>
          <w:tcPr>
            <w:tcW w:type="dxa" w:w="82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FR-16</w:t>
            </w:r>
          </w:p>
        </w:tc>
        <w:tc>
          <w:tcPr>
            <w:tcW w:type="dxa" w:w="108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F-4</w:t>
            </w:r>
          </w:p>
        </w:tc>
        <w:tc>
          <w:tcPr>
            <w:tcW w:type="dxa" w:w="556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Every functional requirement belongs to exactly one feature, and every feature groups at least one functional requirement.</w:t>
            </w:r>
          </w:p>
        </w:tc>
        <w:tc>
          <w:tcPr>
            <w:tcW w:type="dxa" w:w="19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US-25</w:t>
            </w:r>
          </w:p>
        </w:tc>
      </w:tr>
      <w:tr>
        <w:trPr>
          <w:cantSplit/>
        </w:trPr>
        <w:tc>
          <w:tcPr>
            <w:tcW w:type="dxa" w:w="82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FR-17</w:t>
            </w:r>
          </w:p>
        </w:tc>
        <w:tc>
          <w:tcPr>
            <w:tcW w:type="dxa" w:w="108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F-4</w:t>
            </w:r>
          </w:p>
        </w:tc>
        <w:tc>
          <w:tcPr>
            <w:tcW w:type="dxa" w:w="556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The user signs off PRD v1.0 in an approval card, or rejects it with a reason; the agent revises and re-presents until it is signed off. A signed-off version is frozen.</w:t>
            </w:r>
          </w:p>
        </w:tc>
        <w:tc>
          <w:tcPr>
            <w:tcW w:type="dxa" w:w="19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US-26</w:t>
            </w:r>
          </w:p>
        </w:tc>
      </w:tr>
      <w:tr>
        <w:trPr>
          <w:cantSplit/>
        </w:trPr>
        <w:tc>
          <w:tcPr>
            <w:tcW w:type="dxa" w:w="82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FR-18</w:t>
            </w:r>
          </w:p>
        </w:tc>
        <w:tc>
          <w:tcPr>
            <w:tcW w:type="dxa" w:w="108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F-5</w:t>
            </w:r>
          </w:p>
        </w:tc>
        <w:tc>
          <w:tcPr>
            <w:tcW w:type="dxa" w:w="556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The </w:t>
            </w:r>
            <w:r>
              <w:rPr>
                <w:rFonts w:ascii="Consolas" w:cs="Consolas" w:eastAsia="Consolas" w:hAnsi="Consolas"/>
                <w:sz w:val="19"/>
                <w:szCs w:val="19"/>
              </w:rPr>
              <w:t xml:space="preserve">to-spec</w:t>
            </w:r>
            <w:r>
              <w:t xml:space="preserve"> method produces PRD v1.1: the signed-off v1.0 sections copied word for word, plus a solution, a long list of user stories, implementation decisions, testing decisions and further notes. Open gaps appear verbatim in further notes. Every story traces to at least one FR or NFR and belongs to exactly one feature.</w:t>
            </w:r>
          </w:p>
        </w:tc>
        <w:tc>
          <w:tcPr>
            <w:tcW w:type="dxa" w:w="19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US-28, US-29</w:t>
            </w:r>
          </w:p>
        </w:tc>
      </w:tr>
      <w:tr>
        <w:trPr>
          <w:cantSplit/>
        </w:trPr>
        <w:tc>
          <w:tcPr>
            <w:tcW w:type="dxa" w:w="82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FR-19</w:t>
            </w:r>
          </w:p>
        </w:tc>
        <w:tc>
          <w:tcPr>
            <w:tcW w:type="dxa" w:w="108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F-5</w:t>
            </w:r>
          </w:p>
        </w:tc>
        <w:tc>
          <w:tcPr>
            <w:tcW w:type="dxa" w:w="556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If synthesis finds that signed-off content should change, it does not edit it. It lists each change under "Proposed changes", and the user approves or rejects each one. Approved changes produce PRD v1.2; rejected ones are dropped.</w:t>
            </w:r>
          </w:p>
        </w:tc>
        <w:tc>
          <w:tcPr>
            <w:tcW w:type="dxa" w:w="19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US-30</w:t>
            </w:r>
          </w:p>
        </w:tc>
      </w:tr>
      <w:tr>
        <w:trPr>
          <w:cantSplit/>
        </w:trPr>
        <w:tc>
          <w:tcPr>
            <w:tcW w:type="dxa" w:w="82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FR-20</w:t>
            </w:r>
          </w:p>
        </w:tc>
        <w:tc>
          <w:tcPr>
            <w:tcW w:type="dxa" w:w="108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F-5</w:t>
            </w:r>
          </w:p>
        </w:tc>
        <w:tc>
          <w:tcPr>
            <w:tcW w:type="dxa" w:w="556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Before PRD v1.1 is final, the user approves or edits the proposed test seams, following </w:t>
            </w:r>
            <w:r>
              <w:rPr>
                <w:rFonts w:ascii="Consolas" w:cs="Consolas" w:eastAsia="Consolas" w:hAnsi="Consolas"/>
                <w:sz w:val="19"/>
                <w:szCs w:val="19"/>
              </w:rPr>
              <w:t xml:space="preserve">to-spec</w:t>
            </w:r>
            <w:r>
              <w:t xml:space="preserve">'s seam check.</w:t>
            </w:r>
          </w:p>
        </w:tc>
        <w:tc>
          <w:tcPr>
            <w:tcW w:type="dxa" w:w="19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US-31</w:t>
            </w:r>
          </w:p>
        </w:tc>
      </w:tr>
      <w:tr>
        <w:trPr>
          <w:cantSplit/>
        </w:trPr>
        <w:tc>
          <w:tcPr>
            <w:tcW w:type="dxa" w:w="82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FR-21</w:t>
            </w:r>
          </w:p>
        </w:tc>
        <w:tc>
          <w:tcPr>
            <w:tcW w:type="dxa" w:w="108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F-5</w:t>
            </w:r>
          </w:p>
        </w:tc>
        <w:tc>
          <w:tcPr>
            <w:tcW w:type="dxa" w:w="556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The </w:t>
            </w:r>
            <w:r>
              <w:rPr>
                <w:rFonts w:ascii="Consolas" w:cs="Consolas" w:eastAsia="Consolas" w:hAnsi="Consolas"/>
                <w:sz w:val="19"/>
                <w:szCs w:val="19"/>
              </w:rPr>
              <w:t xml:space="preserve">to-tickets</w:t>
            </w:r>
            <w:r>
              <w:t xml:space="preserve"> method produces vertical-slice tickets, each with a title, what to build, blocking edges, acceptance criteria and at least one story. Every story is covered by at least one ticket. No ticket is created from an open gap.</w:t>
            </w:r>
          </w:p>
        </w:tc>
        <w:tc>
          <w:tcPr>
            <w:tcW w:type="dxa" w:w="19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US-32, US-35</w:t>
            </w:r>
          </w:p>
        </w:tc>
      </w:tr>
      <w:tr>
        <w:trPr>
          <w:cantSplit/>
        </w:trPr>
        <w:tc>
          <w:tcPr>
            <w:tcW w:type="dxa" w:w="82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FR-22</w:t>
            </w:r>
          </w:p>
        </w:tc>
        <w:tc>
          <w:tcPr>
            <w:tcW w:type="dxa" w:w="108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F-5</w:t>
            </w:r>
          </w:p>
        </w:tc>
        <w:tc>
          <w:tcPr>
            <w:tcW w:type="dxa" w:w="556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The user approves the ticket breakdown, or asks to merge, split or re-edge tickets in plain words, and the breakdown is regenerated until approved. A breakdown with a dependency cycle is rejected and the cycle is named.</w:t>
            </w:r>
          </w:p>
        </w:tc>
        <w:tc>
          <w:tcPr>
            <w:tcW w:type="dxa" w:w="19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US-33, US-34</w:t>
            </w:r>
          </w:p>
        </w:tc>
      </w:tr>
      <w:tr>
        <w:trPr>
          <w:cantSplit/>
        </w:trPr>
        <w:tc>
          <w:tcPr>
            <w:tcW w:type="dxa" w:w="82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FR-23</w:t>
            </w:r>
          </w:p>
        </w:tc>
        <w:tc>
          <w:tcPr>
            <w:tcW w:type="dxa" w:w="108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F-6</w:t>
            </w:r>
          </w:p>
        </w:tc>
        <w:tc>
          <w:tcPr>
            <w:tcW w:type="dxa" w:w="556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PRD v1.0.docx is downloadable once signed off; PRD v1.1.docx once seams are approved; PRD v1.2.docx once proposed changes are approved. Every version stays downloadable.</w:t>
            </w:r>
          </w:p>
        </w:tc>
        <w:tc>
          <w:tcPr>
            <w:tcW w:type="dxa" w:w="19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US-36</w:t>
            </w:r>
          </w:p>
        </w:tc>
      </w:tr>
      <w:tr>
        <w:trPr>
          <w:cantSplit/>
        </w:trPr>
        <w:tc>
          <w:tcPr>
            <w:tcW w:type="dxa" w:w="82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FR-24</w:t>
            </w:r>
          </w:p>
        </w:tc>
        <w:tc>
          <w:tcPr>
            <w:tcW w:type="dxa" w:w="108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F-6</w:t>
            </w:r>
          </w:p>
        </w:tc>
        <w:tc>
          <w:tcPr>
            <w:tcW w:type="dxa" w:w="556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Requirements.docx lists the functional and non-functional requirements with their features and the stories that cover each one, plus an appendix of open gaps and accepted risks.</w:t>
            </w:r>
          </w:p>
        </w:tc>
        <w:tc>
          <w:tcPr>
            <w:tcW w:type="dxa" w:w="19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US-37</w:t>
            </w:r>
          </w:p>
        </w:tc>
      </w:tr>
      <w:tr>
        <w:trPr>
          <w:cantSplit/>
        </w:trPr>
        <w:tc>
          <w:tcPr>
            <w:tcW w:type="dxa" w:w="82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FR-25</w:t>
            </w:r>
          </w:p>
        </w:tc>
        <w:tc>
          <w:tcPr>
            <w:tcW w:type="dxa" w:w="108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F-6</w:t>
            </w:r>
          </w:p>
        </w:tc>
        <w:tc>
          <w:tcPr>
            <w:tcW w:type="dxa" w:w="556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UserStories.docx lists the stories grouped by feature, each with its tickets; then every ticket with acceptance criteria and blocking edges; then the build waves.</w:t>
            </w:r>
          </w:p>
        </w:tc>
        <w:tc>
          <w:tcPr>
            <w:tcW w:type="dxa" w:w="19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US-38</w:t>
            </w:r>
          </w:p>
        </w:tc>
      </w:tr>
      <w:tr>
        <w:trPr>
          <w:cantSplit/>
        </w:trPr>
        <w:tc>
          <w:tcPr>
            <w:tcW w:type="dxa" w:w="82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FR-26</w:t>
            </w:r>
          </w:p>
        </w:tc>
        <w:tc>
          <w:tcPr>
            <w:tcW w:type="dxa" w:w="108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F-6</w:t>
            </w:r>
          </w:p>
        </w:tc>
        <w:tc>
          <w:tcPr>
            <w:tcW w:type="dxa" w:w="556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context.md is a self-contained prompt that any agent can follow to create Jira issues. It opens with an editable mapping table whose default is: Feature → Epic; User story → Story under its feature's Epic; Ticket → Task under the Epic of its first story, with "relates to" links to every story it delivers and "is blocked by" links to its blockers. It embeds every feature, story and ticket. It instructs the agent to create exactly those issues, to add none, to paste each open gap into the description of the affected Epic as text, to stop and ask when anything is ambiguous, and to return a table mapping every F-, US- and T- ID to its Jira key.</w:t>
            </w:r>
          </w:p>
        </w:tc>
        <w:tc>
          <w:tcPr>
            <w:tcW w:type="dxa" w:w="19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US-39, US-40, US-41, US-42</w:t>
            </w:r>
          </w:p>
        </w:tc>
      </w:tr>
      <w:tr>
        <w:trPr>
          <w:cantSplit/>
        </w:trPr>
        <w:tc>
          <w:tcPr>
            <w:tcW w:type="dxa" w:w="82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FR-27</w:t>
            </w:r>
          </w:p>
        </w:tc>
        <w:tc>
          <w:tcPr>
            <w:tcW w:type="dxa" w:w="108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F-6</w:t>
            </w:r>
          </w:p>
        </w:tc>
        <w:tc>
          <w:tcPr>
            <w:tcW w:type="dxa" w:w="556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When the tickets are approved, the session shows a completion view listing every document, each downloadable alone or all together as one zip.</w:t>
            </w:r>
          </w:p>
        </w:tc>
        <w:tc>
          <w:tcPr>
            <w:tcW w:type="dxa" w:w="19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US-43</w:t>
            </w:r>
          </w:p>
        </w:tc>
      </w:tr>
      <w:tr>
        <w:trPr>
          <w:cantSplit/>
        </w:trPr>
        <w:tc>
          <w:tcPr>
            <w:tcW w:type="dxa" w:w="82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FR-28</w:t>
            </w:r>
          </w:p>
        </w:tc>
        <w:tc>
          <w:tcPr>
            <w:tcW w:type="dxa" w:w="108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F-6</w:t>
            </w:r>
          </w:p>
        </w:tc>
        <w:tc>
          <w:tcPr>
            <w:tcW w:type="dxa" w:w="556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Exports are deterministic: rendering the same state twice produces byte-identical files of every kind.</w:t>
            </w:r>
          </w:p>
        </w:tc>
        <w:tc>
          <w:tcPr>
            <w:tcW w:type="dxa" w:w="19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US-44</w:t>
            </w:r>
          </w:p>
        </w:tc>
      </w:tr>
      <w:tr>
        <w:trPr>
          <w:cantSplit/>
        </w:trPr>
        <w:tc>
          <w:tcPr>
            <w:tcW w:type="dxa" w:w="82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FR-29</w:t>
            </w:r>
          </w:p>
        </w:tc>
        <w:tc>
          <w:tcPr>
            <w:tcW w:type="dxa" w:w="108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F-6</w:t>
            </w:r>
          </w:p>
        </w:tc>
        <w:tc>
          <w:tcPr>
            <w:tcW w:type="dxa" w:w="556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Requirements.docx, UserStories.docx and context.md are rendered from session data, with no model call during export, so they cannot disagree with the PRD.</w:t>
            </w:r>
          </w:p>
        </w:tc>
        <w:tc>
          <w:tcPr>
            <w:tcW w:type="dxa" w:w="19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US-44</w:t>
            </w:r>
          </w:p>
        </w:tc>
      </w:tr>
    </w:tbl>
    <w:p>
      <w:pPr>
        <w:spacing w:after="60"/>
      </w:pPr>
    </w:p>
    <w:p>
      <w:pPr>
        <w:pStyle w:val="Heading1"/>
      </w:pPr>
      <w:r>
        <w:t xml:space="preserve">5. Non-functional requirements</w:t>
      </w:r>
    </w:p>
    <w:p>
      <w:pPr>
        <w:spacing w:after="120"/>
      </w:pPr>
      <w:r>
        <w:t xml:space="preserve">Targets marked </w:t>
      </w:r>
      <w:r>
        <w:rPr>
          <w:i/>
          <w:iCs/>
        </w:rPr>
        <w:t xml:space="preserve">(proposed)</w:t>
      </w:r>
      <w:r>
        <w:t xml:space="preserve"> are not yet agreed; see Open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1400"/>
        <w:gridCol w:w="5560"/>
        <w:gridCol w:w="1500"/>
      </w:tblGrid>
      <w:tr>
        <w:trPr>
          <w:tblHeader/>
        </w:trPr>
        <w:tc>
          <w:tcPr>
            <w:tcW w:type="dxa" w:w="900"/>
            <w:tcBorders>
              <w:top w:val="single" w:color="D1D5DB" w:sz="4"/>
              <w:left w:val="single" w:color="D1D5DB" w:sz="4"/>
              <w:bottom w:val="single" w:color="D1D5DB" w:sz="4"/>
              <w:right w:val="single" w:color="D1D5DB" w:sz="4"/>
            </w:tcBorders>
            <w:shd w:fill="E5E7EB" w:color="auto" w:val="clear"/>
            <w:tcMar>
              <w:top w:type="dxa" w:w="60"/>
              <w:left w:type="dxa" w:w="100"/>
              <w:bottom w:type="dxa" w:w="60"/>
              <w:right w:type="dxa" w:w="100"/>
            </w:tcMar>
          </w:tcPr>
          <w:p>
            <w:pPr>
              <w:spacing w:after="0"/>
            </w:pPr>
            <w:r>
              <w:rPr>
                <w:b/>
                <w:bCs/>
              </w:rPr>
              <w:t xml:space="preserve">ID</w:t>
            </w:r>
          </w:p>
        </w:tc>
        <w:tc>
          <w:tcPr>
            <w:tcW w:type="dxa" w:w="1400"/>
            <w:tcBorders>
              <w:top w:val="single" w:color="D1D5DB" w:sz="4"/>
              <w:left w:val="single" w:color="D1D5DB" w:sz="4"/>
              <w:bottom w:val="single" w:color="D1D5DB" w:sz="4"/>
              <w:right w:val="single" w:color="D1D5DB" w:sz="4"/>
            </w:tcBorders>
            <w:shd w:fill="E5E7EB" w:color="auto" w:val="clear"/>
            <w:tcMar>
              <w:top w:type="dxa" w:w="60"/>
              <w:left w:type="dxa" w:w="100"/>
              <w:bottom w:type="dxa" w:w="60"/>
              <w:right w:type="dxa" w:w="100"/>
            </w:tcMar>
          </w:tcPr>
          <w:p>
            <w:pPr>
              <w:spacing w:after="0"/>
            </w:pPr>
            <w:r>
              <w:rPr>
                <w:b/>
                <w:bCs/>
              </w:rPr>
              <w:t xml:space="preserve">Category</w:t>
            </w:r>
          </w:p>
        </w:tc>
        <w:tc>
          <w:tcPr>
            <w:tcW w:type="dxa" w:w="5560"/>
            <w:tcBorders>
              <w:top w:val="single" w:color="D1D5DB" w:sz="4"/>
              <w:left w:val="single" w:color="D1D5DB" w:sz="4"/>
              <w:bottom w:val="single" w:color="D1D5DB" w:sz="4"/>
              <w:right w:val="single" w:color="D1D5DB" w:sz="4"/>
            </w:tcBorders>
            <w:shd w:fill="E5E7EB" w:color="auto" w:val="clear"/>
            <w:tcMar>
              <w:top w:type="dxa" w:w="60"/>
              <w:left w:type="dxa" w:w="100"/>
              <w:bottom w:type="dxa" w:w="60"/>
              <w:right w:type="dxa" w:w="100"/>
            </w:tcMar>
          </w:tcPr>
          <w:p>
            <w:pPr>
              <w:spacing w:after="0"/>
            </w:pPr>
            <w:r>
              <w:rPr>
                <w:b/>
                <w:bCs/>
              </w:rPr>
              <w:t xml:space="preserve">Requirement</w:t>
            </w:r>
          </w:p>
        </w:tc>
        <w:tc>
          <w:tcPr>
            <w:tcW w:type="dxa" w:w="1500"/>
            <w:tcBorders>
              <w:top w:val="single" w:color="D1D5DB" w:sz="4"/>
              <w:left w:val="single" w:color="D1D5DB" w:sz="4"/>
              <w:bottom w:val="single" w:color="D1D5DB" w:sz="4"/>
              <w:right w:val="single" w:color="D1D5DB" w:sz="4"/>
            </w:tcBorders>
            <w:shd w:fill="E5E7EB" w:color="auto" w:val="clear"/>
            <w:tcMar>
              <w:top w:type="dxa" w:w="60"/>
              <w:left w:type="dxa" w:w="100"/>
              <w:bottom w:type="dxa" w:w="60"/>
              <w:right w:type="dxa" w:w="100"/>
            </w:tcMar>
          </w:tcPr>
          <w:p>
            <w:pPr>
              <w:spacing w:after="0"/>
            </w:pPr>
            <w:r>
              <w:rPr>
                <w:b/>
                <w:bCs/>
              </w:rPr>
              <w:t xml:space="preserve">User stories</w:t>
            </w:r>
          </w:p>
        </w:tc>
      </w:tr>
      <w:tr>
        <w:trPr>
          <w:cantSplit/>
        </w:trPr>
        <w:tc>
          <w:tcPr>
            <w:tcW w:type="dxa" w:w="9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NFR-1</w:t>
            </w:r>
          </w:p>
        </w:tc>
        <w:tc>
          <w:tcPr>
            <w:tcW w:type="dxa" w:w="14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Latency</w:t>
            </w:r>
          </w:p>
        </w:tc>
        <w:tc>
          <w:tcPr>
            <w:tcW w:type="dxa" w:w="556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The first streamed token of an interviewer reply appears within 3 s at p95, measured at the client, excluding provider outages. </w:t>
            </w:r>
            <w:r>
              <w:rPr>
                <w:i/>
                <w:iCs/>
              </w:rPr>
              <w:t xml:space="preserve">(proposed)</w:t>
            </w:r>
          </w:p>
        </w:tc>
        <w:tc>
          <w:tcPr>
            <w:tcW w:type="dxa" w:w="15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US-45</w:t>
            </w:r>
          </w:p>
        </w:tc>
      </w:tr>
      <w:tr>
        <w:trPr>
          <w:cantSplit/>
        </w:trPr>
        <w:tc>
          <w:tcPr>
            <w:tcW w:type="dxa" w:w="9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NFR-2</w:t>
            </w:r>
          </w:p>
        </w:tc>
        <w:tc>
          <w:tcPr>
            <w:tcW w:type="dxa" w:w="14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Latency</w:t>
            </w:r>
          </w:p>
        </w:tc>
        <w:tc>
          <w:tcPr>
            <w:tcW w:type="dxa" w:w="556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Generating all downloads for a session with up to 50 tickets takes at most 10 s at p95. </w:t>
            </w:r>
            <w:r>
              <w:rPr>
                <w:i/>
                <w:iCs/>
              </w:rPr>
              <w:t xml:space="preserve">(proposed)</w:t>
            </w:r>
          </w:p>
        </w:tc>
        <w:tc>
          <w:tcPr>
            <w:tcW w:type="dxa" w:w="15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US-45</w:t>
            </w:r>
          </w:p>
        </w:tc>
      </w:tr>
      <w:tr>
        <w:trPr>
          <w:cantSplit/>
        </w:trPr>
        <w:tc>
          <w:tcPr>
            <w:tcW w:type="dxa" w:w="9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NFR-3</w:t>
            </w:r>
          </w:p>
        </w:tc>
        <w:tc>
          <w:tcPr>
            <w:tcW w:type="dxa" w:w="14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Durability</w:t>
            </w:r>
          </w:p>
        </w:tc>
        <w:tc>
          <w:tcPr>
            <w:tcW w:type="dxa" w:w="556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Session state survives a backend restart. No confirmed step, resolved gap, signed-off PRD version or approved breakdown is lost.</w:t>
            </w:r>
          </w:p>
        </w:tc>
        <w:tc>
          <w:tcPr>
            <w:tcW w:type="dxa" w:w="15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US-3</w:t>
            </w:r>
          </w:p>
        </w:tc>
      </w:tr>
      <w:tr>
        <w:trPr>
          <w:cantSplit/>
        </w:trPr>
        <w:tc>
          <w:tcPr>
            <w:tcW w:type="dxa" w:w="9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NFR-4</w:t>
            </w:r>
          </w:p>
        </w:tc>
        <w:tc>
          <w:tcPr>
            <w:tcW w:type="dxa" w:w="14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Cost</w:t>
            </w:r>
          </w:p>
        </w:tc>
        <w:tc>
          <w:tcPr>
            <w:tcW w:type="dxa" w:w="556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Each session has a configurable token budget covering both models. The app warns at 80 % and blocks new model calls at 100 %. Default 2,000,000 tokens. </w:t>
            </w:r>
            <w:r>
              <w:rPr>
                <w:i/>
                <w:iCs/>
              </w:rPr>
              <w:t xml:space="preserve">(proposed)</w:t>
            </w:r>
          </w:p>
        </w:tc>
        <w:tc>
          <w:tcPr>
            <w:tcW w:type="dxa" w:w="15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US-46</w:t>
            </w:r>
          </w:p>
        </w:tc>
      </w:tr>
      <w:tr>
        <w:trPr>
          <w:cantSplit/>
        </w:trPr>
        <w:tc>
          <w:tcPr>
            <w:tcW w:type="dxa" w:w="9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NFR-5</w:t>
            </w:r>
          </w:p>
        </w:tc>
        <w:tc>
          <w:tcPr>
            <w:tcW w:type="dxa" w:w="14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Resilience</w:t>
            </w:r>
          </w:p>
        </w:tc>
        <w:tc>
          <w:tcPr>
            <w:tcW w:type="dxa" w:w="556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Model-provider errors (HTTP 429, 5xx, timeouts) are retried with exponential backoff up to 3 times, then shown with a retry action. A failed call never leaves state half-written.</w:t>
            </w:r>
          </w:p>
        </w:tc>
        <w:tc>
          <w:tcPr>
            <w:tcW w:type="dxa" w:w="15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US-47</w:t>
            </w:r>
          </w:p>
        </w:tc>
      </w:tr>
      <w:tr>
        <w:trPr>
          <w:cantSplit/>
        </w:trPr>
        <w:tc>
          <w:tcPr>
            <w:tcW w:type="dxa" w:w="9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NFR-6</w:t>
            </w:r>
          </w:p>
        </w:tc>
        <w:tc>
          <w:tcPr>
            <w:tcW w:type="dxa" w:w="14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Security</w:t>
            </w:r>
          </w:p>
        </w:tc>
        <w:tc>
          <w:tcPr>
            <w:tcW w:type="dxa" w:w="556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Provider API keys live only on the server. No secret appears in the client bundle, logs or any download.</w:t>
            </w:r>
          </w:p>
        </w:tc>
        <w:tc>
          <w:tcPr>
            <w:tcW w:type="dxa" w:w="15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US-48</w:t>
            </w:r>
          </w:p>
        </w:tc>
      </w:tr>
      <w:tr>
        <w:trPr>
          <w:cantSplit/>
        </w:trPr>
        <w:tc>
          <w:tcPr>
            <w:tcW w:type="dxa" w:w="9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NFR-7</w:t>
            </w:r>
          </w:p>
        </w:tc>
        <w:tc>
          <w:tcPr>
            <w:tcW w:type="dxa" w:w="14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Accessibility</w:t>
            </w:r>
          </w:p>
        </w:tc>
        <w:tc>
          <w:tcPr>
            <w:tcW w:type="dxa" w:w="556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The canvas, approval cards, gap register and downloads view meet WCAG 2.1 AA and are fully keyboard-operable.</w:t>
            </w:r>
          </w:p>
        </w:tc>
        <w:tc>
          <w:tcPr>
            <w:tcW w:type="dxa" w:w="15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US-49</w:t>
            </w:r>
          </w:p>
        </w:tc>
      </w:tr>
      <w:tr>
        <w:trPr>
          <w:cantSplit/>
        </w:trPr>
        <w:tc>
          <w:tcPr>
            <w:tcW w:type="dxa" w:w="9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NFR-8</w:t>
            </w:r>
          </w:p>
        </w:tc>
        <w:tc>
          <w:tcPr>
            <w:tcW w:type="dxa" w:w="14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Observability</w:t>
            </w:r>
          </w:p>
        </w:tc>
        <w:tc>
          <w:tcPr>
            <w:tcW w:type="dxa" w:w="556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Logs are structured JSON with session ID, graph node, model role and latency. Token use is recorded per node and per model role. LangSmith tracing can be switched on by environment variable.</w:t>
            </w:r>
          </w:p>
        </w:tc>
        <w:tc>
          <w:tcPr>
            <w:tcW w:type="dxa" w:w="15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US-50</w:t>
            </w:r>
          </w:p>
        </w:tc>
      </w:tr>
      <w:tr>
        <w:trPr>
          <w:cantSplit/>
        </w:trPr>
        <w:tc>
          <w:tcPr>
            <w:tcW w:type="dxa" w:w="9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NFR-9</w:t>
            </w:r>
          </w:p>
        </w:tc>
        <w:tc>
          <w:tcPr>
            <w:tcW w:type="dxa" w:w="14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Portability</w:t>
            </w:r>
          </w:p>
        </w:tc>
        <w:tc>
          <w:tcPr>
            <w:tcW w:type="dxa" w:w="556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The whole system runs locally with one </w:t>
            </w:r>
            <w:r>
              <w:rPr>
                <w:rFonts w:ascii="Consolas" w:cs="Consolas" w:eastAsia="Consolas" w:hAnsi="Consolas"/>
                <w:sz w:val="19"/>
                <w:szCs w:val="19"/>
              </w:rPr>
              <w:t xml:space="preserve">docker compose up</w:t>
            </w:r>
            <w:r>
              <w:t xml:space="preserve"> and one </w:t>
            </w:r>
            <w:r>
              <w:rPr>
                <w:rFonts w:ascii="Consolas" w:cs="Consolas" w:eastAsia="Consolas" w:hAnsi="Consolas"/>
                <w:sz w:val="19"/>
                <w:szCs w:val="19"/>
              </w:rPr>
              <w:t xml:space="preserve">.env</w:t>
            </w:r>
            <w:r>
              <w:t xml:space="preserve"> file.</w:t>
            </w:r>
          </w:p>
        </w:tc>
        <w:tc>
          <w:tcPr>
            <w:tcW w:type="dxa" w:w="15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US-51</w:t>
            </w:r>
          </w:p>
        </w:tc>
      </w:tr>
      <w:tr>
        <w:trPr>
          <w:cantSplit/>
        </w:trPr>
        <w:tc>
          <w:tcPr>
            <w:tcW w:type="dxa" w:w="9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NFR-10</w:t>
            </w:r>
          </w:p>
        </w:tc>
        <w:tc>
          <w:tcPr>
            <w:tcW w:type="dxa" w:w="14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Configurability</w:t>
            </w:r>
          </w:p>
        </w:tc>
        <w:tc>
          <w:tcPr>
            <w:tcW w:type="dxa" w:w="556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The app is model-agnostic. The interview model and the review model are configured separately (provider, model name, base URL, key). Any OpenAI-compatible Chat Completions endpoint works, and Anthropic is supported natively. Both models must support tool calling and structured output, and the app checks both at startup.</w:t>
            </w:r>
          </w:p>
        </w:tc>
        <w:tc>
          <w:tcPr>
            <w:tcW w:type="dxa" w:w="15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US-23, US-52</w:t>
            </w:r>
          </w:p>
        </w:tc>
      </w:tr>
      <w:tr>
        <w:trPr>
          <w:cantSplit/>
        </w:trPr>
        <w:tc>
          <w:tcPr>
            <w:tcW w:type="dxa" w:w="9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NFR-11</w:t>
            </w:r>
          </w:p>
        </w:tc>
        <w:tc>
          <w:tcPr>
            <w:tcW w:type="dxa" w:w="14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Compatibility</w:t>
            </w:r>
          </w:p>
        </w:tc>
        <w:tc>
          <w:tcPr>
            <w:tcW w:type="dxa" w:w="556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Every .docx opens without a repair prompt in Microsoft Word 365, LibreOffice 24 or later, and Google Docs.</w:t>
            </w:r>
          </w:p>
        </w:tc>
        <w:tc>
          <w:tcPr>
            <w:tcW w:type="dxa" w:w="15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US-53</w:t>
            </w:r>
          </w:p>
        </w:tc>
      </w:tr>
      <w:tr>
        <w:trPr>
          <w:cantSplit/>
        </w:trPr>
        <w:tc>
          <w:tcPr>
            <w:tcW w:type="dxa" w:w="9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NFR-12</w:t>
            </w:r>
          </w:p>
        </w:tc>
        <w:tc>
          <w:tcPr>
            <w:tcW w:type="dxa" w:w="14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Scale</w:t>
            </w:r>
          </w:p>
        </w:tc>
        <w:tc>
          <w:tcPr>
            <w:tcW w:type="dxa" w:w="556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Single-user, self-hosted. One instance supports at least 5 concurrent sessions. Multi-tenancy is not required.</w:t>
            </w:r>
          </w:p>
        </w:tc>
        <w:tc>
          <w:tcPr>
            <w:tcW w:type="dxa" w:w="15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US-54</w:t>
            </w:r>
          </w:p>
        </w:tc>
      </w:tr>
      <w:tr>
        <w:trPr>
          <w:cantSplit/>
        </w:trPr>
        <w:tc>
          <w:tcPr>
            <w:tcW w:type="dxa" w:w="9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NFR-13</w:t>
            </w:r>
          </w:p>
        </w:tc>
        <w:tc>
          <w:tcPr>
            <w:tcW w:type="dxa" w:w="14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Licensing</w:t>
            </w:r>
          </w:p>
        </w:tc>
        <w:tc>
          <w:tcPr>
            <w:tcW w:type="dxa" w:w="556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Vendored third-party prompt text (</w:t>
            </w:r>
            <w:r>
              <w:rPr>
                <w:rFonts w:ascii="Consolas" w:cs="Consolas" w:eastAsia="Consolas" w:hAnsi="Consolas"/>
                <w:sz w:val="19"/>
                <w:szCs w:val="19"/>
              </w:rPr>
              <w:t xml:space="preserve">to-spec</w:t>
            </w:r>
            <w:r>
              <w:t xml:space="preserve">, </w:t>
            </w:r>
            <w:r>
              <w:rPr>
                <w:rFonts w:ascii="Consolas" w:cs="Consolas" w:eastAsia="Consolas" w:hAnsi="Consolas"/>
                <w:sz w:val="19"/>
                <w:szCs w:val="19"/>
              </w:rPr>
              <w:t xml:space="preserve">to-tickets</w:t>
            </w:r>
            <w:r>
              <w:t xml:space="preserve">) is used verbatim with its MIT licence and attribution, both in the repository and in documents derived from it.</w:t>
            </w:r>
          </w:p>
        </w:tc>
        <w:tc>
          <w:tcPr>
            <w:tcW w:type="dxa" w:w="15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US-55</w:t>
            </w:r>
          </w:p>
        </w:tc>
      </w:tr>
    </w:tbl>
    <w:p>
      <w:pPr>
        <w:spacing w:after="60"/>
      </w:pPr>
    </w:p>
    <w:p>
      <w:pPr>
        <w:pStyle w:val="Heading1"/>
      </w:pPr>
      <w:r>
        <w:t xml:space="preserve">6. Out of scope</w:t>
      </w:r>
    </w:p>
    <w:p>
      <w:pPr>
        <w:pStyle w:val="ListParagraph"/>
        <w:numPr>
          <w:ilvl w:val="0"/>
          <w:numId w:val="2"/>
        </w:numPr>
        <w:spacing w:after="60"/>
      </w:pPr>
      <w:r>
        <w:rPr>
          <w:b/>
          <w:bCs/>
        </w:rPr>
        <w:t xml:space="preserve">NG1</w:t>
      </w:r>
      <w:r>
        <w:t xml:space="preserve"> — Accounts, authentication, sharing and real-time collaboration.</w:t>
      </w:r>
    </w:p>
    <w:p>
      <w:pPr>
        <w:pStyle w:val="ListParagraph"/>
        <w:numPr>
          <w:ilvl w:val="0"/>
          <w:numId w:val="2"/>
        </w:numPr>
        <w:spacing w:after="60"/>
      </w:pPr>
      <w:r>
        <w:rPr>
          <w:b/>
          <w:bCs/>
        </w:rPr>
        <w:t xml:space="preserve">NG2</w:t>
      </w:r>
      <w:r>
        <w:t xml:space="preserve"> — The app creating Jira issues itself. It produces context.md; a separate agent of the user's choice creates the issues.</w:t>
      </w:r>
    </w:p>
    <w:p>
      <w:pPr>
        <w:pStyle w:val="ListParagraph"/>
        <w:numPr>
          <w:ilvl w:val="0"/>
          <w:numId w:val="2"/>
        </w:numPr>
        <w:spacing w:after="60"/>
      </w:pPr>
      <w:r>
        <w:rPr>
          <w:b/>
          <w:bCs/>
        </w:rPr>
        <w:t xml:space="preserve">NG3</w:t>
      </w:r>
      <w:r>
        <w:t xml:space="preserve"> — Generating a project skeleton or any application code for the designed system.</w:t>
      </w:r>
    </w:p>
    <w:p>
      <w:pPr>
        <w:pStyle w:val="ListParagraph"/>
        <w:numPr>
          <w:ilvl w:val="0"/>
          <w:numId w:val="2"/>
        </w:numPr>
        <w:spacing w:after="60"/>
      </w:pPr>
      <w:r>
        <w:rPr>
          <w:b/>
          <w:bCs/>
        </w:rPr>
        <w:t xml:space="preserve">NG4</w:t>
      </w:r>
      <w:r>
        <w:t xml:space="preserve"> — Publishing tickets to any other tracker.</w:t>
      </w:r>
    </w:p>
    <w:p>
      <w:pPr>
        <w:pStyle w:val="ListParagraph"/>
        <w:numPr>
          <w:ilvl w:val="0"/>
          <w:numId w:val="2"/>
        </w:numPr>
        <w:spacing w:after="60"/>
      </w:pPr>
      <w:r>
        <w:rPr>
          <w:b/>
          <w:bCs/>
        </w:rPr>
        <w:t xml:space="preserve">NG5</w:t>
      </w:r>
      <w:r>
        <w:t xml:space="preserve"> — Voice input, native mobile apps and billing.</w:t>
      </w:r>
    </w:p>
    <w:p>
      <w:pPr>
        <w:pStyle w:val="ListParagraph"/>
        <w:numPr>
          <w:ilvl w:val="0"/>
          <w:numId w:val="2"/>
        </w:numPr>
        <w:spacing w:after="60"/>
      </w:pPr>
      <w:r>
        <w:rPr>
          <w:b/>
          <w:bCs/>
        </w:rPr>
        <w:t xml:space="preserve">NG6</w:t>
      </w:r>
      <w:r>
        <w:t xml:space="preserve"> — Importing an existing design from an image or a whiteboard photo.</w:t>
      </w:r>
    </w:p>
    <w:p>
      <w:pPr>
        <w:pStyle w:val="Heading1"/>
      </w:pPr>
      <w:r>
        <w:t xml:space="preserve">7. Open questions</w:t>
      </w:r>
    </w:p>
    <w:p>
      <w:pPr>
        <w:spacing w:after="120"/>
      </w:pPr>
      <w:r>
        <w:t xml:space="preserve">Open questions. When the build reaches one of these, stop and ask rather than guess:</w:t>
      </w:r>
    </w:p>
    <w:p>
      <w:pPr>
        <w:pStyle w:val="ListParagraph"/>
        <w:numPr>
          <w:ilvl w:val="0"/>
          <w:numId w:val="2"/>
        </w:numPr>
        <w:spacing w:after="60"/>
      </w:pPr>
      <w:r>
        <w:rPr>
          <w:b/>
          <w:bCs/>
        </w:rPr>
        <w:t xml:space="preserve">OQ-1</w:t>
      </w:r>
      <w:r>
        <w:t xml:space="preserve"> — CopilotKit's human-in-the-loop page says LangGraph Python does not support interrupts, while describing </w:t>
      </w:r>
      <w:r>
        <w:rPr>
          <w:rFonts w:ascii="Consolas" w:cs="Consolas" w:eastAsia="Consolas" w:hAnsi="Consolas"/>
          <w:sz w:val="19"/>
          <w:szCs w:val="19"/>
        </w:rPr>
        <w:t xml:space="preserve">useInterrupt</w:t>
      </w:r>
      <w:r>
        <w:t xml:space="preserve"> as built on LangGraph's </w:t>
      </w:r>
      <w:r>
        <w:rPr>
          <w:rFonts w:ascii="Consolas" w:cs="Consolas" w:eastAsia="Consolas" w:hAnsi="Consolas"/>
          <w:sz w:val="19"/>
          <w:szCs w:val="19"/>
        </w:rPr>
        <w:t xml:space="preserve">interrupt()</w:t>
      </w:r>
      <w:r>
        <w:t xml:space="preserve">. D5 avoids the question; confirm before anyone switches gates to interrupts.</w:t>
      </w:r>
    </w:p>
    <w:p>
      <w:pPr>
        <w:pStyle w:val="ListParagraph"/>
        <w:numPr>
          <w:ilvl w:val="0"/>
          <w:numId w:val="2"/>
        </w:numPr>
        <w:spacing w:after="60"/>
      </w:pPr>
      <w:r>
        <w:rPr>
          <w:b/>
          <w:bCs/>
        </w:rPr>
        <w:t xml:space="preserve">OQ-2</w:t>
      </w:r>
      <w:r>
        <w:t xml:space="preserve"> — CopilotKit documents frontend-tool forwarding through </w:t>
      </w:r>
      <w:r>
        <w:rPr>
          <w:rFonts w:ascii="Consolas" w:cs="Consolas" w:eastAsia="Consolas" w:hAnsi="Consolas"/>
          <w:sz w:val="19"/>
          <w:szCs w:val="19"/>
        </w:rPr>
        <w:t xml:space="preserve">CopilotKitMiddleware</w:t>
      </w:r>
      <w:r>
        <w:t xml:space="preserve"> for </w:t>
      </w:r>
      <w:r>
        <w:rPr>
          <w:rFonts w:ascii="Consolas" w:cs="Consolas" w:eastAsia="Consolas" w:hAnsi="Consolas"/>
          <w:sz w:val="19"/>
          <w:szCs w:val="19"/>
        </w:rPr>
        <w:t xml:space="preserve">create_agent</w:t>
      </w:r>
      <w:r>
        <w:t xml:space="preserve">. Confirm that frontend tools reach nodes of a hand-built </w:t>
      </w:r>
      <w:r>
        <w:rPr>
          <w:rFonts w:ascii="Consolas" w:cs="Consolas" w:eastAsia="Consolas" w:hAnsi="Consolas"/>
          <w:sz w:val="19"/>
          <w:szCs w:val="19"/>
        </w:rPr>
        <w:t xml:space="preserve">StateGraph</w:t>
      </w:r>
      <w:r>
        <w:t xml:space="preserve">, or run the interviewer as a </w:t>
      </w:r>
      <w:r>
        <w:rPr>
          <w:rFonts w:ascii="Consolas" w:cs="Consolas" w:eastAsia="Consolas" w:hAnsi="Consolas"/>
          <w:sz w:val="19"/>
          <w:szCs w:val="19"/>
        </w:rPr>
        <w:t xml:space="preserve">create_agent</w:t>
      </w:r>
      <w:r>
        <w:t xml:space="preserve"> subgraph inside it.</w:t>
      </w:r>
    </w:p>
    <w:p>
      <w:pPr>
        <w:pStyle w:val="ListParagraph"/>
        <w:numPr>
          <w:ilvl w:val="0"/>
          <w:numId w:val="2"/>
        </w:numPr>
        <w:spacing w:after="60"/>
      </w:pPr>
      <w:r>
        <w:rPr>
          <w:b/>
          <w:bCs/>
        </w:rPr>
        <w:t xml:space="preserve">OQ-3</w:t>
      </w:r>
      <w:r>
        <w:t xml:space="preserve"> — Confirm the proposed targets in NFR-1, NFR-2 and NFR-4.</w:t>
      </w:r>
    </w:p>
    <w:p>
      <w:pPr>
        <w:pStyle w:val="ListParagraph"/>
        <w:numPr>
          <w:ilvl w:val="0"/>
          <w:numId w:val="2"/>
        </w:numPr>
        <w:spacing w:after="60"/>
      </w:pPr>
      <w:r>
        <w:rPr>
          <w:b/>
          <w:bCs/>
        </w:rPr>
        <w:t xml:space="preserve">OQ-4</w:t>
      </w:r>
      <w:r>
        <w:t xml:space="preserve"> — Small local models (for example, 7-8B models served by Ollama) often call tools unreliably. The startup check catches total failure, not flakiness. Decide whether to publish a list of tested models in the README.</w:t>
      </w:r>
    </w:p>
    <w:p>
      <w:pPr>
        <w:pStyle w:val="ListParagraph"/>
        <w:numPr>
          <w:ilvl w:val="0"/>
          <w:numId w:val="2"/>
        </w:numPr>
        <w:spacing w:after="60"/>
      </w:pPr>
      <w:r>
        <w:rPr>
          <w:b/>
          <w:bCs/>
        </w:rPr>
        <w:t xml:space="preserve">OQ-5</w:t>
      </w:r>
      <w:r>
        <w:t xml:space="preserve"> — Some OpenAI-compatible servers omit token usage in streamed responses. SPECS falls back to an estimate; confirm that is acceptable for budget enforcement.</w:t>
      </w:r>
    </w:p>
    <w:p>
      <w:pPr>
        <w:pStyle w:val="ListParagraph"/>
        <w:numPr>
          <w:ilvl w:val="0"/>
          <w:numId w:val="2"/>
        </w:numPr>
        <w:spacing w:after="60"/>
      </w:pPr>
      <w:r>
        <w:rPr>
          <w:b/>
          <w:bCs/>
        </w:rPr>
        <w:t xml:space="preserve">OQ-6</w:t>
      </w:r>
      <w:r>
        <w:t xml:space="preserve"> — When the critic quotes the session as evidence (FR-9), may it quote assistant turns, or only the user's?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7280"/>
        <w:sz w:val="16"/>
        <w:szCs w:val="16"/>
      </w:rPr>
      <w:t xml:space="preserve">Blueprint Studio — Requirements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bullet"/>
      <w:lvlText w:val="☐"/>
      <w:lvlJc w:val="left"/>
      <w:pPr>
        <w:ind w:left="540" w:hanging="30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abstractNum w:abstractNumId="6"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937"/>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60"/>
      <w:outlineLvl w:val="0"/>
    </w:pPr>
    <w:rPr>
      <w:rFonts w:ascii="Arial" w:cs="Arial" w:eastAsia="Arial" w:hAnsi="Arial"/>
      <w:b/>
      <w:bCs/>
      <w:color w:val="1E3A8A"/>
      <w:sz w:val="30"/>
      <w:szCs w:val="30"/>
    </w:rPr>
  </w:style>
  <w:style w:type="paragraph" w:styleId="Heading2">
    <w:name w:val="Heading 2"/>
    <w:basedOn w:val="Normal"/>
    <w:next w:val="Normal"/>
    <w:qFormat/>
    <w:pPr>
      <w:spacing w:after="100" w:before="240"/>
      <w:outlineLvl w:val="1"/>
    </w:pPr>
    <w:rPr>
      <w:rFonts w:ascii="Arial" w:cs="Arial" w:eastAsia="Arial" w:hAnsi="Arial"/>
      <w:b/>
      <w:bCs/>
      <w:color w:val="1F2937"/>
      <w:sz w:val="25"/>
      <w:szCs w:val="25"/>
    </w:rPr>
  </w:style>
  <w:style w:type="paragraph" w:styleId="Heading3">
    <w:name w:val="Heading 3"/>
    <w:basedOn w:val="Normal"/>
    <w:next w:val="Normal"/>
    <w:qFormat/>
    <w:pPr>
      <w:keepNext/>
      <w:spacing w:after="80" w:before="200"/>
      <w:outlineLvl w:val="2"/>
    </w:pPr>
    <w:rPr>
      <w:rFonts w:ascii="Arial" w:cs="Arial" w:eastAsia="Arial" w:hAnsi="Arial"/>
      <w:b/>
      <w:bCs/>
      <w:color w:val="1F293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Blueprint Studio — Requirements</dc:title>
  <dc:creator>Blueprint Studio planning session</dc:creator>
  <cp:lastModifiedBy>Un-named</cp:lastModifiedBy>
  <cp:revision>1</cp:revision>
  <dcterms:created xsi:type="dcterms:W3CDTF">2026-10-14T22:06:39.434Z</dcterms:created>
  <dcterms:modified xsi:type="dcterms:W3CDTF">2026-10-14T22:06:39.434Z</dcterms:modified>
</cp:coreProperties>
</file>

<file path=docProps/custom.xml><?xml version="1.0" encoding="utf-8"?>
<Properties xmlns="http://schemas.openxmlformats.org/officeDocument/2006/custom-properties" xmlns:vt="http://schemas.openxmlformats.org/officeDocument/2006/docPropsVTypes"/>
</file>