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240" w:lineRule="auto"/>
      </w:pPr>
      <w:r>
        <w:rPr>
          <w:rFonts w:ascii="Calibri" w:hAnsi="Calibri"/>
          <w:sz w:val="36"/>
        </w:rPr>
        <w:t>JASON DELOSH</w:t>
      </w:r>
    </w:p>
    <w:p>
      <w:pPr>
        <w:jc w:val="center"/>
        <w:spacing w:before="0" w:after="0" w:line="240" w:lineRule="auto"/>
      </w:pPr>
      <w:r>
        <w:rPr>
          <w:rFonts w:ascii="Calibri" w:hAnsi="Calibri"/>
          <w:sz w:val="20"/>
        </w:rPr>
        <w:t>[Email] | [Phone] | LinkedIn: [LINKEDIN_URL] | github.com/jdelosh</w:t>
      </w:r>
    </w:p>
    <w:p>
      <w:pPr>
        <w:spacing w:before="160" w:after="0" w:line="240" w:lineRule="auto"/>
      </w:pPr>
      <w:r>
        <w:rPr>
          <w:rFonts w:ascii="Calibri" w:hAnsi="Calibri"/>
          <w:b/>
          <w:sz w:val="22"/>
        </w:rPr>
        <w:t>Professional Summary</w:t>
      </w:r>
    </w:p>
    <w:p>
      <w:pPr>
        <w:spacing w:before="0" w:after="0" w:line="240" w:lineRule="auto"/>
      </w:pPr>
      <w:r>
        <w:rPr>
          <w:rFonts w:ascii="Calibri" w:hAnsi="Calibri"/>
          <w:sz w:val="22"/>
        </w:rPr>
        <w:t>Pharmaceutical and biotech leader with 25+ years across clinical development and 6+ years building and governing third-party data acquisition capabilities in regulated environments. Stood up BioMarin's external data acquisition function from greenfield: established the operating model, governance frameworks, decision rights, vendor lifecycle, configuration libraries, and a metadata foundation positioned for AI-enabled automation. Lean four-person team absorbed 200+ vendor data transfers across 12+ external providers without proportional headcount growth. Translates ambiguous data-strategy goals into governed, fit-for-purpose data ecosystems that produce business decisions rather than administrative deliverables. Targets director-level data acquisition and partnership roles where operating-model design, vendor governance, and cross-functional adoption determine whether data investment compounds or drifts.</w:t>
      </w:r>
    </w:p>
    <w:p>
      <w:pPr>
        <w:spacing w:before="160" w:after="0" w:line="240" w:lineRule="auto"/>
      </w:pPr>
      <w:r>
        <w:rPr>
          <w:rFonts w:ascii="Calibri" w:hAnsi="Calibri"/>
          <w:b/>
          <w:sz w:val="22"/>
        </w:rPr>
        <w:t>Core Competencies</w:t>
      </w:r>
    </w:p>
    <w:p>
      <w:pPr>
        <w:spacing w:before="0" w:after="0" w:line="240" w:lineRule="auto"/>
        <w:ind w:left="144" w:hanging="144"/>
      </w:pPr>
      <w:r>
        <w:rPr>
          <w:rFonts w:ascii="Cambria" w:hAnsi="Cambria"/>
          <w:sz w:val="22"/>
        </w:rPr>
        <w:t xml:space="preserve">·  </w:t>
      </w:r>
      <w:r>
        <w:rPr>
          <w:rFonts w:ascii="Calibri" w:hAnsi="Calibri"/>
          <w:sz w:val="22"/>
        </w:rPr>
        <w:t>Operating model design and capability buildout (greenfield to governed)</w:t>
      </w:r>
    </w:p>
    <w:p>
      <w:pPr>
        <w:spacing w:before="0" w:after="0" w:line="240" w:lineRule="auto"/>
        <w:ind w:left="144" w:hanging="144"/>
      </w:pPr>
      <w:r>
        <w:rPr>
          <w:rFonts w:ascii="Cambria" w:hAnsi="Cambria"/>
          <w:sz w:val="22"/>
        </w:rPr>
        <w:t xml:space="preserve">·  </w:t>
      </w:r>
      <w:r>
        <w:rPr>
          <w:rFonts w:ascii="Calibri" w:hAnsi="Calibri"/>
          <w:sz w:val="22"/>
        </w:rPr>
        <w:t>Data acquisition strategy and external data partnership governance</w:t>
      </w:r>
    </w:p>
    <w:p>
      <w:pPr>
        <w:spacing w:before="0" w:after="0" w:line="240" w:lineRule="auto"/>
        <w:ind w:left="144" w:hanging="144"/>
      </w:pPr>
      <w:r>
        <w:rPr>
          <w:rFonts w:ascii="Cambria" w:hAnsi="Cambria"/>
          <w:sz w:val="22"/>
        </w:rPr>
        <w:t xml:space="preserve">·  </w:t>
      </w:r>
      <w:r>
        <w:rPr>
          <w:rFonts w:ascii="Calibri" w:hAnsi="Calibri"/>
          <w:sz w:val="22"/>
        </w:rPr>
        <w:t>Cross-functional governance frameworks and decision-rights design</w:t>
      </w:r>
    </w:p>
    <w:p>
      <w:pPr>
        <w:spacing w:before="0" w:after="0" w:line="240" w:lineRule="auto"/>
        <w:ind w:left="144" w:hanging="144"/>
      </w:pPr>
      <w:r>
        <w:rPr>
          <w:rFonts w:ascii="Cambria" w:hAnsi="Cambria"/>
          <w:sz w:val="22"/>
        </w:rPr>
        <w:t xml:space="preserve">·  </w:t>
      </w:r>
      <w:r>
        <w:rPr>
          <w:rFonts w:ascii="Calibri" w:hAnsi="Calibri"/>
          <w:sz w:val="22"/>
        </w:rPr>
        <w:t>Vendor evaluation, negotiation, and lifecycle performance management</w:t>
      </w:r>
    </w:p>
    <w:p>
      <w:pPr>
        <w:spacing w:before="0" w:after="0" w:line="240" w:lineRule="auto"/>
        <w:ind w:left="144" w:hanging="144"/>
      </w:pPr>
      <w:r>
        <w:rPr>
          <w:rFonts w:ascii="Cambria" w:hAnsi="Cambria"/>
          <w:sz w:val="22"/>
        </w:rPr>
        <w:t xml:space="preserve">·  </w:t>
      </w:r>
      <w:r>
        <w:rPr>
          <w:rFonts w:ascii="Calibri" w:hAnsi="Calibri"/>
          <w:sz w:val="22"/>
        </w:rPr>
        <w:t>Data inventory, catalog, and standards library development</w:t>
      </w:r>
    </w:p>
    <w:p>
      <w:pPr>
        <w:spacing w:before="0" w:after="0" w:line="240" w:lineRule="auto"/>
        <w:ind w:left="144" w:hanging="144"/>
      </w:pPr>
      <w:r>
        <w:rPr>
          <w:rFonts w:ascii="Cambria" w:hAnsi="Cambria"/>
          <w:sz w:val="22"/>
        </w:rPr>
        <w:t xml:space="preserve">·  </w:t>
      </w:r>
      <w:r>
        <w:rPr>
          <w:rFonts w:ascii="Calibri" w:hAnsi="Calibri"/>
          <w:sz w:val="22"/>
        </w:rPr>
        <w:t>Regulatory-aware data governance (HIPAA, 21 CFR Part 11, ICH/GCP, GxP)</w:t>
      </w:r>
    </w:p>
    <w:p>
      <w:pPr>
        <w:spacing w:before="0" w:after="0" w:line="240" w:lineRule="auto"/>
        <w:ind w:left="144" w:hanging="144"/>
      </w:pPr>
      <w:r>
        <w:rPr>
          <w:rFonts w:ascii="Cambria" w:hAnsi="Cambria"/>
          <w:sz w:val="22"/>
        </w:rPr>
        <w:t xml:space="preserve">·  </w:t>
      </w:r>
      <w:r>
        <w:rPr>
          <w:rFonts w:ascii="Calibri" w:hAnsi="Calibri"/>
          <w:sz w:val="22"/>
        </w:rPr>
        <w:t>Stakeholder influence in matrixed environments without formal authority</w:t>
      </w:r>
    </w:p>
    <w:p>
      <w:pPr>
        <w:spacing w:before="0" w:after="0" w:line="240" w:lineRule="auto"/>
        <w:ind w:left="144" w:hanging="144"/>
      </w:pPr>
      <w:r>
        <w:rPr>
          <w:rFonts w:ascii="Cambria" w:hAnsi="Cambria"/>
          <w:sz w:val="22"/>
        </w:rPr>
        <w:t xml:space="preserve">·  </w:t>
      </w:r>
      <w:r>
        <w:rPr>
          <w:rFonts w:ascii="Calibri" w:hAnsi="Calibri"/>
          <w:sz w:val="22"/>
        </w:rPr>
        <w:t>Change management, adoption design, and council facilitation</w:t>
      </w:r>
    </w:p>
    <w:p>
      <w:pPr>
        <w:spacing w:before="0" w:after="0" w:line="240" w:lineRule="auto"/>
        <w:ind w:left="144" w:hanging="144"/>
      </w:pPr>
      <w:r>
        <w:rPr>
          <w:rFonts w:ascii="Cambria" w:hAnsi="Cambria"/>
          <w:sz w:val="22"/>
        </w:rPr>
        <w:t xml:space="preserve">·  </w:t>
      </w:r>
      <w:r>
        <w:rPr>
          <w:rFonts w:ascii="Calibri" w:hAnsi="Calibri"/>
          <w:sz w:val="22"/>
        </w:rPr>
        <w:t>Strategic technology evaluation and platform selection</w:t>
      </w:r>
    </w:p>
    <w:p>
      <w:pPr>
        <w:spacing w:before="0" w:after="0" w:line="240" w:lineRule="auto"/>
        <w:ind w:left="144" w:hanging="144"/>
      </w:pPr>
      <w:r>
        <w:rPr>
          <w:rFonts w:ascii="Cambria" w:hAnsi="Cambria"/>
          <w:sz w:val="22"/>
        </w:rPr>
        <w:t xml:space="preserve">·  </w:t>
      </w:r>
      <w:r>
        <w:rPr>
          <w:rFonts w:ascii="Calibri" w:hAnsi="Calibri"/>
          <w:sz w:val="22"/>
        </w:rPr>
        <w:t>Executive communication and cross-functional roadmap alignment</w:t>
      </w:r>
    </w:p>
    <w:p>
      <w:pPr>
        <w:spacing w:before="0" w:after="0" w:line="240" w:lineRule="auto"/>
        <w:ind w:left="144" w:hanging="144"/>
      </w:pPr>
      <w:r>
        <w:rPr>
          <w:rFonts w:ascii="Cambria" w:hAnsi="Cambria"/>
          <w:sz w:val="22"/>
        </w:rPr>
        <w:t xml:space="preserve">·  </w:t>
      </w:r>
      <w:r>
        <w:rPr>
          <w:rFonts w:ascii="Calibri" w:hAnsi="Calibri"/>
          <w:sz w:val="22"/>
        </w:rPr>
        <w:t>Metadata foundations and AI-ready data infrastructure</w:t>
      </w:r>
    </w:p>
    <w:p>
      <w:pPr>
        <w:spacing w:before="160" w:after="0" w:line="240" w:lineRule="auto"/>
      </w:pPr>
      <w:r>
        <w:rPr>
          <w:rFonts w:ascii="Calibri" w:hAnsi="Calibri"/>
          <w:b/>
          <w:sz w:val="22"/>
        </w:rPr>
        <w:t>Professional Experience</w:t>
      </w:r>
    </w:p>
    <w:p>
      <w:pPr>
        <w:spacing w:before="160" w:after="0" w:line="240" w:lineRule="auto"/>
      </w:pPr>
      <w:r>
        <w:rPr>
          <w:rFonts w:ascii="Calibri" w:hAnsi="Calibri"/>
          <w:b/>
          <w:sz w:val="22"/>
        </w:rPr>
        <w:t>BioMarin Pharmaceutical | Wake Forest, NC | 2020 to 2026</w:t>
      </w:r>
    </w:p>
    <w:p>
      <w:pPr>
        <w:spacing w:before="0" w:after="0" w:line="240" w:lineRule="auto"/>
      </w:pPr>
      <w:r>
        <w:rPr>
          <w:rFonts w:ascii="Calibri" w:hAnsi="Calibri"/>
          <w:b/>
          <w:sz w:val="22"/>
        </w:rPr>
        <w:t>External Data Acquisition Head | 2024 to 2026</w:t>
      </w:r>
    </w:p>
    <w:p>
      <w:pPr>
        <w:spacing w:before="0" w:after="0" w:line="240" w:lineRule="auto"/>
        <w:ind w:left="144" w:hanging="144"/>
      </w:pPr>
      <w:r>
        <w:rPr>
          <w:rFonts w:ascii="Cambria" w:hAnsi="Cambria"/>
          <w:sz w:val="22"/>
        </w:rPr>
        <w:t xml:space="preserve">·  </w:t>
      </w:r>
      <w:r>
        <w:rPr>
          <w:rFonts w:ascii="Calibri" w:hAnsi="Calibri"/>
          <w:sz w:val="22"/>
        </w:rPr>
        <w:t>Built and led the external data acquisition function from greenfield: defined the operating model, decision rights, governance frameworks, controlled documentation, standards libraries, and SharePoint/MS Teams collaboration architecture within Data Management Sciences. Lean, multidisciplinary team of four absorbed 200+ vendor transfers across 12+ external providers in the first full year without FTE headcount growth.</w:t>
      </w:r>
    </w:p>
    <w:p>
      <w:pPr>
        <w:spacing w:before="0" w:after="0" w:line="240" w:lineRule="auto"/>
        <w:ind w:left="144" w:hanging="144"/>
      </w:pPr>
      <w:r>
        <w:rPr>
          <w:rFonts w:ascii="Cambria" w:hAnsi="Cambria"/>
          <w:sz w:val="22"/>
        </w:rPr>
        <w:t xml:space="preserve">·  </w:t>
      </w:r>
      <w:r>
        <w:rPr>
          <w:rFonts w:ascii="Calibri" w:hAnsi="Calibri"/>
          <w:sz w:val="22"/>
        </w:rPr>
        <w:t>Redesigned and digitized the data transfer agreement framework around a standard-but-flexible CDISC-aligned model with structured capture of provider-specific variability; trained cross-functional staff and external providers on the redesigned process, updated SOPs, and automated conformance surveillance capabilities, generating positive provider feedback and replacing a generic legacy template that had produced persistent conformance failures.</w:t>
      </w:r>
    </w:p>
    <w:p>
      <w:pPr>
        <w:spacing w:before="0" w:after="0" w:line="240" w:lineRule="auto"/>
        <w:ind w:left="144" w:hanging="144"/>
      </w:pPr>
      <w:r>
        <w:rPr>
          <w:rFonts w:ascii="Cambria" w:hAnsi="Cambria"/>
          <w:sz w:val="22"/>
        </w:rPr>
        <w:t xml:space="preserve">·  </w:t>
      </w:r>
      <w:r>
        <w:rPr>
          <w:rFonts w:ascii="Calibri" w:hAnsi="Calibri"/>
          <w:sz w:val="22"/>
        </w:rPr>
        <w:t>Built a domain-specific configuration baseline for external data acquisition: a DTA library customized by external laboratory and a 100+ check conformance library targeting domain-specific issues — eliminating ad hoc per-study specifications and tripling legacy check breadth across the provider portfolio.</w:t>
      </w:r>
    </w:p>
    <w:p>
      <w:pPr>
        <w:spacing w:before="0" w:after="0" w:line="240" w:lineRule="auto"/>
        <w:ind w:left="144" w:hanging="144"/>
      </w:pPr>
      <w:r>
        <w:rPr>
          <w:rFonts w:ascii="Cambria" w:hAnsi="Cambria"/>
          <w:sz w:val="22"/>
        </w:rPr>
        <w:t xml:space="preserve">·  </w:t>
      </w:r>
      <w:r>
        <w:rPr>
          <w:rFonts w:ascii="Calibri" w:hAnsi="Calibri"/>
          <w:sz w:val="22"/>
        </w:rPr>
        <w:t>Spearheaded the preferred-partner laboratory model with the enterprise procurement initiative: defined data acquisition and conformance assessment criteria, narrowed a fragmented field of approximately 40 providers to 3 preferred partners, strengthened negotiation positioning, and replaced ad hoc single-vendor concentration that had diluted leverage and concentrated risk.</w:t>
      </w:r>
    </w:p>
    <w:p>
      <w:pPr>
        <w:spacing w:before="0" w:after="0" w:line="240" w:lineRule="auto"/>
        <w:ind w:left="144" w:hanging="144"/>
      </w:pPr>
      <w:r>
        <w:rPr>
          <w:rFonts w:ascii="Cambria" w:hAnsi="Cambria"/>
          <w:sz w:val="22"/>
        </w:rPr>
        <w:t xml:space="preserve">·  </w:t>
      </w:r>
      <w:r>
        <w:rPr>
          <w:rFonts w:ascii="Calibri" w:hAnsi="Calibri"/>
          <w:sz w:val="22"/>
        </w:rPr>
        <w:t>Applied the DTA governance framework to absorb the unplanned Inozyme acquisition integration spanning 5 studies, 7+ vendors, and 30+ datasets; executed all data transfer agreements, completed test transfers, and delivered conformance evaluation ahead of interim analysis cutoffs while personally absorbing concurrent team attrition without delaying any cross-functional deliverable.</w:t>
      </w:r>
    </w:p>
    <w:p>
      <w:pPr>
        <w:spacing w:before="0" w:after="0" w:line="240" w:lineRule="auto"/>
        <w:ind w:left="144" w:hanging="144"/>
      </w:pPr>
      <w:r>
        <w:rPr>
          <w:rFonts w:ascii="Cambria" w:hAnsi="Cambria"/>
          <w:sz w:val="22"/>
        </w:rPr>
        <w:t xml:space="preserve">·  </w:t>
      </w:r>
      <w:r>
        <w:rPr>
          <w:rFonts w:ascii="Calibri" w:hAnsi="Calibri"/>
          <w:sz w:val="22"/>
        </w:rPr>
        <w:t>Championed integration of data acquisition workflows into downstream cross-functional processes (regulatory submission, AI readiness, quality); partnered with cross-functional leaders (clinical operations, product management, solution architects, procurement) to align on enterprise technology direction and institutionalize adoption through training, controlled documentation handoff, and recurring governance forums.</w:t>
      </w:r>
    </w:p>
    <w:p>
      <w:pPr>
        <w:spacing w:before="0" w:after="0" w:line="240" w:lineRule="auto"/>
        <w:ind w:left="144" w:hanging="144"/>
      </w:pPr>
      <w:r>
        <w:rPr>
          <w:rFonts w:ascii="Cambria" w:hAnsi="Cambria"/>
          <w:sz w:val="22"/>
        </w:rPr>
        <w:t xml:space="preserve">·  </w:t>
      </w:r>
      <w:r>
        <w:rPr>
          <w:rFonts w:ascii="Calibri" w:hAnsi="Calibri"/>
          <w:sz w:val="22"/>
        </w:rPr>
        <w:t>Advised executive leadership on enterprise data, AI, and platform strategy; authored the Databricks selection recommendation, secured $65K evaluation budget and negotiated sandbox access from list to $15K through coordinated cross-functional procurement, and prioritized an 8-use-case portfolio aligned to functional goals (EDC API connectivity, data blinding, data warehouse and data flow testing in development at time of departure).</w:t>
      </w:r>
    </w:p>
    <w:p>
      <w:pPr>
        <w:spacing w:before="160" w:after="0" w:line="240" w:lineRule="auto"/>
      </w:pPr>
      <w:r>
        <w:rPr>
          <w:rFonts w:ascii="Calibri" w:hAnsi="Calibri"/>
          <w:b/>
          <w:sz w:val="22"/>
        </w:rPr>
        <w:t>Associate Director, Data Quality Sciences | 2022 to 2025</w:t>
      </w:r>
    </w:p>
    <w:p>
      <w:pPr>
        <w:spacing w:before="0" w:after="0" w:line="240" w:lineRule="auto"/>
        <w:ind w:left="144" w:hanging="144"/>
      </w:pPr>
      <w:r>
        <w:rPr>
          <w:rFonts w:ascii="Cambria" w:hAnsi="Cambria"/>
          <w:sz w:val="22"/>
        </w:rPr>
        <w:t xml:space="preserve">·  </w:t>
      </w:r>
      <w:r>
        <w:rPr>
          <w:rFonts w:ascii="Calibri" w:hAnsi="Calibri"/>
          <w:sz w:val="22"/>
        </w:rPr>
        <w:t>Led onboarding of LLX Solutions as data management CRO partner: defined data sharing agreements, oversaw programming build-out, and established structured issue reporting that doubled the number of domain-customized quality checks; reduced laboratory data acquisition rework from approximately 50% to 0% across all governed studies.</w:t>
      </w:r>
    </w:p>
    <w:p>
      <w:pPr>
        <w:spacing w:before="0" w:after="0" w:line="240" w:lineRule="auto"/>
        <w:ind w:left="144" w:hanging="144"/>
      </w:pPr>
      <w:r>
        <w:rPr>
          <w:rFonts w:ascii="Cambria" w:hAnsi="Cambria"/>
          <w:sz w:val="22"/>
        </w:rPr>
        <w:t xml:space="preserve">·  </w:t>
      </w:r>
      <w:r>
        <w:rPr>
          <w:rFonts w:ascii="Calibri" w:hAnsi="Calibri"/>
          <w:sz w:val="22"/>
        </w:rPr>
        <w:t>Optimized vendor spend through scope-based utilization analysis: identified two underutilized LLX billable roles (programmer at approximately 20% utilization, project manager at approximately 10%) and consolidated annual billing to approximately $100K.</w:t>
      </w:r>
    </w:p>
    <w:p>
      <w:pPr>
        <w:spacing w:before="0" w:after="0" w:line="240" w:lineRule="auto"/>
        <w:ind w:left="144" w:hanging="144"/>
      </w:pPr>
      <w:r>
        <w:rPr>
          <w:rFonts w:ascii="Cambria" w:hAnsi="Cambria"/>
          <w:sz w:val="22"/>
        </w:rPr>
        <w:t xml:space="preserve">·  </w:t>
      </w:r>
      <w:r>
        <w:rPr>
          <w:rFonts w:ascii="Calibri" w:hAnsi="Calibri"/>
          <w:sz w:val="22"/>
        </w:rPr>
        <w:t>Implemented the CDISC LAB model for external laboratory data acquisition, improving data exchangeability across providers and downstream CDASH/SDTM conversion readiness.</w:t>
      </w:r>
    </w:p>
    <w:p>
      <w:pPr>
        <w:spacing w:before="0" w:after="0" w:line="240" w:lineRule="auto"/>
        <w:ind w:left="144" w:hanging="144"/>
      </w:pPr>
      <w:r>
        <w:rPr>
          <w:rFonts w:ascii="Cambria" w:hAnsi="Cambria"/>
          <w:sz w:val="22"/>
        </w:rPr>
        <w:t xml:space="preserve">·  </w:t>
      </w:r>
      <w:r>
        <w:rPr>
          <w:rFonts w:ascii="Calibri" w:hAnsi="Calibri"/>
          <w:sz w:val="22"/>
        </w:rPr>
        <w:t>Digitized the data management planning oversight infrastructure: standardized documentation, built KPI-based reporting, and established metadata foundations aligned to future AI-enabled automation. Direct precursor to the inventory/catalog architecture later expanded under External Data Acquisition Head.</w:t>
      </w:r>
    </w:p>
    <w:p>
      <w:pPr>
        <w:spacing w:before="0" w:after="0" w:line="240" w:lineRule="auto"/>
        <w:ind w:left="144" w:hanging="144"/>
      </w:pPr>
      <w:r>
        <w:rPr>
          <w:rFonts w:ascii="Cambria" w:hAnsi="Cambria"/>
          <w:sz w:val="22"/>
        </w:rPr>
        <w:t xml:space="preserve">·  </w:t>
      </w:r>
      <w:r>
        <w:rPr>
          <w:rFonts w:ascii="Calibri" w:hAnsi="Calibri"/>
          <w:sz w:val="22"/>
        </w:rPr>
        <w:t>Produced four competency-based structural models for the Data Management Sciences group (5 roles, 30+ FTEs and contractors), benchmarked against comparable rare disease and small-cap biotech peers; presented directly to leadership and informed adoption of a substantively aligned target structure.</w:t>
      </w:r>
    </w:p>
    <w:p>
      <w:pPr>
        <w:spacing w:before="0" w:after="0" w:line="240" w:lineRule="auto"/>
        <w:ind w:left="144" w:hanging="144"/>
      </w:pPr>
      <w:r>
        <w:rPr>
          <w:rFonts w:ascii="Cambria" w:hAnsi="Cambria"/>
          <w:sz w:val="22"/>
        </w:rPr>
        <w:t xml:space="preserve">·  </w:t>
      </w:r>
      <w:r>
        <w:rPr>
          <w:rFonts w:ascii="Calibri" w:hAnsi="Calibri"/>
          <w:sz w:val="22"/>
        </w:rPr>
        <w:t>Redesigned data quality surveillance planning capabilities end-to-end: established cross-functional accountability frameworks, built a CDASH-aligned check library with traceability between data criticality and validation effort, and removed the one-size-fits-all legacy template. Materially reduced mid-study quality programming rework across Data Management Sciences, Clinical Sciences, Statistical Sciences, Clinical Operations, and Pharmacovigilance.</w:t>
      </w:r>
    </w:p>
    <w:p>
      <w:pPr>
        <w:spacing w:before="0" w:after="0" w:line="240" w:lineRule="auto"/>
        <w:ind w:left="144" w:hanging="144"/>
      </w:pPr>
      <w:r>
        <w:rPr>
          <w:rFonts w:ascii="Cambria" w:hAnsi="Cambria"/>
          <w:sz w:val="22"/>
        </w:rPr>
        <w:t xml:space="preserve">·  </w:t>
      </w:r>
      <w:r>
        <w:rPr>
          <w:rFonts w:ascii="Calibri" w:hAnsi="Calibri"/>
          <w:sz w:val="22"/>
        </w:rPr>
        <w:t>Advised leadership on enterprise and functional technology strategy and shaped ML/AI integration roadmaps and functional priorities; contributed to enterprise vendor strategy decisions for CRO and laboratory preferred partner initiatives.</w:t>
      </w:r>
    </w:p>
    <w:p>
      <w:pPr>
        <w:spacing w:before="160" w:after="0" w:line="240" w:lineRule="auto"/>
      </w:pPr>
      <w:r>
        <w:rPr>
          <w:rFonts w:ascii="Calibri" w:hAnsi="Calibri"/>
          <w:b/>
          <w:sz w:val="22"/>
        </w:rPr>
        <w:t>Senior Manager, Clinical Data Management Sciences | 2021 to 2022</w:t>
      </w:r>
    </w:p>
    <w:p>
      <w:pPr>
        <w:spacing w:before="0" w:after="0" w:line="240" w:lineRule="auto"/>
        <w:ind w:left="144" w:hanging="144"/>
      </w:pPr>
      <w:r>
        <w:rPr>
          <w:rFonts w:ascii="Cambria" w:hAnsi="Cambria"/>
          <w:sz w:val="22"/>
        </w:rPr>
        <w:t xml:space="preserve">·  </w:t>
      </w:r>
      <w:r>
        <w:rPr>
          <w:rFonts w:ascii="Calibri" w:hAnsi="Calibri"/>
          <w:sz w:val="22"/>
        </w:rPr>
        <w:t>Directed external vendor partners and global matrix teams (US and offshore) across data acquisition and quality surveillance; facilitated cross-functional decisions with physicians, statisticians, programmers, and project managers across pivotal Phase 3 trials.</w:t>
      </w:r>
    </w:p>
    <w:p>
      <w:pPr>
        <w:spacing w:before="0" w:after="0" w:line="240" w:lineRule="auto"/>
        <w:ind w:left="144" w:hanging="144"/>
      </w:pPr>
      <w:r>
        <w:rPr>
          <w:rFonts w:ascii="Cambria" w:hAnsi="Cambria"/>
          <w:sz w:val="22"/>
        </w:rPr>
        <w:t xml:space="preserve">·  </w:t>
      </w:r>
      <w:r>
        <w:rPr>
          <w:rFonts w:ascii="Calibri" w:hAnsi="Calibri"/>
          <w:sz w:val="22"/>
        </w:rPr>
        <w:t>Designed workflows and use cases to expand SQL Server platform utilization across Data Management Sciences; led automation development and oversaw ETL pipeline build-out for operational data processing.</w:t>
      </w:r>
    </w:p>
    <w:p>
      <w:pPr>
        <w:spacing w:before="0" w:after="0" w:line="240" w:lineRule="auto"/>
        <w:ind w:left="144" w:hanging="144"/>
      </w:pPr>
      <w:r>
        <w:rPr>
          <w:rFonts w:ascii="Cambria" w:hAnsi="Cambria"/>
          <w:sz w:val="22"/>
        </w:rPr>
        <w:t xml:space="preserve">·  </w:t>
      </w:r>
      <w:r>
        <w:rPr>
          <w:rFonts w:ascii="Calibri" w:hAnsi="Calibri"/>
          <w:sz w:val="22"/>
        </w:rPr>
        <w:t>Held end-to-end accountability for planning, execution, and close-out of data management activities for multiple pivotal Phase 3 studies; participated in for-cause audit of a central laboratory vendor, performing gap analysis and supporting strategy and process change for quality compliance.</w:t>
      </w:r>
    </w:p>
    <w:p>
      <w:pPr>
        <w:spacing w:before="160" w:after="0" w:line="240" w:lineRule="auto"/>
      </w:pPr>
      <w:r>
        <w:rPr>
          <w:rFonts w:ascii="Calibri" w:hAnsi="Calibri"/>
          <w:b/>
          <w:sz w:val="22"/>
        </w:rPr>
        <w:t>Clinical Data Quality Consultant (via Ivory Solutions) | 2020 to 2021</w:t>
      </w:r>
    </w:p>
    <w:p>
      <w:pPr>
        <w:spacing w:before="0" w:after="0" w:line="240" w:lineRule="auto"/>
        <w:ind w:left="144" w:hanging="144"/>
      </w:pPr>
      <w:r>
        <w:rPr>
          <w:rFonts w:ascii="Cambria" w:hAnsi="Cambria"/>
          <w:sz w:val="22"/>
        </w:rPr>
        <w:t xml:space="preserve">·  </w:t>
      </w:r>
      <w:r>
        <w:rPr>
          <w:rFonts w:ascii="Calibri" w:hAnsi="Calibri"/>
          <w:sz w:val="22"/>
        </w:rPr>
        <w:t>Led acquisition and review of external laboratory data; governed execution of data transfer agreements with external laboratory providers, verifying completeness and conformance to transfer specifications and providing vendor oversight on issue resolution timing and completeness.</w:t>
      </w:r>
    </w:p>
    <w:p>
      <w:pPr>
        <w:spacing w:before="160" w:after="0" w:line="240" w:lineRule="auto"/>
      </w:pPr>
      <w:r>
        <w:rPr>
          <w:rFonts w:ascii="Calibri" w:hAnsi="Calibri"/>
          <w:b/>
          <w:sz w:val="22"/>
        </w:rPr>
        <w:t>AbbVie (via Clinical Solutions Group) | Durham, NC | 2019 to 2020</w:t>
      </w:r>
    </w:p>
    <w:p>
      <w:pPr>
        <w:spacing w:before="0" w:after="0" w:line="240" w:lineRule="auto"/>
      </w:pPr>
      <w:r>
        <w:rPr>
          <w:rFonts w:ascii="Calibri" w:hAnsi="Calibri"/>
          <w:b/>
          <w:sz w:val="22"/>
        </w:rPr>
        <w:t>RBM &amp; Analytics Consultant</w:t>
      </w:r>
    </w:p>
    <w:p>
      <w:pPr>
        <w:spacing w:before="0" w:after="0" w:line="240" w:lineRule="auto"/>
        <w:ind w:left="144" w:hanging="144"/>
      </w:pPr>
      <w:r>
        <w:rPr>
          <w:rFonts w:ascii="Cambria" w:hAnsi="Cambria"/>
          <w:sz w:val="22"/>
        </w:rPr>
        <w:t xml:space="preserve">·  </w:t>
      </w:r>
      <w:r>
        <w:rPr>
          <w:rFonts w:ascii="Calibri" w:hAnsi="Calibri"/>
          <w:sz w:val="22"/>
        </w:rPr>
        <w:t>Led cross-functional development of an Integrated Data Review Plan defining data quality standards and review procedures across statistical sciences, clinical operations, data management, medical monitoring, and safety; the plan governs downstream programming, dashboard, and tool configuration decisions.</w:t>
      </w:r>
    </w:p>
    <w:p>
      <w:pPr>
        <w:spacing w:before="0" w:after="0" w:line="240" w:lineRule="auto"/>
        <w:ind w:left="144" w:hanging="144"/>
      </w:pPr>
      <w:r>
        <w:rPr>
          <w:rFonts w:ascii="Cambria" w:hAnsi="Cambria"/>
          <w:sz w:val="22"/>
        </w:rPr>
        <w:t xml:space="preserve">·  </w:t>
      </w:r>
      <w:r>
        <w:rPr>
          <w:rFonts w:ascii="Calibri" w:hAnsi="Calibri"/>
          <w:sz w:val="22"/>
        </w:rPr>
        <w:t>Designed and rolled out the GitHub SME team operating framework across 12 to 15 team members: repository structure, controlled documentation, and training reduced inconsistent programming storage practices.</w:t>
      </w:r>
    </w:p>
    <w:p>
      <w:pPr>
        <w:spacing w:before="160" w:after="0" w:line="240" w:lineRule="auto"/>
      </w:pPr>
      <w:r>
        <w:rPr>
          <w:rFonts w:ascii="Calibri" w:hAnsi="Calibri"/>
          <w:b/>
          <w:sz w:val="22"/>
        </w:rPr>
        <w:t>Amgen (via DOCS Global) | Durham, NC | 2016 to 2018</w:t>
      </w:r>
    </w:p>
    <w:p>
      <w:pPr>
        <w:spacing w:before="0" w:after="0" w:line="240" w:lineRule="auto"/>
      </w:pPr>
      <w:r>
        <w:rPr>
          <w:rFonts w:ascii="Calibri" w:hAnsi="Calibri"/>
          <w:b/>
          <w:sz w:val="22"/>
        </w:rPr>
        <w:t>Central Statistical Monitoring Deployment Lead (concurrent with Regional and Global Clinical Trial Manager roles)</w:t>
      </w:r>
    </w:p>
    <w:p>
      <w:pPr>
        <w:spacing w:before="0" w:after="0" w:line="240" w:lineRule="auto"/>
        <w:ind w:left="144" w:hanging="144"/>
      </w:pPr>
      <w:r>
        <w:rPr>
          <w:rFonts w:ascii="Cambria" w:hAnsi="Cambria"/>
          <w:sz w:val="22"/>
        </w:rPr>
        <w:t xml:space="preserve">·  </w:t>
      </w:r>
      <w:r>
        <w:rPr>
          <w:rFonts w:ascii="Calibri" w:hAnsi="Calibri"/>
          <w:sz w:val="22"/>
        </w:rPr>
        <w:t>Led change management for enterprise-level deployment of central statistical monitoring as a net-new capability at Amgen: built training content, communications plan, stakeholder engagement strategy, and signal response workflows across approximately 10 studies. Managed resistance from teams accustomed to traditional monitoring while establishing foundational understanding of statistical signal concepts alongside operational procedures.</w:t>
      </w:r>
    </w:p>
    <w:p>
      <w:pPr>
        <w:spacing w:before="0" w:after="0" w:line="240" w:lineRule="auto"/>
        <w:ind w:left="144" w:hanging="144"/>
      </w:pPr>
      <w:r>
        <w:rPr>
          <w:rFonts w:ascii="Cambria" w:hAnsi="Cambria"/>
          <w:sz w:val="22"/>
        </w:rPr>
        <w:t xml:space="preserve">·  </w:t>
      </w:r>
      <w:r>
        <w:rPr>
          <w:rFonts w:ascii="Calibri" w:hAnsi="Calibri"/>
          <w:sz w:val="22"/>
        </w:rPr>
        <w:t>Held end-to-end accountability for global and regional clinical trial execution: project planning, timelines, budget, stakeholder management, and risk management; provided oversight of the technology vendor ecosystem (EDC, IRT, CTMS, eConsent, eCOA) and partnered with technical governance teams to define system and data requirements.</w:t>
      </w:r>
    </w:p>
    <w:p>
      <w:pPr>
        <w:spacing w:before="160" w:after="0" w:line="240" w:lineRule="auto"/>
      </w:pPr>
      <w:r>
        <w:rPr>
          <w:rFonts w:ascii="Calibri" w:hAnsi="Calibri"/>
          <w:b/>
          <w:sz w:val="22"/>
        </w:rPr>
        <w:t>Quintiles | Research Triangle Park, NC | 2011 to 2015</w:t>
      </w:r>
    </w:p>
    <w:p>
      <w:pPr>
        <w:spacing w:before="0" w:after="0" w:line="240" w:lineRule="auto"/>
      </w:pPr>
      <w:r>
        <w:rPr>
          <w:rFonts w:ascii="Calibri" w:hAnsi="Calibri"/>
          <w:b/>
          <w:sz w:val="22"/>
        </w:rPr>
        <w:t>Integrated Process Technology Specialist II / Infosario Business Champion (concurrent)</w:t>
      </w:r>
    </w:p>
    <w:p>
      <w:pPr>
        <w:spacing w:before="0" w:after="0" w:line="240" w:lineRule="auto"/>
        <w:ind w:left="144" w:hanging="144"/>
      </w:pPr>
      <w:r>
        <w:rPr>
          <w:rFonts w:ascii="Cambria" w:hAnsi="Cambria"/>
          <w:sz w:val="22"/>
        </w:rPr>
        <w:t xml:space="preserve">·  </w:t>
      </w:r>
      <w:r>
        <w:rPr>
          <w:rFonts w:ascii="Calibri" w:hAnsi="Calibri"/>
          <w:sz w:val="22"/>
        </w:rPr>
        <w:t>Led enterprise-wide adoption of the Infosario Analytics platform across all Quintiles programs and portfolios as Business Champion: delivered global training (sessions of 100+ attendees), end-user consultation, and liaison between Data Management, project teams, and IT; replaced spreadsheet-based reporting with a real-time platform across study execution, data quality, and clinical safety domains.</w:t>
      </w:r>
    </w:p>
    <w:p>
      <w:pPr>
        <w:spacing w:before="160" w:after="0" w:line="240" w:lineRule="auto"/>
      </w:pPr>
      <w:r>
        <w:rPr>
          <w:rFonts w:ascii="Calibri" w:hAnsi="Calibri"/>
          <w:b/>
          <w:sz w:val="22"/>
        </w:rPr>
        <w:t>Earlier Professional Roles</w:t>
      </w:r>
    </w:p>
    <w:p>
      <w:pPr>
        <w:spacing w:before="0" w:after="0" w:line="240" w:lineRule="auto"/>
        <w:ind w:left="144" w:hanging="144"/>
      </w:pPr>
      <w:r>
        <w:rPr>
          <w:rFonts w:ascii="Cambria" w:hAnsi="Cambria"/>
          <w:sz w:val="22"/>
        </w:rPr>
        <w:t xml:space="preserve">·  </w:t>
      </w:r>
      <w:r>
        <w:rPr>
          <w:rFonts w:ascii="Calibri" w:hAnsi="Calibri"/>
          <w:sz w:val="22"/>
        </w:rPr>
        <w:t>Lead CRA / Clinical Trial Lead, Grifols Pharmaceuticals (2015 to 2016)</w:t>
      </w:r>
    </w:p>
    <w:p>
      <w:pPr>
        <w:spacing w:before="0" w:after="0" w:line="240" w:lineRule="auto"/>
        <w:ind w:left="144" w:hanging="144"/>
      </w:pPr>
      <w:r>
        <w:rPr>
          <w:rFonts w:ascii="Cambria" w:hAnsi="Cambria"/>
          <w:sz w:val="22"/>
        </w:rPr>
        <w:t xml:space="preserve">·  </w:t>
      </w:r>
      <w:r>
        <w:rPr>
          <w:rFonts w:ascii="Calibri" w:hAnsi="Calibri"/>
          <w:sz w:val="22"/>
        </w:rPr>
        <w:t>Clinical Data Scientist, PRA Health Sciences (2018 to 2019)</w:t>
      </w:r>
    </w:p>
    <w:p>
      <w:pPr>
        <w:spacing w:before="0" w:after="0" w:line="240" w:lineRule="auto"/>
        <w:ind w:left="144" w:hanging="144"/>
      </w:pPr>
      <w:r>
        <w:rPr>
          <w:rFonts w:ascii="Cambria" w:hAnsi="Cambria"/>
          <w:sz w:val="22"/>
        </w:rPr>
        <w:t xml:space="preserve">·  </w:t>
      </w:r>
      <w:r>
        <w:rPr>
          <w:rFonts w:ascii="Calibri" w:hAnsi="Calibri"/>
          <w:sz w:val="22"/>
        </w:rPr>
        <w:t>Clinical Research Associate II, NeoVista Inc. (2011)</w:t>
      </w:r>
    </w:p>
    <w:p>
      <w:pPr>
        <w:spacing w:before="0" w:after="0" w:line="240" w:lineRule="auto"/>
        <w:ind w:left="144" w:hanging="144"/>
      </w:pPr>
      <w:r>
        <w:rPr>
          <w:rFonts w:ascii="Cambria" w:hAnsi="Cambria"/>
          <w:sz w:val="22"/>
        </w:rPr>
        <w:t xml:space="preserve">·  </w:t>
      </w:r>
      <w:r>
        <w:rPr>
          <w:rFonts w:ascii="Calibri" w:hAnsi="Calibri"/>
          <w:sz w:val="22"/>
        </w:rPr>
        <w:t>Clinical Research Associate I/II, The Duke Clinical Research Institute (2007 to 2011)</w:t>
      </w:r>
    </w:p>
    <w:p>
      <w:pPr>
        <w:spacing w:before="160" w:after="0" w:line="240" w:lineRule="auto"/>
      </w:pPr>
      <w:r>
        <w:rPr>
          <w:rFonts w:ascii="Calibri" w:hAnsi="Calibri"/>
          <w:b/>
          <w:sz w:val="22"/>
        </w:rPr>
        <w:t>Education</w:t>
      </w:r>
    </w:p>
    <w:p>
      <w:pPr>
        <w:spacing w:before="0" w:after="0" w:line="240" w:lineRule="auto"/>
        <w:ind w:left="144" w:hanging="144"/>
      </w:pPr>
      <w:r>
        <w:rPr>
          <w:rFonts w:ascii="Cambria" w:hAnsi="Cambria"/>
          <w:sz w:val="22"/>
        </w:rPr>
        <w:t xml:space="preserve">·  </w:t>
      </w:r>
      <w:r>
        <w:rPr>
          <w:rFonts w:ascii="Calibri" w:hAnsi="Calibri"/>
          <w:sz w:val="22"/>
        </w:rPr>
        <w:t>MS, Data Science, Northwestern University</w:t>
      </w:r>
    </w:p>
    <w:p>
      <w:pPr>
        <w:spacing w:before="0" w:after="0" w:line="240" w:lineRule="auto"/>
        <w:ind w:left="144" w:hanging="144"/>
      </w:pPr>
      <w:r>
        <w:rPr>
          <w:rFonts w:ascii="Cambria" w:hAnsi="Cambria"/>
          <w:sz w:val="22"/>
        </w:rPr>
        <w:t xml:space="preserve">·  </w:t>
      </w:r>
      <w:r>
        <w:rPr>
          <w:rFonts w:ascii="Calibri" w:hAnsi="Calibri"/>
          <w:sz w:val="22"/>
        </w:rPr>
        <w:t>MBA, Project Management focus</w:t>
      </w:r>
    </w:p>
    <w:p>
      <w:pPr>
        <w:spacing w:before="160" w:after="0" w:line="240" w:lineRule="auto"/>
      </w:pPr>
      <w:r>
        <w:rPr>
          <w:rFonts w:ascii="Calibri" w:hAnsi="Calibri"/>
          <w:b/>
          <w:sz w:val="22"/>
        </w:rPr>
        <w:t>Certifications and Training</w:t>
      </w:r>
    </w:p>
    <w:p>
      <w:pPr>
        <w:spacing w:before="0" w:after="0" w:line="240" w:lineRule="auto"/>
        <w:ind w:left="144" w:hanging="144"/>
      </w:pPr>
      <w:r>
        <w:rPr>
          <w:rFonts w:ascii="Cambria" w:hAnsi="Cambria"/>
          <w:sz w:val="22"/>
        </w:rPr>
        <w:t xml:space="preserve">·  </w:t>
      </w:r>
      <w:r>
        <w:rPr>
          <w:rFonts w:ascii="Calibri" w:hAnsi="Calibri"/>
          <w:sz w:val="22"/>
        </w:rPr>
        <w:t>Lean Six Sigma Black Belt</w:t>
      </w:r>
    </w:p>
    <w:p>
      <w:pPr>
        <w:spacing w:before="160" w:after="0" w:line="240" w:lineRule="auto"/>
      </w:pPr>
      <w:r>
        <w:rPr>
          <w:rFonts w:ascii="Calibri" w:hAnsi="Calibri"/>
          <w:b/>
          <w:sz w:val="22"/>
        </w:rPr>
        <w:t>Technical Proficiencies</w:t>
      </w:r>
    </w:p>
    <w:p>
      <w:pPr>
        <w:spacing w:before="0" w:after="0" w:line="240" w:lineRule="auto"/>
      </w:pPr>
      <w:r>
        <w:rPr>
          <w:rFonts w:ascii="Calibri" w:hAnsi="Calibri"/>
          <w:sz w:val="22"/>
        </w:rPr>
        <w:t>Per Inventory Section 5 (low weight per orientation framing).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