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Доклад к защите MVP — 5 минут</w:t>
      </w:r>
    </w:p>
    <w:p/>
    <w:p>
      <w:pPr>
        <w:ind w:left="425"/>
      </w:pPr>
      <w:r>
        <w:rPr>
          <w:i/>
        </w:rPr>
        <w:t>Версия для устного выступления на 5 минут. Длинный сценарий защиты на 12–14 минут с FAQ комиссии — в `docs/defense_script_mvp.md`.</w:t>
      </w:r>
    </w:p>
    <w:p/>
    <w:p/>
    <w:p>
      <w:pPr>
        <w:pStyle w:val="Heading2"/>
      </w:pPr>
      <w:r>
        <w:t>[Слайд 1 — Титульный]</w:t>
      </w:r>
    </w:p>
    <w:p/>
    <w:p>
      <w:pPr>
        <w:spacing w:after="120"/>
      </w:pPr>
      <w:r>
        <w:t>Добрый день. Меня зовут Лисицин Михаил, наша команда представляет проект «AI-помощник для аналитика в блоке HR». Это проактивный AI-агент: он не отвечает на вопросы пользователя, как чат-бот, а сам мониторит внешние источники и превращает поток новостей в HR-инсайты, риски и рекомендации.</w:t>
      </w:r>
    </w:p>
    <w:p/>
    <w:p>
      <w:pPr>
        <w:pStyle w:val="Heading2"/>
      </w:pPr>
      <w:r>
        <w:t>[Слайд 2 — Целевая аудитория]</w:t>
      </w:r>
    </w:p>
    <w:p/>
    <w:p>
      <w:pPr>
        <w:spacing w:after="120"/>
      </w:pPr>
      <w:r>
        <w:t xml:space="preserve">Мы выделяем три роли пользователей. </w:t>
      </w:r>
      <w:r>
        <w:rPr>
          <w:b/>
        </w:rPr>
        <w:t>HR-аналитику</w:t>
      </w:r>
      <w:r>
        <w:t xml:space="preserve"> нужны зарплаты, найм, сокращения и сдвиги в спросе на навыки — высокий уровень детализации. </w:t>
      </w:r>
      <w:r>
        <w:rPr>
          <w:b/>
        </w:rPr>
        <w:t>HR-партнёру</w:t>
      </w:r>
      <w:r>
        <w:t xml:space="preserve"> — сигналы по культуре, выгоранию и развитию команд, средний уровень. </w:t>
      </w:r>
      <w:r>
        <w:rPr>
          <w:b/>
        </w:rPr>
        <w:t>HR-руководителю</w:t>
      </w:r>
      <w:r>
        <w:t xml:space="preserve"> — короткая сводка по топ-рискам для принятия стратегических решений. Роли заданы в </w:t>
      </w:r>
      <w:r>
        <w:rPr>
          <w:rFonts w:ascii="Consolas" w:hAnsi="Consolas"/>
          <w:sz w:val="22"/>
        </w:rPr>
        <w:t>config/USER_ROLES</w:t>
      </w:r>
      <w:r>
        <w:t>, и от выбранной роли меняются приоритетные темы и глубина выдачи.</w:t>
      </w:r>
    </w:p>
    <w:p/>
    <w:p>
      <w:pPr>
        <w:pStyle w:val="Heading2"/>
      </w:pPr>
      <w:r>
        <w:t>[Слайд 3 — Потребности ЦА]</w:t>
      </w:r>
    </w:p>
    <w:p/>
    <w:p>
      <w:pPr>
        <w:spacing w:after="120"/>
      </w:pPr>
      <w:r>
        <w:t xml:space="preserve">Главная боль: HR-аналитик тратит </w:t>
      </w:r>
      <w:r>
        <w:rPr>
          <w:b/>
        </w:rPr>
        <w:t>2–3 часа в день</w:t>
      </w:r>
      <w:r>
        <w:t xml:space="preserve"> на ручной мониторинг. Данные размазаны по 50+ источникам — медиа, исследования, профессиональные сообщества, англоязычные публикации. Часть материала дублируется, часть — шум. В итоге HR работает реактивно. Мы закрываем четыре потребности: курируемый сбор источников, перевод EN→RU, классификация по семи HR-темам и приоритизация через риск-скор.</w:t>
      </w:r>
    </w:p>
    <w:p/>
    <w:p>
      <w:pPr>
        <w:pStyle w:val="Heading2"/>
      </w:pPr>
      <w:r>
        <w:t>[Слайд 4 — Конкуренты и аналоги]</w:t>
      </w:r>
    </w:p>
    <w:p/>
    <w:p>
      <w:pPr>
        <w:spacing w:after="120"/>
      </w:pPr>
      <w:r>
        <w:t xml:space="preserve">Сравниваемся с ChatGPT, Perplexity и hh.ru-аналитикой. ChatGPT и Perplexity сильны как ассистенты, но требуют, чтобы пользователь уже знал, что искать. Наш агент работает иначе — он сам обнаруживает, какая тема стала важной. hh.ru даёт статистику по вакансиям и зарплатам, но не анализирует внешний новостной фон как систему ранних HR-сигналов. Наше УТП — это не универсальный чат, а </w:t>
      </w:r>
      <w:r>
        <w:rPr>
          <w:b/>
        </w:rPr>
        <w:t>HR-радар рисков</w:t>
      </w:r>
      <w:r>
        <w:t xml:space="preserve"> с состоянием и историей.</w:t>
      </w:r>
    </w:p>
    <w:p/>
    <w:p>
      <w:pPr>
        <w:pStyle w:val="Heading2"/>
      </w:pPr>
      <w:r>
        <w:t>[Слайд 5 — Предложенное решение]</w:t>
      </w:r>
    </w:p>
    <w:p/>
    <w:p>
      <w:pPr>
        <w:spacing w:after="120"/>
      </w:pPr>
      <w:r>
        <w:t xml:space="preserve">MVP работает по сквозному пайплайну: </w:t>
      </w:r>
      <w:r>
        <w:rPr>
          <w:b/>
        </w:rPr>
        <w:t>источники → сбор → перевод → классификация → дедупликация → риск-скор → инсайты и алерты в дашборде</w:t>
      </w:r>
      <w:r>
        <w:t xml:space="preserve">. Пользователь выбирает роль и период, запускает цикл — агент возвращает не ленту новостей, а структурированные HR-сигналы. Архитектура построена на формуле </w:t>
      </w:r>
      <w:r>
        <w:rPr>
          <w:b/>
        </w:rPr>
        <w:t>State + Rules + Actions</w:t>
      </w:r>
      <w:r>
        <w:t>: state хранит обработанные URL, тренды и историю; rules задают пороги, риск-скор и аномалии; actions запускают сбор и генерацию инсайтов. Бизнес-логика — в коде, не в LLM, поэтому решения объяснимы.</w:t>
      </w:r>
    </w:p>
    <w:p/>
    <w:p>
      <w:pPr>
        <w:pStyle w:val="Heading2"/>
      </w:pPr>
      <w:r>
        <w:t>[Слайд 6 — Источники и классификация]</w:t>
      </w:r>
    </w:p>
    <w:p/>
    <w:p>
      <w:pPr>
        <w:spacing w:after="120"/>
      </w:pPr>
      <w:r>
        <w:t xml:space="preserve">На прошлой защите комиссия спросила, почему источников всего 7. Мы это закрыли. </w:t>
      </w:r>
      <w:r>
        <w:rPr>
          <w:b/>
        </w:rPr>
        <w:t>Каталог содержит 26 источников: 14 активных и 12 кандидатов на A/B-тестирование.</w:t>
      </w:r>
      <w:r>
        <w:t xml:space="preserve"> У каждого зафиксированы </w:t>
      </w:r>
      <w:r>
        <w:rPr>
          <w:rFonts w:ascii="Consolas" w:hAnsi="Consolas"/>
          <w:sz w:val="22"/>
        </w:rPr>
        <w:t>quality_score</w:t>
      </w:r>
      <w:r>
        <w:t xml:space="preserve">, </w:t>
      </w:r>
      <w:r>
        <w:rPr>
          <w:rFonts w:ascii="Consolas" w:hAnsi="Consolas"/>
          <w:sz w:val="22"/>
        </w:rPr>
        <w:t>topics_covered</w:t>
      </w:r>
      <w:r>
        <w:t xml:space="preserve">, </w:t>
      </w:r>
      <w:r>
        <w:rPr>
          <w:rFonts w:ascii="Consolas" w:hAnsi="Consolas"/>
          <w:sz w:val="22"/>
        </w:rPr>
        <w:t>region</w:t>
      </w:r>
      <w:r>
        <w:t xml:space="preserve"> и обоснование выбора </w:t>
      </w:r>
      <w:r>
        <w:rPr>
          <w:rFonts w:ascii="Consolas" w:hAnsi="Consolas"/>
          <w:sz w:val="22"/>
        </w:rPr>
        <w:t>rationale</w:t>
      </w:r>
      <w:r>
        <w:t>. Критерии отбора — HR-релевантность, авторитетность, регулярность, доступность для парсинга и низкий уровень шума. Семь HR-категорий — найм, сокращения, зарплаты, навыки, выгорание, культура и diversity — баланс между полнотой и интерпретируемостью классификации.</w:t>
      </w:r>
    </w:p>
    <w:p/>
    <w:p>
      <w:pPr>
        <w:pStyle w:val="Heading2"/>
      </w:pPr>
      <w:r>
        <w:t>[Слайд 7 — Архитектура]</w:t>
      </w:r>
    </w:p>
    <w:p/>
    <w:p>
      <w:pPr>
        <w:spacing w:after="120"/>
      </w:pPr>
      <w:r>
        <w:t xml:space="preserve">Архитектура модульная: блок источников, обработка текста, блок AI, правила, состояние, дашборд. AI используется только для перевода, классификации и генерации инсайтов. Риск-скор, пороги, дедупликация, история URL, правила маршрутизации — всё это в коде. Это даёт два свойства: систему </w:t>
      </w:r>
      <w:r>
        <w:rPr>
          <w:b/>
        </w:rPr>
        <w:t>можно объяснить комиссии и пользователю</w:t>
      </w:r>
      <w:r>
        <w:t xml:space="preserve"> (нет «магии LLM»), и она </w:t>
      </w:r>
      <w:r>
        <w:rPr>
          <w:b/>
        </w:rPr>
        <w:t>устойчива</w:t>
      </w:r>
      <w:r>
        <w:t xml:space="preserve"> — даже при отказе модели агентный цикл продолжает работать на rule-based части.</w:t>
      </w:r>
    </w:p>
    <w:p/>
    <w:p>
      <w:pPr>
        <w:pStyle w:val="Heading2"/>
      </w:pPr>
      <w:r>
        <w:t>[Слайд 8 — Доработки за итерацию]</w:t>
      </w:r>
    </w:p>
    <w:p/>
    <w:p>
      <w:pPr>
        <w:spacing w:after="120"/>
      </w:pPr>
      <w:r>
        <w:t>Четыре направления, все по замечаниям предзащиты.</w:t>
      </w:r>
    </w:p>
    <w:p/>
    <w:p>
      <w:pPr>
        <w:spacing w:after="120"/>
      </w:pPr>
      <w:r>
        <w:t>Первое — каталог расширен с 7 до 26 источников, с обоснованием каждого.</w:t>
      </w:r>
    </w:p>
    <w:p/>
    <w:p>
      <w:pPr>
        <w:spacing w:after="120"/>
      </w:pPr>
      <w:r>
        <w:t xml:space="preserve">Второе — </w:t>
      </w:r>
      <w:r>
        <w:rPr>
          <w:b/>
        </w:rPr>
        <w:t>109 автотестов проходят зелёными</w:t>
      </w:r>
      <w:r>
        <w:t>, CI на GitHub Actions с матрицей Python 3.10/3.11, Ruff lint и pytest-coverage.</w:t>
      </w:r>
    </w:p>
    <w:p/>
    <w:p>
      <w:pPr>
        <w:spacing w:after="120"/>
      </w:pPr>
      <w:r>
        <w:t xml:space="preserve">Третье — </w:t>
      </w:r>
      <w:r>
        <w:rPr>
          <w:b/>
        </w:rPr>
        <w:t>двухуровневая дедупликация</w:t>
      </w:r>
      <w:r>
        <w:t xml:space="preserve">: URL-уровень и контентный SimHash, самописный, без внешних зависимостей. По каждому источнику считаются </w:t>
      </w:r>
      <w:r>
        <w:rPr>
          <w:rFonts w:ascii="Consolas" w:hAnsi="Consolas"/>
          <w:sz w:val="22"/>
        </w:rPr>
        <w:t>duplicate_rate</w:t>
      </w:r>
      <w:r>
        <w:t xml:space="preserve">, </w:t>
      </w:r>
      <w:r>
        <w:rPr>
          <w:rFonts w:ascii="Consolas" w:hAnsi="Consolas"/>
          <w:sz w:val="22"/>
        </w:rPr>
        <w:t>avg_risk_score</w:t>
      </w:r>
      <w:r>
        <w:t xml:space="preserve">, </w:t>
      </w:r>
      <w:r>
        <w:rPr>
          <w:rFonts w:ascii="Consolas" w:hAnsi="Consolas"/>
          <w:sz w:val="22"/>
        </w:rPr>
        <w:t>topic_coverage</w:t>
      </w:r>
      <w:r>
        <w:t xml:space="preserve"> — то самое «обоснование вклада», которое запрашивала комиссия.</w:t>
      </w:r>
    </w:p>
    <w:p/>
    <w:p>
      <w:pPr>
        <w:spacing w:after="120"/>
      </w:pPr>
      <w:r>
        <w:t xml:space="preserve">Четвёртое — </w:t>
      </w:r>
      <w:r>
        <w:rPr>
          <w:b/>
        </w:rPr>
        <w:t>автоматическое регулирование пула</w:t>
      </w:r>
      <w:r>
        <w:t xml:space="preserve">: </w:t>
      </w:r>
      <w:r>
        <w:rPr>
          <w:rFonts w:ascii="Consolas" w:hAnsi="Consolas"/>
          <w:sz w:val="22"/>
        </w:rPr>
        <w:t>source_manager</w:t>
      </w:r>
      <w:r>
        <w:t xml:space="preserve"> отслеживает метрики и рекомендует деактивацию шумных источников и активацию ценных кандидатов. Это </w:t>
      </w:r>
      <w:r>
        <w:rPr>
          <w:b/>
        </w:rPr>
        <w:t>наш ответ на вопрос комиссии о масштабировании на тысячу источников</w:t>
      </w:r>
      <w:r>
        <w:t>: пул регулируется не вручную, а метриками.</w:t>
      </w:r>
    </w:p>
    <w:p/>
    <w:p>
      <w:pPr>
        <w:pStyle w:val="Heading2"/>
      </w:pPr>
      <w:r>
        <w:t>[Слайд 9 — Качество и техдолг]</w:t>
      </w:r>
    </w:p>
    <w:p/>
    <w:p>
      <w:pPr>
        <w:spacing w:after="120"/>
      </w:pPr>
      <w:r>
        <w:t xml:space="preserve">Качество классификации проверяется на размеченном датасете — 35 HR-новостей по семи темам с экспертной разметкой. По нему считается </w:t>
      </w:r>
      <w:r>
        <w:rPr>
          <w:b/>
        </w:rPr>
        <w:t>Cohen's Kappa между разметчиками</w:t>
      </w:r>
      <w:r>
        <w:t xml:space="preserve"> — это согласованность экспертов, верхняя граница качества модели. Калибровка порогов риска описана в </w:t>
      </w:r>
      <w:r>
        <w:rPr>
          <w:rFonts w:ascii="Consolas" w:hAnsi="Consolas"/>
          <w:sz w:val="22"/>
        </w:rPr>
        <w:t>docs/METHODOLOGY.md</w:t>
      </w:r>
      <w:r>
        <w:t>.</w:t>
      </w:r>
    </w:p>
    <w:p/>
    <w:p>
      <w:pPr>
        <w:spacing w:after="120"/>
      </w:pPr>
      <w:r>
        <w:t xml:space="preserve">Текущие ограничения — локальное состояние, ручной запуск, single-user — это </w:t>
      </w:r>
      <w:r>
        <w:rPr>
          <w:b/>
        </w:rPr>
        <w:t>осознанный scope MVP</w:t>
      </w:r>
      <w:r>
        <w:t>: фокус был на корректности сквозного пайплайна. PostgreSQL, фоновые задачи, авторизация и интеграции с HR API — в roadmap, отложены намеренно, чтобы не размывать гипотезу.</w:t>
      </w:r>
    </w:p>
    <w:p/>
    <w:p>
      <w:pPr>
        <w:pStyle w:val="Heading2"/>
      </w:pPr>
      <w:r>
        <w:t>[Слайд 10 — Демонстрация]</w:t>
      </w:r>
    </w:p>
    <w:p/>
    <w:p>
      <w:pPr>
        <w:spacing w:after="120"/>
      </w:pPr>
      <w:r>
        <w:t xml:space="preserve">Сейчас короткое демо. Пользователь выбирает роль HR-аналитика и период за 24 часа, запускает цикл. Агент собирает новости из активного пула, переводит англоязычные, классифицирует по HR-темам, удаляет дубли, считает риск-скор, генерирует инсайты с объяснением «что произошло, почему важно, что делать». В дашборде — тренды, инсайты, алерты по приоритету и </w:t>
      </w:r>
      <w:r>
        <w:rPr>
          <w:b/>
        </w:rPr>
        <w:t>аналитика по каждому источнику</w:t>
      </w:r>
      <w:r>
        <w:t xml:space="preserve">: сколько фетчит, сколько уникальных, какой </w:t>
      </w:r>
      <w:r>
        <w:rPr>
          <w:rFonts w:ascii="Consolas" w:hAnsi="Consolas"/>
          <w:sz w:val="22"/>
        </w:rPr>
        <w:t>duplicate_rate</w:t>
      </w:r>
      <w:r>
        <w:t>. То есть мы показываем не отдельный скрипт, а полный путь от внешнего источника до управленческой рекомендации.</w:t>
      </w:r>
    </w:p>
    <w:p/>
    <w:p>
      <w:pPr>
        <w:pStyle w:val="Heading2"/>
      </w:pPr>
      <w:r>
        <w:t>[Слайд 11 — Репозиторий]</w:t>
      </w:r>
    </w:p>
    <w:p/>
    <w:p>
      <w:pPr>
        <w:spacing w:after="120"/>
      </w:pPr>
      <w:r>
        <w:t xml:space="preserve">В репозитории не только код, но и методология, размеченный датасет, скрипты </w:t>
      </w:r>
      <w:r>
        <w:rPr>
          <w:rFonts w:ascii="Consolas" w:hAnsi="Consolas"/>
          <w:sz w:val="22"/>
        </w:rPr>
        <w:t>demo_start</w:t>
      </w:r>
      <w:r>
        <w:t xml:space="preserve"> для запуска одной командой, Dockerfile, docker-compose, CI. Это означает, что результат </w:t>
      </w:r>
      <w:r>
        <w:rPr>
          <w:b/>
        </w:rPr>
        <w:t>воспроизводим</w:t>
      </w:r>
      <w:r>
        <w:t xml:space="preserve"> — любой проверяющий может склонировать и запустить проект. А воспроизводимость и есть зрелость инженерной работы.</w:t>
      </w:r>
    </w:p>
    <w:p/>
    <w:p>
      <w:pPr>
        <w:spacing w:after="120"/>
      </w:pPr>
      <w:r>
        <w:t>Спасибо. Готовы к вопросам.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