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D38" w:rsidRDefault="00BC4167">
      <w:r>
        <w:fldChar w:fldCharType="begin"/>
      </w:r>
      <w:r>
        <w:instrText xml:space="preserve"> HYPERLINK "http://www.planete-tp.com/recepage-a1826.html" </w:instrText>
      </w:r>
      <w:r>
        <w:fldChar w:fldCharType="separate"/>
      </w:r>
      <w:r>
        <w:rPr>
          <w:rStyle w:val="Lienhypertexte"/>
        </w:rPr>
        <w:t>http://www.planete-tp.com/recepage-a1826.html</w:t>
      </w:r>
      <w:r>
        <w:fldChar w:fldCharType="end"/>
      </w:r>
    </w:p>
    <w:p w:rsidR="00BC4167" w:rsidRDefault="00BC4167">
      <w:r>
        <w:t xml:space="preserve">Technique pour éviter que l’eau polluée remonte : recépage ou </w:t>
      </w:r>
      <w:proofErr w:type="spellStart"/>
      <w:r>
        <w:t>prérecépage</w:t>
      </w:r>
      <w:proofErr w:type="spellEnd"/>
      <w:r>
        <w:t xml:space="preserve"> : </w:t>
      </w:r>
    </w:p>
    <w:p w:rsidR="00BC4167" w:rsidRDefault="00BC4167">
      <w:pPr>
        <w:rPr>
          <w:rFonts w:ascii="Arial" w:hAnsi="Arial" w:cs="Arial"/>
          <w:color w:val="454545"/>
          <w:sz w:val="18"/>
          <w:szCs w:val="18"/>
          <w:shd w:val="clear" w:color="auto" w:fill="FFFFFF"/>
        </w:rPr>
      </w:pPr>
      <w:r>
        <w:rPr>
          <w:rFonts w:ascii="Arial" w:hAnsi="Arial" w:cs="Arial"/>
          <w:color w:val="454545"/>
          <w:sz w:val="18"/>
          <w:szCs w:val="18"/>
          <w:shd w:val="clear" w:color="auto" w:fill="FFFFFF"/>
        </w:rPr>
        <w:t>Lorsque l’on remplit de béton des forages à l’aide d’un tube plongeur, le premier béton qui arrive au fond du trou se mélange avec l’eau, la boue ou les éboulis qui s’y trouvent. Au fur et à mesure du remplissage de ce forage le béton remonte avec lui cette eau, cette boue ou ces éboulis, de telle sorte qu’en fin de coulage, le premier béton souillé par ces éléments indésirables se retrouve en surface. Il faudra donc l’éliminer ultérieurement pour retrouver un béton saint pour une assise fiable des appuis. L’élimination de ce béton souillé s’appelle le "</w:t>
      </w:r>
      <w:r>
        <w:rPr>
          <w:rStyle w:val="lev"/>
          <w:rFonts w:ascii="Arial" w:hAnsi="Arial" w:cs="Arial"/>
          <w:color w:val="454545"/>
          <w:sz w:val="18"/>
          <w:szCs w:val="18"/>
          <w:shd w:val="clear" w:color="auto" w:fill="FFFFFF"/>
        </w:rPr>
        <w:t>RECEPAGE</w:t>
      </w:r>
      <w:r>
        <w:rPr>
          <w:rFonts w:ascii="Arial" w:hAnsi="Arial" w:cs="Arial"/>
          <w:color w:val="454545"/>
          <w:sz w:val="18"/>
          <w:szCs w:val="18"/>
          <w:shd w:val="clear" w:color="auto" w:fill="FFFFFF"/>
        </w:rPr>
        <w:t>" (ce mot à comme origine les ceps de vignes que les anciens taillaient pour redonner de la vigueur au plant.)</w:t>
      </w:r>
    </w:p>
    <w:p w:rsidR="00BC4167" w:rsidRPr="00BC4167" w:rsidRDefault="00BC4167" w:rsidP="00BC4167">
      <w:pPr>
        <w:shd w:val="clear" w:color="auto" w:fill="FFFFFF"/>
        <w:spacing w:after="0" w:line="240" w:lineRule="auto"/>
        <w:jc w:val="both"/>
        <w:rPr>
          <w:rFonts w:ascii="Arial" w:eastAsia="Times New Roman" w:hAnsi="Arial" w:cs="Arial"/>
          <w:color w:val="454545"/>
          <w:sz w:val="18"/>
          <w:szCs w:val="18"/>
          <w:lang w:eastAsia="fr-FR"/>
        </w:rPr>
      </w:pPr>
      <w:r w:rsidRPr="00BC4167">
        <w:rPr>
          <w:rFonts w:ascii="Arial" w:eastAsia="Times New Roman" w:hAnsi="Arial" w:cs="Arial"/>
          <w:color w:val="454545"/>
          <w:sz w:val="18"/>
          <w:szCs w:val="18"/>
          <w:lang w:eastAsia="fr-FR"/>
        </w:rPr>
        <w:t xml:space="preserve">Depuis une dizaine d’année une autre technique à vue le jour. Elle a révolutionné le monde de la construction. Elle a le mérite d’être universelle et donc de pouvoir s’appliquer en toute circonstance sans exception : pieux de </w:t>
      </w:r>
      <w:proofErr w:type="spellStart"/>
      <w:r w:rsidRPr="00BC4167">
        <w:rPr>
          <w:rFonts w:ascii="Arial" w:eastAsia="Times New Roman" w:hAnsi="Arial" w:cs="Arial"/>
          <w:color w:val="454545"/>
          <w:sz w:val="18"/>
          <w:szCs w:val="18"/>
          <w:lang w:eastAsia="fr-FR"/>
        </w:rPr>
        <w:t>tout</w:t>
      </w:r>
      <w:proofErr w:type="spellEnd"/>
      <w:r w:rsidRPr="00BC4167">
        <w:rPr>
          <w:rFonts w:ascii="Arial" w:eastAsia="Times New Roman" w:hAnsi="Arial" w:cs="Arial"/>
          <w:color w:val="454545"/>
          <w:sz w:val="18"/>
          <w:szCs w:val="18"/>
          <w:lang w:eastAsia="fr-FR"/>
        </w:rPr>
        <w:t xml:space="preserve"> les diamètres (à partir de 380mm et sans limite </w:t>
      </w:r>
      <w:r w:rsidRPr="00BC4167">
        <w:rPr>
          <w:rFonts w:ascii="Arial" w:eastAsia="Times New Roman" w:hAnsi="Arial" w:cs="Arial"/>
          <w:color w:val="454545"/>
          <w:sz w:val="18"/>
          <w:szCs w:val="18"/>
          <w:lang w:eastAsia="fr-FR"/>
        </w:rPr>
        <w:br/>
        <w:t>maximum, barrettes, parois moulées, recépage profond, sous l’eau etc.</w:t>
      </w:r>
      <w:r w:rsidRPr="00BC4167">
        <w:rPr>
          <w:rFonts w:ascii="Arial" w:eastAsia="Times New Roman" w:hAnsi="Arial" w:cs="Arial"/>
          <w:color w:val="454545"/>
          <w:sz w:val="18"/>
          <w:szCs w:val="18"/>
          <w:lang w:eastAsia="fr-FR"/>
        </w:rPr>
        <w:br/>
        <w:t>Cette technique est la moins polluante et supprime tout risque constructif et tout risque à la personne, elle ne produit ni poussière, ni vibration. Elle est totalement silencieuse. De plus elle remplace « un travail pénible par un travail plus facile ».</w:t>
      </w:r>
    </w:p>
    <w:p w:rsidR="00BC4167" w:rsidRPr="00BC4167" w:rsidRDefault="00BC4167" w:rsidP="00BC4167">
      <w:pPr>
        <w:shd w:val="clear" w:color="auto" w:fill="FFFFFF"/>
        <w:spacing w:after="0" w:line="240" w:lineRule="auto"/>
        <w:jc w:val="both"/>
        <w:rPr>
          <w:rFonts w:ascii="Arial" w:eastAsia="Times New Roman" w:hAnsi="Arial" w:cs="Arial"/>
          <w:color w:val="454545"/>
          <w:sz w:val="18"/>
          <w:szCs w:val="18"/>
          <w:lang w:eastAsia="fr-FR"/>
        </w:rPr>
      </w:pPr>
      <w:r w:rsidRPr="00BC4167">
        <w:rPr>
          <w:rFonts w:ascii="Arial" w:eastAsia="Times New Roman" w:hAnsi="Arial" w:cs="Arial"/>
          <w:color w:val="454545"/>
          <w:sz w:val="18"/>
          <w:szCs w:val="18"/>
          <w:lang w:eastAsia="fr-FR"/>
        </w:rPr>
        <w:t>Cette technique s’appelle le "</w:t>
      </w:r>
      <w:r w:rsidRPr="00BC4167">
        <w:rPr>
          <w:rFonts w:ascii="Arial" w:eastAsia="Times New Roman" w:hAnsi="Arial" w:cs="Arial"/>
          <w:b/>
          <w:bCs/>
          <w:color w:val="454545"/>
          <w:sz w:val="18"/>
          <w:szCs w:val="18"/>
          <w:lang w:eastAsia="fr-FR"/>
        </w:rPr>
        <w:t>PRÉ-RECEPAGE</w:t>
      </w:r>
      <w:r w:rsidRPr="00BC4167">
        <w:rPr>
          <w:rFonts w:ascii="Arial" w:eastAsia="Times New Roman" w:hAnsi="Arial" w:cs="Arial"/>
          <w:color w:val="454545"/>
          <w:sz w:val="18"/>
          <w:szCs w:val="18"/>
          <w:lang w:eastAsia="fr-FR"/>
        </w:rPr>
        <w:t>". Elle a été mise au point par la société "</w:t>
      </w:r>
      <w:hyperlink r:id="rId5" w:tgtFrame="_blank" w:tooltip="RECEPIEUX (nouvelle fenetre)" w:history="1">
        <w:r w:rsidRPr="00BC4167">
          <w:rPr>
            <w:rFonts w:ascii="Arial" w:eastAsia="Times New Roman" w:hAnsi="Arial" w:cs="Arial"/>
            <w:b/>
            <w:bCs/>
            <w:color w:val="797778"/>
            <w:sz w:val="18"/>
            <w:szCs w:val="18"/>
            <w:u w:val="single"/>
            <w:lang w:eastAsia="fr-FR"/>
          </w:rPr>
          <w:t>RECEPIEUX</w:t>
        </w:r>
      </w:hyperlink>
      <w:r w:rsidRPr="00BC4167">
        <w:rPr>
          <w:rFonts w:ascii="Arial" w:eastAsia="Times New Roman" w:hAnsi="Arial" w:cs="Arial"/>
          <w:color w:val="454545"/>
          <w:sz w:val="18"/>
          <w:szCs w:val="18"/>
          <w:lang w:eastAsia="fr-FR"/>
        </w:rPr>
        <w:t>", société française située en Savoie et qui a déposée plusieurs brevets internationaux sur ce procédé. Elle a reçu pour cela, outre la médaille d’or du Concours LEPINE, de nombreuses récompenses notamment aux concours de l’innovation du salon INTERMATS de 2000 et 2003.</w:t>
      </w:r>
    </w:p>
    <w:p w:rsidR="00BC4167" w:rsidRPr="00BC4167" w:rsidRDefault="00BC4167" w:rsidP="00BC4167">
      <w:pPr>
        <w:shd w:val="clear" w:color="auto" w:fill="FFFFFF"/>
        <w:spacing w:after="0" w:line="240" w:lineRule="auto"/>
        <w:jc w:val="center"/>
        <w:rPr>
          <w:rFonts w:ascii="Arial" w:eastAsia="Times New Roman" w:hAnsi="Arial" w:cs="Arial"/>
          <w:color w:val="454545"/>
          <w:sz w:val="18"/>
          <w:szCs w:val="18"/>
          <w:lang w:eastAsia="fr-FR"/>
        </w:rPr>
      </w:pPr>
      <w:r>
        <w:rPr>
          <w:rFonts w:ascii="Arial" w:eastAsia="Times New Roman" w:hAnsi="Arial" w:cs="Arial"/>
          <w:noProof/>
          <w:color w:val="454545"/>
          <w:sz w:val="18"/>
          <w:szCs w:val="18"/>
          <w:lang w:eastAsia="fr-FR"/>
        </w:rPr>
        <w:drawing>
          <wp:inline distT="0" distB="0" distL="0" distR="0">
            <wp:extent cx="2152650" cy="1400175"/>
            <wp:effectExtent l="0" t="0" r="0" b="9525"/>
            <wp:docPr id="1" name="Image 1" descr="recepage_3_cle783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page_3_cle7831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400175"/>
                    </a:xfrm>
                    <a:prstGeom prst="rect">
                      <a:avLst/>
                    </a:prstGeom>
                    <a:noFill/>
                    <a:ln>
                      <a:noFill/>
                    </a:ln>
                  </pic:spPr>
                </pic:pic>
              </a:graphicData>
            </a:graphic>
          </wp:inline>
        </w:drawing>
      </w:r>
    </w:p>
    <w:p w:rsidR="00BC4167" w:rsidRPr="00BC4167" w:rsidRDefault="00BC4167" w:rsidP="00BC4167">
      <w:pPr>
        <w:shd w:val="clear" w:color="auto" w:fill="FFFFFF"/>
        <w:spacing w:after="0" w:line="240" w:lineRule="auto"/>
        <w:jc w:val="center"/>
        <w:rPr>
          <w:rFonts w:ascii="Arial" w:eastAsia="Times New Roman" w:hAnsi="Arial" w:cs="Arial"/>
          <w:color w:val="454545"/>
          <w:sz w:val="18"/>
          <w:szCs w:val="18"/>
          <w:lang w:eastAsia="fr-FR"/>
        </w:rPr>
      </w:pPr>
      <w:r w:rsidRPr="00BC4167">
        <w:rPr>
          <w:rFonts w:ascii="Arial" w:eastAsia="Times New Roman" w:hAnsi="Arial" w:cs="Arial"/>
          <w:b/>
          <w:bCs/>
          <w:color w:val="454545"/>
          <w:sz w:val="18"/>
          <w:szCs w:val="18"/>
          <w:lang w:eastAsia="fr-FR"/>
        </w:rPr>
        <w:t>recepage_3_cle783175.jpg</w:t>
      </w:r>
    </w:p>
    <w:p w:rsidR="00BC4167" w:rsidRPr="00BC4167" w:rsidRDefault="00BC4167" w:rsidP="00BC4167">
      <w:pPr>
        <w:shd w:val="clear" w:color="auto" w:fill="FFFFFF"/>
        <w:spacing w:line="240" w:lineRule="auto"/>
        <w:jc w:val="center"/>
        <w:rPr>
          <w:rFonts w:ascii="Arial" w:eastAsia="Times New Roman" w:hAnsi="Arial" w:cs="Arial"/>
          <w:color w:val="454545"/>
          <w:sz w:val="18"/>
          <w:szCs w:val="18"/>
          <w:lang w:eastAsia="fr-FR"/>
        </w:rPr>
      </w:pPr>
      <w:r w:rsidRPr="00BC4167">
        <w:rPr>
          <w:rFonts w:ascii="Arial" w:eastAsia="Times New Roman" w:hAnsi="Arial" w:cs="Arial"/>
          <w:color w:val="454545"/>
          <w:sz w:val="18"/>
          <w:szCs w:val="18"/>
          <w:lang w:eastAsia="fr-FR"/>
        </w:rPr>
        <w:t xml:space="preserve">© </w:t>
      </w:r>
      <w:proofErr w:type="gramStart"/>
      <w:r w:rsidRPr="00BC4167">
        <w:rPr>
          <w:rFonts w:ascii="Arial" w:eastAsia="Times New Roman" w:hAnsi="Arial" w:cs="Arial"/>
          <w:color w:val="454545"/>
          <w:sz w:val="18"/>
          <w:szCs w:val="18"/>
          <w:lang w:eastAsia="fr-FR"/>
        </w:rPr>
        <w:t>droits</w:t>
      </w:r>
      <w:proofErr w:type="gramEnd"/>
      <w:r w:rsidRPr="00BC4167">
        <w:rPr>
          <w:rFonts w:ascii="Arial" w:eastAsia="Times New Roman" w:hAnsi="Arial" w:cs="Arial"/>
          <w:color w:val="454545"/>
          <w:sz w:val="18"/>
          <w:szCs w:val="18"/>
          <w:lang w:eastAsia="fr-FR"/>
        </w:rPr>
        <w:t xml:space="preserve"> réservés</w:t>
      </w:r>
    </w:p>
    <w:p w:rsidR="00BC4167" w:rsidRPr="00BC4167" w:rsidRDefault="00BC4167" w:rsidP="00BC4167">
      <w:pPr>
        <w:shd w:val="clear" w:color="auto" w:fill="FFFFFF"/>
        <w:spacing w:after="225" w:line="240" w:lineRule="auto"/>
        <w:jc w:val="both"/>
        <w:rPr>
          <w:rFonts w:ascii="Arial" w:eastAsia="Times New Roman" w:hAnsi="Arial" w:cs="Arial"/>
          <w:color w:val="454545"/>
          <w:sz w:val="18"/>
          <w:szCs w:val="18"/>
          <w:lang w:eastAsia="fr-FR"/>
        </w:rPr>
      </w:pPr>
      <w:r w:rsidRPr="00BC4167">
        <w:rPr>
          <w:rFonts w:ascii="Arial" w:eastAsia="Times New Roman" w:hAnsi="Arial" w:cs="Arial"/>
          <w:color w:val="454545"/>
          <w:sz w:val="18"/>
          <w:szCs w:val="18"/>
          <w:lang w:eastAsia="fr-FR"/>
        </w:rPr>
        <w:t>Le pré-recépage consiste à prédisposer dans le béton frais un kit composé de gaines en mousse pour les aciers en attente, de un ou plusieurs vérins perdus en plastique (flacons de forme spécifique type soucoupe volante) prolongé de tubes PVC plus un moins long et d’un agent expansif.</w:t>
      </w:r>
    </w:p>
    <w:p w:rsidR="00BC4167" w:rsidRPr="00BC4167" w:rsidRDefault="00BC4167" w:rsidP="00BC4167">
      <w:pPr>
        <w:shd w:val="clear" w:color="auto" w:fill="FFFFFF"/>
        <w:spacing w:after="0" w:line="240" w:lineRule="auto"/>
        <w:jc w:val="both"/>
        <w:rPr>
          <w:rFonts w:ascii="Arial" w:eastAsia="Times New Roman" w:hAnsi="Arial" w:cs="Arial"/>
          <w:color w:val="454545"/>
          <w:sz w:val="18"/>
          <w:szCs w:val="18"/>
          <w:lang w:eastAsia="fr-FR"/>
        </w:rPr>
      </w:pPr>
      <w:r w:rsidRPr="00BC4167">
        <w:rPr>
          <w:rFonts w:ascii="Arial" w:eastAsia="Times New Roman" w:hAnsi="Arial" w:cs="Arial"/>
          <w:color w:val="454545"/>
          <w:sz w:val="18"/>
          <w:szCs w:val="18"/>
          <w:lang w:eastAsia="fr-FR"/>
        </w:rPr>
        <w:t xml:space="preserve">Une foi le kit positionné dans le béton à l’altitude désirée, on attend un minimum de 3 jours pour que le béton ait atteint une résistance minimum. Puis on remplit le flacon de l’agent expansif. Le flacon est muni d’une bille en bois qui flotte et vient obturer le goulot. L’agent expansif ne peut plus sortir et produit une pression progressive verticale en traction d’environ 40 tonnes dans les heures qui suivent. Une fissure parfaitement horizontale et propre vient séparer la tête du bloc à éliminer du reste de la fondation, sans choque, ni vibration. C’est la seule technique dont l’utilisation est autorisée de </w:t>
      </w:r>
      <w:proofErr w:type="spellStart"/>
      <w:r w:rsidRPr="00BC4167">
        <w:rPr>
          <w:rFonts w:ascii="Arial" w:eastAsia="Times New Roman" w:hAnsi="Arial" w:cs="Arial"/>
          <w:color w:val="454545"/>
          <w:sz w:val="18"/>
          <w:szCs w:val="18"/>
          <w:lang w:eastAsia="fr-FR"/>
        </w:rPr>
        <w:t>part</w:t>
      </w:r>
      <w:proofErr w:type="spellEnd"/>
      <w:r w:rsidRPr="00BC4167">
        <w:rPr>
          <w:rFonts w:ascii="Arial" w:eastAsia="Times New Roman" w:hAnsi="Arial" w:cs="Arial"/>
          <w:color w:val="454545"/>
          <w:sz w:val="18"/>
          <w:szCs w:val="18"/>
          <w:lang w:eastAsia="fr-FR"/>
        </w:rPr>
        <w:t xml:space="preserve"> le monde avant les 7 jours minimum exigés. Cela permet, lors d’auscultations soniques, de valider non seulement la qualité de la fondation mais aussi la qualité du recépage (Voir autorisation et préconisation du CETE de LYON et de NANCY). </w:t>
      </w:r>
      <w:r w:rsidRPr="00BC4167">
        <w:rPr>
          <w:rFonts w:ascii="Arial" w:eastAsia="Times New Roman" w:hAnsi="Arial" w:cs="Arial"/>
          <w:color w:val="454545"/>
          <w:sz w:val="18"/>
          <w:szCs w:val="18"/>
          <w:lang w:eastAsia="fr-FR"/>
        </w:rPr>
        <w:br/>
        <w:t>C’est la seule technique capable de garantir grâce à la simulation numérique, qu’elle ne peut générer de fissures en dessous de la zone de recépage.</w:t>
      </w:r>
    </w:p>
    <w:p w:rsidR="00BC4167" w:rsidRDefault="00BC4167">
      <w:pPr>
        <w:rPr>
          <w:rFonts w:ascii="Arial" w:hAnsi="Arial" w:cs="Arial"/>
          <w:color w:val="454545"/>
          <w:sz w:val="18"/>
          <w:szCs w:val="18"/>
          <w:shd w:val="clear" w:color="auto" w:fill="FFFFFF"/>
        </w:rPr>
      </w:pPr>
    </w:p>
    <w:p w:rsidR="00BC4167" w:rsidRDefault="00C87C7A">
      <w:hyperlink r:id="rId7" w:history="1">
        <w:r>
          <w:rPr>
            <w:rStyle w:val="Lienhypertexte"/>
          </w:rPr>
          <w:t>https://www-techniques-ingenieur-fr.extranet.enpc.fr/res/pdf/encyclopedia/43805210-tba1265.pdf</w:t>
        </w:r>
      </w:hyperlink>
    </w:p>
    <w:p w:rsidR="00C87C7A" w:rsidRDefault="00C87C7A"/>
    <w:p w:rsidR="00C87C7A" w:rsidRDefault="00C87C7A">
      <w:r>
        <w:t>Type de pieu choisi : pieu battu en béton précontraint (9)</w:t>
      </w:r>
    </w:p>
    <w:p w:rsidR="00C87C7A" w:rsidRDefault="00C87C7A"/>
    <w:p w:rsidR="00C87C7A" w:rsidRDefault="00C87C7A">
      <w:r>
        <w:t xml:space="preserve">Description – Des éléments en béton armé (ils peuvent aussi être en béton précontraint), de dimensions 0,15 m × 0,15 m à 0,40 × 0,40 m, sont mis en place dans le sol soit par battage, soit par </w:t>
      </w:r>
      <w:r>
        <w:lastRenderedPageBreak/>
        <w:t>vibration, généralement en une seule longueur, jusqu’à 15 m dans le cas de pieux en béton armé (mais certains procédés permettent des rallonges). Avantages – La qualité du béton des pieux peut être contrôlée avant l’insertion dans le sol. Stabilité dans les sols compressibles. Intéressant dans les zones avec une forte épaisseur de terrains lâches. Pas de déblais. Inconvénients – Battage difficile en présence de blocs, de couches indurées, de terrains très compacts. Ruptures possibles du pieu sous battage trop énergique. Capacité portante limitée. La longueur préalablement calculée du pieu est ensuite difficilement adaptable à des variations des conditions de sol sur le chantier. Causes de nuisance et risque de dégâts par le bruit et les vibrations. Risques d’endommagement sur les structures adjacentes dus au déplacement du sol lors de la mise en œuvre.</w:t>
      </w:r>
    </w:p>
    <w:p w:rsidR="00C87C7A" w:rsidRDefault="00C87C7A">
      <w:r>
        <w:rPr>
          <w:noProof/>
          <w:lang w:eastAsia="fr-FR"/>
        </w:rPr>
        <w:drawing>
          <wp:inline distT="0" distB="0" distL="0" distR="0">
            <wp:extent cx="5760720" cy="2299497"/>
            <wp:effectExtent l="0" t="0" r="0" b="5715"/>
            <wp:docPr id="2" name="Image 2" descr="RÃ©sultat de recherche d'images pour &quot;pieux battus prÃ©fabriquÃ©s en bÃ©ton moulÃ©&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pieux battus prÃ©fabriquÃ©s en bÃ©ton moulÃ©&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99497"/>
                    </a:xfrm>
                    <a:prstGeom prst="rect">
                      <a:avLst/>
                    </a:prstGeom>
                    <a:noFill/>
                    <a:ln>
                      <a:noFill/>
                    </a:ln>
                  </pic:spPr>
                </pic:pic>
              </a:graphicData>
            </a:graphic>
          </wp:inline>
        </w:drawing>
      </w:r>
    </w:p>
    <w:p w:rsidR="00BC4167" w:rsidRDefault="0040362B">
      <w:bookmarkStart w:id="0" w:name="_GoBack"/>
      <w:r>
        <w:rPr>
          <w:noProof/>
          <w:lang w:eastAsia="fr-FR"/>
        </w:rPr>
        <w:lastRenderedPageBreak/>
        <w:drawing>
          <wp:inline distT="0" distB="0" distL="0" distR="0" wp14:anchorId="4E11C7FA" wp14:editId="10AFCAC1">
            <wp:extent cx="5200650" cy="5476875"/>
            <wp:effectExtent l="0" t="0" r="1905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sectPr w:rsidR="00BC41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67"/>
    <w:rsid w:val="00161D38"/>
    <w:rsid w:val="0040362B"/>
    <w:rsid w:val="00AC13F4"/>
    <w:rsid w:val="00BC4167"/>
    <w:rsid w:val="00C87C7A"/>
    <w:rsid w:val="00EC09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C4167"/>
    <w:rPr>
      <w:color w:val="0000FF"/>
      <w:u w:val="single"/>
    </w:rPr>
  </w:style>
  <w:style w:type="character" w:styleId="lev">
    <w:name w:val="Strong"/>
    <w:basedOn w:val="Policepardfaut"/>
    <w:uiPriority w:val="22"/>
    <w:qFormat/>
    <w:rsid w:val="00BC4167"/>
    <w:rPr>
      <w:b/>
      <w:bCs/>
    </w:rPr>
  </w:style>
  <w:style w:type="paragraph" w:styleId="NormalWeb">
    <w:name w:val="Normal (Web)"/>
    <w:basedOn w:val="Normal"/>
    <w:uiPriority w:val="99"/>
    <w:semiHidden/>
    <w:unhideWhenUsed/>
    <w:rsid w:val="00BC416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C41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41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C4167"/>
    <w:rPr>
      <w:color w:val="0000FF"/>
      <w:u w:val="single"/>
    </w:rPr>
  </w:style>
  <w:style w:type="character" w:styleId="lev">
    <w:name w:val="Strong"/>
    <w:basedOn w:val="Policepardfaut"/>
    <w:uiPriority w:val="22"/>
    <w:qFormat/>
    <w:rsid w:val="00BC4167"/>
    <w:rPr>
      <w:b/>
      <w:bCs/>
    </w:rPr>
  </w:style>
  <w:style w:type="paragraph" w:styleId="NormalWeb">
    <w:name w:val="Normal (Web)"/>
    <w:basedOn w:val="Normal"/>
    <w:uiPriority w:val="99"/>
    <w:semiHidden/>
    <w:unhideWhenUsed/>
    <w:rsid w:val="00BC416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C41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41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826060">
      <w:bodyDiv w:val="1"/>
      <w:marLeft w:val="0"/>
      <w:marRight w:val="0"/>
      <w:marTop w:val="0"/>
      <w:marBottom w:val="0"/>
      <w:divBdr>
        <w:top w:val="none" w:sz="0" w:space="0" w:color="auto"/>
        <w:left w:val="none" w:sz="0" w:space="0" w:color="auto"/>
        <w:bottom w:val="none" w:sz="0" w:space="0" w:color="auto"/>
        <w:right w:val="none" w:sz="0" w:space="0" w:color="auto"/>
      </w:divBdr>
      <w:divsChild>
        <w:div w:id="480998359">
          <w:marLeft w:val="240"/>
          <w:marRight w:val="0"/>
          <w:marTop w:val="45"/>
          <w:marBottom w:val="240"/>
          <w:divBdr>
            <w:top w:val="none" w:sz="0" w:space="0" w:color="auto"/>
            <w:left w:val="none" w:sz="0" w:space="0" w:color="auto"/>
            <w:bottom w:val="none" w:sz="0" w:space="0" w:color="auto"/>
            <w:right w:val="none" w:sz="0" w:space="0" w:color="auto"/>
          </w:divBdr>
          <w:divsChild>
            <w:div w:id="1276138393">
              <w:marLeft w:val="0"/>
              <w:marRight w:val="0"/>
              <w:marTop w:val="0"/>
              <w:marBottom w:val="0"/>
              <w:divBdr>
                <w:top w:val="none" w:sz="0" w:space="0" w:color="auto"/>
                <w:left w:val="none" w:sz="0" w:space="0" w:color="auto"/>
                <w:bottom w:val="none" w:sz="0" w:space="0" w:color="auto"/>
                <w:right w:val="none" w:sz="0" w:space="0" w:color="auto"/>
              </w:divBdr>
            </w:div>
            <w:div w:id="10757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techniques-ingenieur-fr.extranet.enpc.fr/res/pdf/encyclopedia/43805210-tba1265.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recepieux.com/fr/procede_recepieux.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APGE_tasse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Tassement du sol en fonction du temps</a:t>
            </a:r>
          </a:p>
        </c:rich>
      </c:tx>
      <c:layout>
        <c:manualLayout>
          <c:xMode val="edge"/>
          <c:yMode val="edge"/>
          <c:x val="0.13478622864449635"/>
          <c:y val="1.391304347826087E-2"/>
        </c:manualLayout>
      </c:layout>
      <c:overlay val="0"/>
    </c:title>
    <c:autoTitleDeleted val="0"/>
    <c:plotArea>
      <c:layout>
        <c:manualLayout>
          <c:layoutTarget val="inner"/>
          <c:xMode val="edge"/>
          <c:yMode val="edge"/>
          <c:x val="0.13354311480295733"/>
          <c:y val="9.7571151432157943E-2"/>
          <c:w val="0.71169507657696629"/>
          <c:h val="0.79516695195709231"/>
        </c:manualLayout>
      </c:layout>
      <c:scatterChart>
        <c:scatterStyle val="smoothMarker"/>
        <c:varyColors val="0"/>
        <c:ser>
          <c:idx val="0"/>
          <c:order val="0"/>
          <c:tx>
            <c:v>x=0</c:v>
          </c:tx>
          <c:marker>
            <c:symbol val="none"/>
          </c:marker>
          <c:xVal>
            <c:numRef>
              <c:f>Tassement_sans_surchage!$E$37:$E$61</c:f>
              <c:numCache>
                <c:formatCode>0.00E+00</c:formatCode>
                <c:ptCount val="25"/>
                <c:pt idx="0">
                  <c:v>0</c:v>
                </c:pt>
                <c:pt idx="1">
                  <c:v>4.7260802469135816</c:v>
                </c:pt>
                <c:pt idx="2">
                  <c:v>9.4521604938271633</c:v>
                </c:pt>
                <c:pt idx="3">
                  <c:v>18.904320987654327</c:v>
                </c:pt>
                <c:pt idx="4">
                  <c:v>28.356481481481488</c:v>
                </c:pt>
                <c:pt idx="5">
                  <c:v>42.534722222222229</c:v>
                </c:pt>
                <c:pt idx="6">
                  <c:v>47.260802469135811</c:v>
                </c:pt>
                <c:pt idx="7">
                  <c:v>66.165123456790141</c:v>
                </c:pt>
                <c:pt idx="8">
                  <c:v>70.891203703703709</c:v>
                </c:pt>
                <c:pt idx="9">
                  <c:v>115.78896604938274</c:v>
                </c:pt>
                <c:pt idx="10">
                  <c:v>165.41280864197535</c:v>
                </c:pt>
                <c:pt idx="11">
                  <c:v>226.8518518518519</c:v>
                </c:pt>
                <c:pt idx="12">
                  <c:v>307.19521604938279</c:v>
                </c:pt>
                <c:pt idx="13">
                  <c:v>375.72337962962973</c:v>
                </c:pt>
                <c:pt idx="14">
                  <c:v>472.60802469135814</c:v>
                </c:pt>
                <c:pt idx="15">
                  <c:v>564.76658950617298</c:v>
                </c:pt>
                <c:pt idx="16">
                  <c:v>675.82947530864203</c:v>
                </c:pt>
                <c:pt idx="17">
                  <c:v>808.1597222222224</c:v>
                </c:pt>
                <c:pt idx="18">
                  <c:v>952.3051697530866</c:v>
                </c:pt>
                <c:pt idx="19">
                  <c:v>1127.1701388888891</c:v>
                </c:pt>
                <c:pt idx="20">
                  <c:v>1346.9328703703704</c:v>
                </c:pt>
                <c:pt idx="21">
                  <c:v>1616.3194444444448</c:v>
                </c:pt>
                <c:pt idx="22">
                  <c:v>2008.5841049382718</c:v>
                </c:pt>
                <c:pt idx="23">
                  <c:v>2835.6481481481483</c:v>
                </c:pt>
                <c:pt idx="24">
                  <c:v>4726.0802469135815</c:v>
                </c:pt>
              </c:numCache>
            </c:numRef>
          </c:xVal>
          <c:yVal>
            <c:numRef>
              <c:f>Tassement_sans_surchage!$F$37:$F$61</c:f>
              <c:numCache>
                <c:formatCode>0.00</c:formatCode>
                <c:ptCount val="25"/>
                <c:pt idx="0">
                  <c:v>6.3171428571428573E-2</c:v>
                </c:pt>
                <c:pt idx="1">
                  <c:v>7.6364293584973209E-2</c:v>
                </c:pt>
                <c:pt idx="2">
                  <c:v>8.1905296890661949E-2</c:v>
                </c:pt>
                <c:pt idx="3">
                  <c:v>8.9557158598517844E-2</c:v>
                </c:pt>
                <c:pt idx="4">
                  <c:v>9.5889733805019278E-2</c:v>
                </c:pt>
                <c:pt idx="5">
                  <c:v>0.10275002361206248</c:v>
                </c:pt>
                <c:pt idx="6">
                  <c:v>0.1053885966147714</c:v>
                </c:pt>
                <c:pt idx="7">
                  <c:v>0.1130404583226273</c:v>
                </c:pt>
                <c:pt idx="8">
                  <c:v>0.11594288862560712</c:v>
                </c:pt>
                <c:pt idx="9">
                  <c:v>0.12913575363915175</c:v>
                </c:pt>
                <c:pt idx="10">
                  <c:v>0.14232861865269639</c:v>
                </c:pt>
                <c:pt idx="11">
                  <c:v>0.15552148366624102</c:v>
                </c:pt>
                <c:pt idx="12">
                  <c:v>0.16871434867978566</c:v>
                </c:pt>
                <c:pt idx="13">
                  <c:v>0.18190721369333029</c:v>
                </c:pt>
                <c:pt idx="14">
                  <c:v>0.19510007870687493</c:v>
                </c:pt>
                <c:pt idx="15">
                  <c:v>0.20829294372041957</c:v>
                </c:pt>
                <c:pt idx="16">
                  <c:v>0.2214858087339642</c:v>
                </c:pt>
                <c:pt idx="17">
                  <c:v>0.23467867374750884</c:v>
                </c:pt>
                <c:pt idx="18">
                  <c:v>0.24787153876105347</c:v>
                </c:pt>
                <c:pt idx="19">
                  <c:v>0.26106440377459811</c:v>
                </c:pt>
                <c:pt idx="20">
                  <c:v>0.27425726878814272</c:v>
                </c:pt>
                <c:pt idx="21">
                  <c:v>0.28745013380168738</c:v>
                </c:pt>
                <c:pt idx="22">
                  <c:v>0.30064299881523204</c:v>
                </c:pt>
                <c:pt idx="23">
                  <c:v>0.3138358638287766</c:v>
                </c:pt>
                <c:pt idx="24">
                  <c:v>0.32439015583961239</c:v>
                </c:pt>
              </c:numCache>
            </c:numRef>
          </c:yVal>
          <c:smooth val="1"/>
        </c:ser>
        <c:ser>
          <c:idx val="1"/>
          <c:order val="1"/>
          <c:tx>
            <c:v>x=20</c:v>
          </c:tx>
          <c:marker>
            <c:symbol val="none"/>
          </c:marker>
          <c:xVal>
            <c:numRef>
              <c:f>Tassement_sans_surchage!$E$37:$E$61</c:f>
              <c:numCache>
                <c:formatCode>0.00E+00</c:formatCode>
                <c:ptCount val="25"/>
                <c:pt idx="0">
                  <c:v>0</c:v>
                </c:pt>
                <c:pt idx="1">
                  <c:v>4.7260802469135816</c:v>
                </c:pt>
                <c:pt idx="2">
                  <c:v>9.4521604938271633</c:v>
                </c:pt>
                <c:pt idx="3">
                  <c:v>18.904320987654327</c:v>
                </c:pt>
                <c:pt idx="4">
                  <c:v>28.356481481481488</c:v>
                </c:pt>
                <c:pt idx="5">
                  <c:v>42.534722222222229</c:v>
                </c:pt>
                <c:pt idx="6">
                  <c:v>47.260802469135811</c:v>
                </c:pt>
                <c:pt idx="7">
                  <c:v>66.165123456790141</c:v>
                </c:pt>
                <c:pt idx="8">
                  <c:v>70.891203703703709</c:v>
                </c:pt>
                <c:pt idx="9">
                  <c:v>115.78896604938274</c:v>
                </c:pt>
                <c:pt idx="10">
                  <c:v>165.41280864197535</c:v>
                </c:pt>
                <c:pt idx="11">
                  <c:v>226.8518518518519</c:v>
                </c:pt>
                <c:pt idx="12">
                  <c:v>307.19521604938279</c:v>
                </c:pt>
                <c:pt idx="13">
                  <c:v>375.72337962962973</c:v>
                </c:pt>
                <c:pt idx="14">
                  <c:v>472.60802469135814</c:v>
                </c:pt>
                <c:pt idx="15">
                  <c:v>564.76658950617298</c:v>
                </c:pt>
                <c:pt idx="16">
                  <c:v>675.82947530864203</c:v>
                </c:pt>
                <c:pt idx="17">
                  <c:v>808.1597222222224</c:v>
                </c:pt>
                <c:pt idx="18">
                  <c:v>952.3051697530866</c:v>
                </c:pt>
                <c:pt idx="19">
                  <c:v>1127.1701388888891</c:v>
                </c:pt>
                <c:pt idx="20">
                  <c:v>1346.9328703703704</c:v>
                </c:pt>
                <c:pt idx="21">
                  <c:v>1616.3194444444448</c:v>
                </c:pt>
                <c:pt idx="22">
                  <c:v>2008.5841049382718</c:v>
                </c:pt>
                <c:pt idx="23">
                  <c:v>2835.6481481481483</c:v>
                </c:pt>
                <c:pt idx="24">
                  <c:v>4726.0802469135815</c:v>
                </c:pt>
              </c:numCache>
            </c:numRef>
          </c:xVal>
          <c:yVal>
            <c:numRef>
              <c:f>Tassement_sans_surchage!$G$37:$G$61</c:f>
              <c:numCache>
                <c:formatCode>0.00</c:formatCode>
                <c:ptCount val="25"/>
                <c:pt idx="0">
                  <c:v>5.4755555555555557E-2</c:v>
                </c:pt>
                <c:pt idx="1">
                  <c:v>6.6755555555555554E-2</c:v>
                </c:pt>
                <c:pt idx="2">
                  <c:v>7.1795555555555557E-2</c:v>
                </c:pt>
                <c:pt idx="3">
                  <c:v>7.8755555555555551E-2</c:v>
                </c:pt>
                <c:pt idx="4">
                  <c:v>8.4515555555555552E-2</c:v>
                </c:pt>
                <c:pt idx="5">
                  <c:v>9.0755555555555562E-2</c:v>
                </c:pt>
                <c:pt idx="6">
                  <c:v>9.3155555555555547E-2</c:v>
                </c:pt>
                <c:pt idx="7">
                  <c:v>0.10011555555555554</c:v>
                </c:pt>
                <c:pt idx="8">
                  <c:v>0.10275555555555556</c:v>
                </c:pt>
                <c:pt idx="9">
                  <c:v>0.11475555555555556</c:v>
                </c:pt>
                <c:pt idx="10">
                  <c:v>0.12675555555555557</c:v>
                </c:pt>
                <c:pt idx="11">
                  <c:v>0.13875555555555555</c:v>
                </c:pt>
                <c:pt idx="12">
                  <c:v>0.15075555555555556</c:v>
                </c:pt>
                <c:pt idx="13">
                  <c:v>0.16275555555555554</c:v>
                </c:pt>
                <c:pt idx="14">
                  <c:v>0.17475555555555555</c:v>
                </c:pt>
                <c:pt idx="15">
                  <c:v>0.18675555555555556</c:v>
                </c:pt>
                <c:pt idx="16">
                  <c:v>0.19875555555555555</c:v>
                </c:pt>
                <c:pt idx="17">
                  <c:v>0.21075555555555556</c:v>
                </c:pt>
                <c:pt idx="18">
                  <c:v>0.22275555555555554</c:v>
                </c:pt>
                <c:pt idx="19">
                  <c:v>0.23475555555555555</c:v>
                </c:pt>
                <c:pt idx="20">
                  <c:v>0.24675555555555556</c:v>
                </c:pt>
                <c:pt idx="21">
                  <c:v>0.25875555555555552</c:v>
                </c:pt>
                <c:pt idx="22">
                  <c:v>0.27075555555555553</c:v>
                </c:pt>
                <c:pt idx="23">
                  <c:v>0.28275555555555554</c:v>
                </c:pt>
                <c:pt idx="24">
                  <c:v>0.29235555555555554</c:v>
                </c:pt>
              </c:numCache>
            </c:numRef>
          </c:yVal>
          <c:smooth val="1"/>
        </c:ser>
        <c:ser>
          <c:idx val="2"/>
          <c:order val="2"/>
          <c:tx>
            <c:v>x=40</c:v>
          </c:tx>
          <c:marker>
            <c:symbol val="none"/>
          </c:marker>
          <c:xVal>
            <c:numRef>
              <c:f>Tassement_sans_surchage!$E$37:$E$61</c:f>
              <c:numCache>
                <c:formatCode>0.00E+00</c:formatCode>
                <c:ptCount val="25"/>
                <c:pt idx="0">
                  <c:v>0</c:v>
                </c:pt>
                <c:pt idx="1">
                  <c:v>4.7260802469135816</c:v>
                </c:pt>
                <c:pt idx="2">
                  <c:v>9.4521604938271633</c:v>
                </c:pt>
                <c:pt idx="3">
                  <c:v>18.904320987654327</c:v>
                </c:pt>
                <c:pt idx="4">
                  <c:v>28.356481481481488</c:v>
                </c:pt>
                <c:pt idx="5">
                  <c:v>42.534722222222229</c:v>
                </c:pt>
                <c:pt idx="6">
                  <c:v>47.260802469135811</c:v>
                </c:pt>
                <c:pt idx="7">
                  <c:v>66.165123456790141</c:v>
                </c:pt>
                <c:pt idx="8">
                  <c:v>70.891203703703709</c:v>
                </c:pt>
                <c:pt idx="9">
                  <c:v>115.78896604938274</c:v>
                </c:pt>
                <c:pt idx="10">
                  <c:v>165.41280864197535</c:v>
                </c:pt>
                <c:pt idx="11">
                  <c:v>226.8518518518519</c:v>
                </c:pt>
                <c:pt idx="12">
                  <c:v>307.19521604938279</c:v>
                </c:pt>
                <c:pt idx="13">
                  <c:v>375.72337962962973</c:v>
                </c:pt>
                <c:pt idx="14">
                  <c:v>472.60802469135814</c:v>
                </c:pt>
                <c:pt idx="15">
                  <c:v>564.76658950617298</c:v>
                </c:pt>
                <c:pt idx="16">
                  <c:v>675.82947530864203</c:v>
                </c:pt>
                <c:pt idx="17">
                  <c:v>808.1597222222224</c:v>
                </c:pt>
                <c:pt idx="18">
                  <c:v>952.3051697530866</c:v>
                </c:pt>
                <c:pt idx="19">
                  <c:v>1127.1701388888891</c:v>
                </c:pt>
                <c:pt idx="20">
                  <c:v>1346.9328703703704</c:v>
                </c:pt>
                <c:pt idx="21">
                  <c:v>1616.3194444444448</c:v>
                </c:pt>
                <c:pt idx="22">
                  <c:v>2008.5841049382718</c:v>
                </c:pt>
                <c:pt idx="23">
                  <c:v>2835.6481481481483</c:v>
                </c:pt>
                <c:pt idx="24">
                  <c:v>4726.0802469135815</c:v>
                </c:pt>
              </c:numCache>
            </c:numRef>
          </c:xVal>
          <c:yVal>
            <c:numRef>
              <c:f>Tassement_sans_surchage!$H$37:$H$61</c:f>
              <c:numCache>
                <c:formatCode>0.00</c:formatCode>
                <c:ptCount val="25"/>
                <c:pt idx="0">
                  <c:v>4.6498412698412699E-2</c:v>
                </c:pt>
                <c:pt idx="1">
                  <c:v>5.7498412698412701E-2</c:v>
                </c:pt>
                <c:pt idx="2">
                  <c:v>6.2118412698412701E-2</c:v>
                </c:pt>
                <c:pt idx="3">
                  <c:v>6.8498412698412697E-2</c:v>
                </c:pt>
                <c:pt idx="4">
                  <c:v>7.3778412698412704E-2</c:v>
                </c:pt>
                <c:pt idx="5">
                  <c:v>7.9498412698412707E-2</c:v>
                </c:pt>
                <c:pt idx="6">
                  <c:v>8.1698412698412701E-2</c:v>
                </c:pt>
                <c:pt idx="7">
                  <c:v>8.8078412698412684E-2</c:v>
                </c:pt>
                <c:pt idx="8">
                  <c:v>9.0498412698412703E-2</c:v>
                </c:pt>
                <c:pt idx="9">
                  <c:v>0.1014984126984127</c:v>
                </c:pt>
                <c:pt idx="10">
                  <c:v>0.11249841269841271</c:v>
                </c:pt>
                <c:pt idx="11">
                  <c:v>0.12349841269841269</c:v>
                </c:pt>
                <c:pt idx="12">
                  <c:v>0.1344984126984127</c:v>
                </c:pt>
                <c:pt idx="13">
                  <c:v>0.14549841269841271</c:v>
                </c:pt>
                <c:pt idx="14">
                  <c:v>0.15649841269841269</c:v>
                </c:pt>
                <c:pt idx="15">
                  <c:v>0.1674984126984127</c:v>
                </c:pt>
                <c:pt idx="16">
                  <c:v>0.17849841269841271</c:v>
                </c:pt>
                <c:pt idx="17">
                  <c:v>0.18949841269841272</c:v>
                </c:pt>
                <c:pt idx="18">
                  <c:v>0.2004984126984127</c:v>
                </c:pt>
                <c:pt idx="19">
                  <c:v>0.21149841269841271</c:v>
                </c:pt>
                <c:pt idx="20">
                  <c:v>0.22249841269841272</c:v>
                </c:pt>
                <c:pt idx="21">
                  <c:v>0.23349841269841271</c:v>
                </c:pt>
                <c:pt idx="22">
                  <c:v>0.24449841269841271</c:v>
                </c:pt>
                <c:pt idx="23">
                  <c:v>0.25549841269841267</c:v>
                </c:pt>
                <c:pt idx="24">
                  <c:v>0.2642984126984127</c:v>
                </c:pt>
              </c:numCache>
            </c:numRef>
          </c:yVal>
          <c:smooth val="1"/>
        </c:ser>
        <c:ser>
          <c:idx val="3"/>
          <c:order val="3"/>
          <c:tx>
            <c:v>x=50</c:v>
          </c:tx>
          <c:marker>
            <c:symbol val="none"/>
          </c:marker>
          <c:xVal>
            <c:numRef>
              <c:f>Tassement_sans_surchage!$E$37:$E$61</c:f>
              <c:numCache>
                <c:formatCode>0.00E+00</c:formatCode>
                <c:ptCount val="25"/>
                <c:pt idx="0">
                  <c:v>0</c:v>
                </c:pt>
                <c:pt idx="1">
                  <c:v>4.7260802469135816</c:v>
                </c:pt>
                <c:pt idx="2">
                  <c:v>9.4521604938271633</c:v>
                </c:pt>
                <c:pt idx="3">
                  <c:v>18.904320987654327</c:v>
                </c:pt>
                <c:pt idx="4">
                  <c:v>28.356481481481488</c:v>
                </c:pt>
                <c:pt idx="5">
                  <c:v>42.534722222222229</c:v>
                </c:pt>
                <c:pt idx="6">
                  <c:v>47.260802469135811</c:v>
                </c:pt>
                <c:pt idx="7">
                  <c:v>66.165123456790141</c:v>
                </c:pt>
                <c:pt idx="8">
                  <c:v>70.891203703703709</c:v>
                </c:pt>
                <c:pt idx="9">
                  <c:v>115.78896604938274</c:v>
                </c:pt>
                <c:pt idx="10">
                  <c:v>165.41280864197535</c:v>
                </c:pt>
                <c:pt idx="11">
                  <c:v>226.8518518518519</c:v>
                </c:pt>
                <c:pt idx="12">
                  <c:v>307.19521604938279</c:v>
                </c:pt>
                <c:pt idx="13">
                  <c:v>375.72337962962973</c:v>
                </c:pt>
                <c:pt idx="14">
                  <c:v>472.60802469135814</c:v>
                </c:pt>
                <c:pt idx="15">
                  <c:v>564.76658950617298</c:v>
                </c:pt>
                <c:pt idx="16">
                  <c:v>675.82947530864203</c:v>
                </c:pt>
                <c:pt idx="17">
                  <c:v>808.1597222222224</c:v>
                </c:pt>
                <c:pt idx="18">
                  <c:v>952.3051697530866</c:v>
                </c:pt>
                <c:pt idx="19">
                  <c:v>1127.1701388888891</c:v>
                </c:pt>
                <c:pt idx="20">
                  <c:v>1346.9328703703704</c:v>
                </c:pt>
                <c:pt idx="21">
                  <c:v>1616.3194444444448</c:v>
                </c:pt>
                <c:pt idx="22">
                  <c:v>2008.5841049382718</c:v>
                </c:pt>
                <c:pt idx="23">
                  <c:v>2835.6481481481483</c:v>
                </c:pt>
                <c:pt idx="24">
                  <c:v>4726.0802469135815</c:v>
                </c:pt>
              </c:numCache>
            </c:numRef>
          </c:xVal>
          <c:yVal>
            <c:numRef>
              <c:f>Tassement_sans_surchage!$I$37:$I$61</c:f>
              <c:numCache>
                <c:formatCode>0.00</c:formatCode>
                <c:ptCount val="25"/>
                <c:pt idx="0">
                  <c:v>4.2429365079365081E-2</c:v>
                </c:pt>
                <c:pt idx="1">
                  <c:v>5.2929365079365083E-2</c:v>
                </c:pt>
                <c:pt idx="2">
                  <c:v>5.733936507936508E-2</c:v>
                </c:pt>
                <c:pt idx="3">
                  <c:v>6.3429365079365085E-2</c:v>
                </c:pt>
                <c:pt idx="4">
                  <c:v>6.8469365079365074E-2</c:v>
                </c:pt>
                <c:pt idx="5">
                  <c:v>7.3929365079365081E-2</c:v>
                </c:pt>
                <c:pt idx="6">
                  <c:v>7.6029365079365085E-2</c:v>
                </c:pt>
                <c:pt idx="7">
                  <c:v>8.211936507936507E-2</c:v>
                </c:pt>
                <c:pt idx="8">
                  <c:v>8.4429365079365076E-2</c:v>
                </c:pt>
                <c:pt idx="9">
                  <c:v>9.4929365079365086E-2</c:v>
                </c:pt>
                <c:pt idx="10">
                  <c:v>0.10542936507936508</c:v>
                </c:pt>
                <c:pt idx="11">
                  <c:v>0.11592936507936508</c:v>
                </c:pt>
                <c:pt idx="12">
                  <c:v>0.12642936507936509</c:v>
                </c:pt>
                <c:pt idx="13">
                  <c:v>0.1369293650793651</c:v>
                </c:pt>
                <c:pt idx="14">
                  <c:v>0.14742936507936508</c:v>
                </c:pt>
                <c:pt idx="15">
                  <c:v>0.15792936507936509</c:v>
                </c:pt>
                <c:pt idx="16">
                  <c:v>0.16842936507936507</c:v>
                </c:pt>
                <c:pt idx="17">
                  <c:v>0.17892936507936508</c:v>
                </c:pt>
                <c:pt idx="18">
                  <c:v>0.18942936507936509</c:v>
                </c:pt>
                <c:pt idx="19">
                  <c:v>0.1999293650793651</c:v>
                </c:pt>
                <c:pt idx="20">
                  <c:v>0.2104293650793651</c:v>
                </c:pt>
                <c:pt idx="21">
                  <c:v>0.22092936507936506</c:v>
                </c:pt>
                <c:pt idx="22">
                  <c:v>0.23142936507936507</c:v>
                </c:pt>
                <c:pt idx="23">
                  <c:v>0.24192936507936508</c:v>
                </c:pt>
                <c:pt idx="24">
                  <c:v>0.2503293650793651</c:v>
                </c:pt>
              </c:numCache>
            </c:numRef>
          </c:yVal>
          <c:smooth val="1"/>
        </c:ser>
        <c:ser>
          <c:idx val="4"/>
          <c:order val="4"/>
          <c:tx>
            <c:v>x=85</c:v>
          </c:tx>
          <c:marker>
            <c:symbol val="none"/>
          </c:marker>
          <c:xVal>
            <c:numRef>
              <c:f>Tassement_sans_surchage!$E$37:$E$61</c:f>
              <c:numCache>
                <c:formatCode>0.00E+00</c:formatCode>
                <c:ptCount val="25"/>
                <c:pt idx="0">
                  <c:v>0</c:v>
                </c:pt>
                <c:pt idx="1">
                  <c:v>4.7260802469135816</c:v>
                </c:pt>
                <c:pt idx="2">
                  <c:v>9.4521604938271633</c:v>
                </c:pt>
                <c:pt idx="3">
                  <c:v>18.904320987654327</c:v>
                </c:pt>
                <c:pt idx="4">
                  <c:v>28.356481481481488</c:v>
                </c:pt>
                <c:pt idx="5">
                  <c:v>42.534722222222229</c:v>
                </c:pt>
                <c:pt idx="6">
                  <c:v>47.260802469135811</c:v>
                </c:pt>
                <c:pt idx="7">
                  <c:v>66.165123456790141</c:v>
                </c:pt>
                <c:pt idx="8">
                  <c:v>70.891203703703709</c:v>
                </c:pt>
                <c:pt idx="9">
                  <c:v>115.78896604938274</c:v>
                </c:pt>
                <c:pt idx="10">
                  <c:v>165.41280864197535</c:v>
                </c:pt>
                <c:pt idx="11">
                  <c:v>226.8518518518519</c:v>
                </c:pt>
                <c:pt idx="12">
                  <c:v>307.19521604938279</c:v>
                </c:pt>
                <c:pt idx="13">
                  <c:v>375.72337962962973</c:v>
                </c:pt>
                <c:pt idx="14">
                  <c:v>472.60802469135814</c:v>
                </c:pt>
                <c:pt idx="15">
                  <c:v>564.76658950617298</c:v>
                </c:pt>
                <c:pt idx="16">
                  <c:v>675.82947530864203</c:v>
                </c:pt>
                <c:pt idx="17">
                  <c:v>808.1597222222224</c:v>
                </c:pt>
                <c:pt idx="18">
                  <c:v>952.3051697530866</c:v>
                </c:pt>
                <c:pt idx="19">
                  <c:v>1127.1701388888891</c:v>
                </c:pt>
                <c:pt idx="20">
                  <c:v>1346.9328703703704</c:v>
                </c:pt>
                <c:pt idx="21">
                  <c:v>1616.3194444444448</c:v>
                </c:pt>
                <c:pt idx="22">
                  <c:v>2008.5841049382718</c:v>
                </c:pt>
                <c:pt idx="23">
                  <c:v>2835.6481481481483</c:v>
                </c:pt>
                <c:pt idx="24">
                  <c:v>4726.0802469135815</c:v>
                </c:pt>
              </c:numCache>
            </c:numRef>
          </c:xVal>
          <c:yVal>
            <c:numRef>
              <c:f>Tassement_sans_surchage!$J$37:$J$61</c:f>
              <c:numCache>
                <c:formatCode>0.00</c:formatCode>
                <c:ptCount val="25"/>
                <c:pt idx="0">
                  <c:v>2.8500198412698415E-2</c:v>
                </c:pt>
                <c:pt idx="1">
                  <c:v>3.5500198412698414E-2</c:v>
                </c:pt>
                <c:pt idx="2">
                  <c:v>3.8440198412698412E-2</c:v>
                </c:pt>
                <c:pt idx="3">
                  <c:v>4.250019841269842E-2</c:v>
                </c:pt>
                <c:pt idx="4">
                  <c:v>4.5860198412698415E-2</c:v>
                </c:pt>
                <c:pt idx="5">
                  <c:v>4.9500198412698412E-2</c:v>
                </c:pt>
                <c:pt idx="6">
                  <c:v>5.0900198412698418E-2</c:v>
                </c:pt>
                <c:pt idx="7">
                  <c:v>5.4960198412698412E-2</c:v>
                </c:pt>
                <c:pt idx="8">
                  <c:v>5.6500198412698419E-2</c:v>
                </c:pt>
                <c:pt idx="9">
                  <c:v>6.3500198412698411E-2</c:v>
                </c:pt>
                <c:pt idx="10">
                  <c:v>7.0500198412698417E-2</c:v>
                </c:pt>
                <c:pt idx="11">
                  <c:v>7.7500198412698423E-2</c:v>
                </c:pt>
                <c:pt idx="12">
                  <c:v>8.450019841269843E-2</c:v>
                </c:pt>
                <c:pt idx="13">
                  <c:v>9.1500198412698436E-2</c:v>
                </c:pt>
                <c:pt idx="14">
                  <c:v>9.8500198412698414E-2</c:v>
                </c:pt>
                <c:pt idx="15">
                  <c:v>0.10550019841269842</c:v>
                </c:pt>
                <c:pt idx="16">
                  <c:v>0.11250019841269843</c:v>
                </c:pt>
                <c:pt idx="17">
                  <c:v>0.11950019841269843</c:v>
                </c:pt>
                <c:pt idx="18">
                  <c:v>0.12650019841269841</c:v>
                </c:pt>
                <c:pt idx="19">
                  <c:v>0.13350019841269842</c:v>
                </c:pt>
                <c:pt idx="20">
                  <c:v>0.14050019841269842</c:v>
                </c:pt>
                <c:pt idx="21">
                  <c:v>0.14750019841269843</c:v>
                </c:pt>
                <c:pt idx="22">
                  <c:v>0.15450019841269844</c:v>
                </c:pt>
                <c:pt idx="23">
                  <c:v>0.16150019841269841</c:v>
                </c:pt>
                <c:pt idx="24">
                  <c:v>0.16710019841269841</c:v>
                </c:pt>
              </c:numCache>
            </c:numRef>
          </c:yVal>
          <c:smooth val="1"/>
        </c:ser>
        <c:ser>
          <c:idx val="5"/>
          <c:order val="5"/>
          <c:tx>
            <c:v>x=120</c:v>
          </c:tx>
          <c:marker>
            <c:symbol val="none"/>
          </c:marker>
          <c:xVal>
            <c:numRef>
              <c:f>Tassement_sans_surchage!$E$37:$E$61</c:f>
              <c:numCache>
                <c:formatCode>0.00E+00</c:formatCode>
                <c:ptCount val="25"/>
                <c:pt idx="0">
                  <c:v>0</c:v>
                </c:pt>
                <c:pt idx="1">
                  <c:v>4.7260802469135816</c:v>
                </c:pt>
                <c:pt idx="2">
                  <c:v>9.4521604938271633</c:v>
                </c:pt>
                <c:pt idx="3">
                  <c:v>18.904320987654327</c:v>
                </c:pt>
                <c:pt idx="4">
                  <c:v>28.356481481481488</c:v>
                </c:pt>
                <c:pt idx="5">
                  <c:v>42.534722222222229</c:v>
                </c:pt>
                <c:pt idx="6">
                  <c:v>47.260802469135811</c:v>
                </c:pt>
                <c:pt idx="7">
                  <c:v>66.165123456790141</c:v>
                </c:pt>
                <c:pt idx="8">
                  <c:v>70.891203703703709</c:v>
                </c:pt>
                <c:pt idx="9">
                  <c:v>115.78896604938274</c:v>
                </c:pt>
                <c:pt idx="10">
                  <c:v>165.41280864197535</c:v>
                </c:pt>
                <c:pt idx="11">
                  <c:v>226.8518518518519</c:v>
                </c:pt>
                <c:pt idx="12">
                  <c:v>307.19521604938279</c:v>
                </c:pt>
                <c:pt idx="13">
                  <c:v>375.72337962962973</c:v>
                </c:pt>
                <c:pt idx="14">
                  <c:v>472.60802469135814</c:v>
                </c:pt>
                <c:pt idx="15">
                  <c:v>564.76658950617298</c:v>
                </c:pt>
                <c:pt idx="16">
                  <c:v>675.82947530864203</c:v>
                </c:pt>
                <c:pt idx="17">
                  <c:v>808.1597222222224</c:v>
                </c:pt>
                <c:pt idx="18">
                  <c:v>952.3051697530866</c:v>
                </c:pt>
                <c:pt idx="19">
                  <c:v>1127.1701388888891</c:v>
                </c:pt>
                <c:pt idx="20">
                  <c:v>1346.9328703703704</c:v>
                </c:pt>
                <c:pt idx="21">
                  <c:v>1616.3194444444448</c:v>
                </c:pt>
                <c:pt idx="22">
                  <c:v>2008.5841049382718</c:v>
                </c:pt>
                <c:pt idx="23">
                  <c:v>2835.6481481481483</c:v>
                </c:pt>
                <c:pt idx="24">
                  <c:v>4726.0802469135815</c:v>
                </c:pt>
              </c:numCache>
            </c:numRef>
          </c:xVal>
          <c:yVal>
            <c:numRef>
              <c:f>Tassement_sans_surchage!$K$37:$K$61</c:f>
              <c:numCache>
                <c:formatCode>0.00</c:formatCode>
                <c:ptCount val="25"/>
                <c:pt idx="0">
                  <c:v>1.5057142857142857E-2</c:v>
                </c:pt>
                <c:pt idx="1">
                  <c:v>1.7557142857142858E-2</c:v>
                </c:pt>
                <c:pt idx="2">
                  <c:v>1.8607142857142857E-2</c:v>
                </c:pt>
                <c:pt idx="3">
                  <c:v>2.0057142857142857E-2</c:v>
                </c:pt>
                <c:pt idx="4">
                  <c:v>2.1257142857142856E-2</c:v>
                </c:pt>
                <c:pt idx="5">
                  <c:v>2.2557142857142859E-2</c:v>
                </c:pt>
                <c:pt idx="6">
                  <c:v>2.3057142857142859E-2</c:v>
                </c:pt>
                <c:pt idx="7">
                  <c:v>2.4507142857142859E-2</c:v>
                </c:pt>
                <c:pt idx="8">
                  <c:v>2.5057142857142861E-2</c:v>
                </c:pt>
                <c:pt idx="9">
                  <c:v>2.7557142857142856E-2</c:v>
                </c:pt>
                <c:pt idx="10">
                  <c:v>3.0057142857142859E-2</c:v>
                </c:pt>
                <c:pt idx="11">
                  <c:v>3.2557142857142854E-2</c:v>
                </c:pt>
                <c:pt idx="12">
                  <c:v>3.5057142857142863E-2</c:v>
                </c:pt>
                <c:pt idx="13">
                  <c:v>3.7557142857142858E-2</c:v>
                </c:pt>
                <c:pt idx="14">
                  <c:v>4.0057142857142861E-2</c:v>
                </c:pt>
                <c:pt idx="15">
                  <c:v>4.2557142857142863E-2</c:v>
                </c:pt>
                <c:pt idx="16">
                  <c:v>4.5057142857142858E-2</c:v>
                </c:pt>
                <c:pt idx="17">
                  <c:v>4.755714285714286E-2</c:v>
                </c:pt>
                <c:pt idx="18">
                  <c:v>5.0057142857142856E-2</c:v>
                </c:pt>
                <c:pt idx="19">
                  <c:v>5.2557142857142865E-2</c:v>
                </c:pt>
                <c:pt idx="20">
                  <c:v>5.5057142857142867E-2</c:v>
                </c:pt>
                <c:pt idx="21">
                  <c:v>5.7557142857142862E-2</c:v>
                </c:pt>
                <c:pt idx="22">
                  <c:v>6.0057142857142864E-2</c:v>
                </c:pt>
                <c:pt idx="23">
                  <c:v>6.2557142857142853E-2</c:v>
                </c:pt>
                <c:pt idx="24">
                  <c:v>6.4557142857142855E-2</c:v>
                </c:pt>
              </c:numCache>
            </c:numRef>
          </c:yVal>
          <c:smooth val="1"/>
        </c:ser>
        <c:dLbls>
          <c:showLegendKey val="0"/>
          <c:showVal val="0"/>
          <c:showCatName val="0"/>
          <c:showSerName val="0"/>
          <c:showPercent val="0"/>
          <c:showBubbleSize val="0"/>
        </c:dLbls>
        <c:axId val="42810368"/>
        <c:axId val="42919040"/>
      </c:scatterChart>
      <c:valAx>
        <c:axId val="42810368"/>
        <c:scaling>
          <c:logBase val="10"/>
          <c:orientation val="minMax"/>
          <c:min val="5"/>
        </c:scaling>
        <c:delete val="0"/>
        <c:axPos val="b"/>
        <c:majorGridlines/>
        <c:minorGridlines/>
        <c:title>
          <c:tx>
            <c:rich>
              <a:bodyPr/>
              <a:lstStyle/>
              <a:p>
                <a:pPr>
                  <a:defRPr/>
                </a:pPr>
                <a:r>
                  <a:rPr lang="fr-FR"/>
                  <a:t>Temps (jours)</a:t>
                </a:r>
              </a:p>
            </c:rich>
          </c:tx>
          <c:overlay val="0"/>
        </c:title>
        <c:numFmt formatCode="0.00E+00" sourceLinked="1"/>
        <c:majorTickMark val="out"/>
        <c:minorTickMark val="none"/>
        <c:tickLblPos val="nextTo"/>
        <c:crossAx val="42919040"/>
        <c:crosses val="autoZero"/>
        <c:crossBetween val="midCat"/>
      </c:valAx>
      <c:valAx>
        <c:axId val="42919040"/>
        <c:scaling>
          <c:orientation val="minMax"/>
          <c:min val="0"/>
        </c:scaling>
        <c:delete val="0"/>
        <c:axPos val="l"/>
        <c:majorGridlines/>
        <c:title>
          <c:tx>
            <c:rich>
              <a:bodyPr rot="-5400000" vert="horz"/>
              <a:lstStyle/>
              <a:p>
                <a:pPr>
                  <a:defRPr/>
                </a:pPr>
                <a:r>
                  <a:rPr lang="fr-FR"/>
                  <a:t>Tassement (m)</a:t>
                </a:r>
              </a:p>
            </c:rich>
          </c:tx>
          <c:overlay val="0"/>
        </c:title>
        <c:numFmt formatCode="0.00" sourceLinked="1"/>
        <c:majorTickMark val="out"/>
        <c:minorTickMark val="none"/>
        <c:tickLblPos val="nextTo"/>
        <c:crossAx val="4281036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710</Words>
  <Characters>3910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2019-03-31T09:29:00Z</dcterms:created>
  <dcterms:modified xsi:type="dcterms:W3CDTF">2019-03-31T15:16:00Z</dcterms:modified>
</cp:coreProperties>
</file>