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sz w:val="34"/>
        </w:rPr>
        <w:t>Statistical analysis</w:t>
      </w:r>
    </w:p>
    <w:p>
      <w:pPr>
        <w:keepNext/>
      </w:pPr>
      <w:r>
        <w:rPr>
          <w:b/>
        </w:rPr>
        <w:t xml:space="preserve">Answer stability. </w:t>
      </w:r>
      <w:r/>
      <w:r>
        <w:t xml:space="preserve">Our primary measure was whether a model changed its answer to an item across five administrations (cf. Dentella et al., 2024). Let </w:t>
      </w:r>
      <w:r>
        <w:rPr>
          <w:i/>
        </w:rPr>
        <w:t>x</w:t>
      </w:r>
      <w:r>
        <w:rPr>
          <w:i/>
          <w:vertAlign w:val="subscript"/>
        </w:rPr>
        <w:t>jr</w:t>
      </w:r>
      <w:r>
        <w:t xml:space="preserve"> denote the answer for model–item combination j in administration r, and let N be the number of combinations with five scored answers. The proportion showing any change was:</w:t>
      </w:r>
    </w:p>
    <w:p>
      <w:pPr>
        <w:keepNext/>
        <w:spacing w:before="60" w:after="180"/>
        <w:jc w:val="center"/>
      </w:pPr>
      <m:oMathPara>
        <m:oMath>
          <m:r>
            <m:t>C = </m:t>
          </m:r>
          <m:f>
            <m:num>
              <m:r>
                <m:t>1</m:t>
              </m:r>
            </m:num>
            <m:den>
              <m:r>
                <m:t>N</m:t>
              </m:r>
            </m:den>
          </m:f>
          <m:nary>
            <m:naryPr>
              <m:chr m:val="∑"/>
              <m:limLoc m:val="undOvr"/>
            </m:naryPr>
            <m:sub>
              <m:r>
                <m:t>j = 1</m:t>
              </m:r>
            </m:sub>
            <m:sup>
              <m:r>
                <m:t>N</m:t>
              </m:r>
            </m:sup>
            <m:e>
              <m:r>
                <m:t>1(|{</m:t>
              </m:r>
              <m:sSub>
                <m:e>
                  <m:r>
                    <m:t>x</m:t>
                  </m:r>
                </m:e>
                <m:sub>
                  <m:r>
                    <m:t>j1</m:t>
                  </m:r>
                </m:sub>
              </m:sSub>
              <m:r>
                <m:t>, …, </m:t>
              </m:r>
              <m:sSub>
                <m:e>
                  <m:r>
                    <m:t>x</m:t>
                  </m:r>
                </m:e>
                <m:sub>
                  <m:r>
                    <m:t>j5</m:t>
                  </m:r>
                </m:sub>
              </m:sSub>
              <m:r>
                <m:t>}| &gt; 1)</m:t>
              </m:r>
            </m:e>
          </m:nary>
        </m:oMath>
      </m:oMathPara>
    </w:p>
    <w:p>
      <w:pPr>
        <w:keepNext/>
      </w:pPr>
      <w:r>
        <w:t>where |{·}| counts distinct answers and 1(·) equals 1 when the condition is true and 0 otherwise. Because additional administrations provide more opportunities to detect change, we also calculated two-run disagreement:</w:t>
      </w:r>
    </w:p>
    <w:p>
      <w:pPr>
        <w:keepNext/>
        <w:spacing w:before="60" w:after="180"/>
        <w:jc w:val="center"/>
      </w:pPr>
      <m:oMathPara>
        <m:oMath>
          <m:r>
            <m:t>D = </m:t>
          </m:r>
          <m:f>
            <m:num>
              <m:r>
                <m:t>1</m:t>
              </m:r>
            </m:num>
            <m:den>
              <m:r>
                <m:t>10N</m:t>
              </m:r>
            </m:den>
          </m:f>
          <m:nary>
            <m:naryPr>
              <m:chr m:val="∑"/>
              <m:limLoc m:val="undOvr"/>
            </m:naryPr>
            <m:sub>
              <m:r>
                <m:t>j = 1</m:t>
              </m:r>
            </m:sub>
            <m:sup>
              <m:r>
                <m:t>N</m:t>
              </m:r>
            </m:sup>
            <m:e>
              <m:nary>
                <m:naryPr>
                  <m:chr m:val="∑"/>
                  <m:limLoc m:val="undOvr"/>
                  <m:supHide m:val="1"/>
                </m:naryPr>
                <m:sub>
                  <m:r>
                    <m:t>r &lt; s</m:t>
                  </m:r>
                </m:sub>
                <m:sup>
                  <m:r>
                    <m:t/>
                  </m:r>
                </m:sup>
                <m:e>
                  <m:r>
                    <m:t>1(</m:t>
                  </m:r>
                  <m:sSub>
                    <m:e>
                      <m:r>
                        <m:t>x</m:t>
                      </m:r>
                    </m:e>
                    <m:sub>
                      <m:r>
                        <m:t>jr</m:t>
                      </m:r>
                    </m:sub>
                  </m:sSub>
                  <m:r>
                    <m:t> ≠ </m:t>
                  </m:r>
                  <m:sSub>
                    <m:e>
                      <m:r>
                        <m:t>x</m:t>
                      </m:r>
                    </m:e>
                    <m:sub>
                      <m:r>
                        <m:t>js</m:t>
                      </m:r>
                    </m:sub>
                  </m:sSub>
                  <m:r>
                    <m:t>)</m:t>
                  </m:r>
                </m:e>
              </m:nary>
            </m:e>
          </m:nary>
        </m:oMath>
      </m:oMathPara>
    </w:p>
    <w:p>
      <w:pPr>
        <w:keepNext w:val="0"/>
      </w:pPr>
      <w:r>
        <w:t>The inner sum compares all ten pairs of administrations. Thus, D estimates the probability that two answers to the same item differ.</w:t>
      </w:r>
    </w:p>
    <w:p>
      <w:pPr>
        <w:keepNext/>
      </w:pPr>
      <w:r>
        <w:rPr>
          <w:b/>
        </w:rPr>
        <w:t xml:space="preserve">Summary reliability. </w:t>
      </w:r>
      <w:r>
        <w:t>We calculated Krippendorff’s α separately for each model and scale, treating items as the units assessed and administrations as repeated assessments:</w:t>
      </w:r>
    </w:p>
    <w:p>
      <w:pPr>
        <w:keepNext/>
        <w:spacing w:before="60" w:after="180"/>
        <w:jc w:val="center"/>
      </w:pPr>
      <m:oMathPara>
        <m:oMath>
          <m:r>
            <m:t>α = 1 − </m:t>
          </m:r>
          <m:f>
            <m:num>
              <m:sSub>
                <m:e>
                  <m:r>
                    <m:t>D</m:t>
                  </m:r>
                </m:e>
                <m:sub>
                  <m:r>
                    <m:t>o</m:t>
                  </m:r>
                </m:sub>
              </m:sSub>
            </m:num>
            <m:den>
              <m:sSub>
                <m:e>
                  <m:r>
                    <m:t>D</m:t>
                  </m:r>
                </m:e>
                <m:sub>
                  <m:r>
                    <m:t>e</m:t>
                  </m:r>
                </m:sub>
              </m:sSub>
            </m:den>
          </m:f>
        </m:oMath>
      </m:oMathPara>
    </w:p>
    <w:p>
      <w:pPr>
        <w:keepNext w:val="0"/>
      </w:pPr>
      <w:r/>
      <w:r>
        <w:t xml:space="preserve">where </w:t>
      </w:r>
      <w:r>
        <w:rPr>
          <w:i/>
        </w:rPr>
        <w:t>D</w:t>
      </w:r>
      <w:r>
        <w:rPr>
          <w:i/>
          <w:vertAlign w:val="subscript"/>
        </w:rPr>
        <w:t>o</w:t>
      </w:r>
      <w:r>
        <w:t xml:space="preserve"> is observed disagreement between repeated answers to the same item and </w:t>
      </w:r>
      <w:r>
        <w:rPr>
          <w:i/>
        </w:rPr>
        <w:t>D</w:t>
      </w:r>
      <w:r>
        <w:rPr>
          <w:i/>
          <w:vertAlign w:val="subscript"/>
        </w:rPr>
        <w:t>e</w:t>
      </w:r>
      <w:r>
        <w:t xml:space="preserve"> is expected disagreement when responses are randomly paired without regard to item. Our primary calculation used squared score differences, so larger changes contributed more disagreement. An α of 1 indicates perfect agreement, whereas 0 indicates agreement at the chance baseline. We used .80 as the reference point of Barrie et al. (2026); this is not equivalent to 80% identical answers. Alpha is undefined when all responses have the same value.</w:t>
      </w:r>
    </w:p>
    <w:p>
      <w:pPr>
        <w:keepNext w:val="0"/>
      </w:pPr>
      <w:r>
        <w:t>We also calculated intraclass correlations, which compare variation between assessed units with variation across repetitions, and the coefficient of variation, CV = 100s/x̄, where s and x̄ are the standard deviation and mean of a model’s five scale scores (Rozado, 2024). Cross-instrument CV comparisons used scales numbered from 1.</w:t>
      </w:r>
    </w:p>
    <w:p>
      <w:pPr>
        <w:keepNext w:val="0"/>
      </w:pPr>
      <w:r>
        <w:rPr>
          <w:b/>
        </w:rPr>
        <w:t xml:space="preserve">Robustness and comparisons. </w:t>
      </w:r>
      <w:r>
        <w:t>We analysed each administration separately, recording each model’s position relative to the midpoint, rank, the highest-scoring model and the direction of its English–Chinese difference. We also examined answer change in relation to the first answer’s scale position. Language comparisons matched scores within models and compared the frequency of responses at either scale endpoint. RMET accuracy was compared with published adult norms (Baron-Cohen et al., 2001) and related to answer change using Spearman’s correlation.</w:t>
      </w:r>
    </w:p>
    <w:p>
      <w:pPr>
        <w:keepNext w:val="0"/>
      </w:pPr>
      <w:r>
        <w:t>We obtained 95% confidence intervals for pooled proportions by independently resampling models and items 2,000 times (Owen, 2007). Analyses were exploratory, were not preregistered, and used Benjamini–Hochberg adjustment within families of related tests. Analyses used R 4.6.0 (R Core Team, 2026). Full results are in the Supplementary Results; data and code are available at https://github.com/delphinedang/MS_AAI_ToM.</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