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28</w:t>
            </w:r>
          </w:p>
        </w:tc>
      </w:tr>
      <w:tr>
        <w:tc>
          <w:tcPr>
            <w:tcW w:type="dxa" w:w="8200"/>
          </w:tcPr>
          <w:p>
            <w:pPr>
              <w:keepLines/>
              <w:spacing w:after="20"/>
            </w:pPr>
            <w:r>
              <w:rPr>
                <w:rFonts w:ascii="Aptos" w:hAnsi="Aptos"/>
                <w:b w:val="0"/>
                <w:color w:val="1F4E79"/>
                <w:sz w:val="18"/>
              </w:rPr>
              <w:t>23. Appendix A - License Information</w:t>
            </w:r>
          </w:p>
        </w:tc>
        <w:tc>
          <w:tcPr>
            <w:tcW w:type="dxa" w:w="1160"/>
          </w:tcPr>
          <w:p>
            <w:pPr>
              <w:keepLines/>
              <w:spacing w:after="20"/>
              <w:jc w:val="right"/>
            </w:pPr>
            <w:r>
              <w:rPr>
                <w:rFonts w:ascii="Aptos" w:hAnsi="Aptos"/>
                <w:b/>
                <w:color w:val="5D6D7E"/>
                <w:sz w:val="18"/>
              </w:rPr>
              <w:t>29</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and deploys packs to the folders you approved. It leaves the target Pascal, DFM, FMX, DPR, and DPROJ files unchanged.</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C:\New Delphi 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Close the target project before Wizard final processing. The Wizard verifies this explicitly at Review and Authorize.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jc w:val="center"/>
      </w:pPr>
      <w:r>
        <w:drawing>
          <wp:inline xmlns:a="http://schemas.openxmlformats.org/drawingml/2006/main" xmlns:pic="http://schemas.openxmlformats.org/drawingml/2006/picture">
            <wp:extent cx="5897880" cy="3864317"/>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897880" cy="3864317"/>
                    </a:xfrm>
                    <a:prstGeom prst="rect"/>
                  </pic:spPr>
                </pic:pic>
              </a:graphicData>
            </a:graphic>
          </wp:inline>
        </w:drawing>
      </w:r>
    </w:p>
    <w:p>
      <w:pPr>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project-closed and authorization checks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jc w:val="center"/>
      </w:pPr>
      <w:r>
        <w:drawing>
          <wp:inline xmlns:a="http://schemas.openxmlformats.org/drawingml/2006/main" xmlns:pic="http://schemas.openxmlformats.org/drawingml/2006/picture">
            <wp:extent cx="5897880" cy="3864317"/>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897880" cy="3864317"/>
                    </a:xfrm>
                    <a:prstGeom prst="rect"/>
                  </pic:spPr>
                </pic:pic>
              </a:graphicData>
            </a:graphic>
          </wp:inline>
        </w:drawing>
      </w:r>
    </w:p>
    <w:p>
      <w:pPr>
        <w:spacing w:after="200"/>
        <w:jc w:val="center"/>
      </w:pPr>
      <w:r>
        <w:rPr>
          <w:rFonts w:ascii="Aptos" w:hAnsi="Aptos"/>
          <w:i/>
          <w:color w:val="5D7693"/>
          <w:sz w:val="18"/>
        </w:rPr>
        <w:t>Figure 4-1. Step 1 - Welcome.</w:t>
      </w:r>
    </w:p>
    <w:p>
      <w:pPr>
        <w:keepNext/>
        <w:jc w:val="center"/>
      </w:pPr>
      <w:r>
        <w:drawing>
          <wp:inline xmlns:a="http://schemas.openxmlformats.org/drawingml/2006/main" xmlns:pic="http://schemas.openxmlformats.org/drawingml/2006/picture">
            <wp:extent cx="5394960" cy="1037492"/>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07-wizard-welcome.png"/>
                    <pic:cNvPicPr/>
                  </pic:nvPicPr>
                  <pic:blipFill>
                    <a:blip r:embed="rId16"/>
                    <a:srcRect l="55700" t="75700" r="0" b="0"/>
                    <a:stretch>
                      <a:fillRect/>
                    </a:stretch>
                  </pic:blipFill>
                  <pic:spPr>
                    <a:xfrm>
                      <a:off x="0" y="0"/>
                      <a:ext cx="5394960" cy="1037492"/>
                    </a:xfrm>
                    <a:prstGeom prst="rect"/>
                  </pic:spPr>
                </pic:pic>
              </a:graphicData>
            </a:graphic>
          </wp:inline>
        </w:drawing>
      </w:r>
    </w:p>
    <w:p>
      <w:pPr>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jc w:val="center"/>
      </w:pPr>
      <w:r>
        <w:drawing>
          <wp:inline xmlns:a="http://schemas.openxmlformats.org/drawingml/2006/main" xmlns:pic="http://schemas.openxmlformats.org/drawingml/2006/picture">
            <wp:extent cx="5897880" cy="3889262"/>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7"/>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5-1. Step 2 - Delphi Project.</w:t>
      </w:r>
    </w:p>
    <w:p>
      <w:pPr>
        <w:keepNext/>
        <w:jc w:val="center"/>
      </w:pPr>
      <w:r>
        <w:drawing>
          <wp:inline xmlns:a="http://schemas.openxmlformats.org/drawingml/2006/main" xmlns:pic="http://schemas.openxmlformats.org/drawingml/2006/picture">
            <wp:extent cx="5394960" cy="2035833"/>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08-wizard-project.png"/>
                    <pic:cNvPicPr/>
                  </pic:nvPicPr>
                  <pic:blipFill>
                    <a:blip r:embed="rId17"/>
                    <a:srcRect l="6200" t="10900" r="1700" b="36300"/>
                    <a:stretch>
                      <a:fillRect/>
                    </a:stretch>
                  </pic:blipFill>
                  <pic:spPr>
                    <a:xfrm>
                      <a:off x="0" y="0"/>
                      <a:ext cx="5394960" cy="2035833"/>
                    </a:xfrm>
                    <a:prstGeom prst="rect"/>
                  </pic:spPr>
                </pic:pic>
              </a:graphicData>
            </a:graphic>
          </wp:inline>
        </w:drawing>
      </w:r>
    </w:p>
    <w:p>
      <w:pPr>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jc w:val="center"/>
      </w:pPr>
      <w:r>
        <w:drawing>
          <wp:inline xmlns:a="http://schemas.openxmlformats.org/drawingml/2006/main" xmlns:pic="http://schemas.openxmlformats.org/drawingml/2006/picture">
            <wp:extent cx="5897880" cy="3889262"/>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18"/>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6-1. Step 3 - Deployment.</w:t>
      </w:r>
    </w:p>
    <w:p>
      <w:pPr>
        <w:keepNext/>
        <w:jc w:val="center"/>
      </w:pPr>
      <w:r>
        <w:drawing>
          <wp:inline xmlns:a="http://schemas.openxmlformats.org/drawingml/2006/main" xmlns:pic="http://schemas.openxmlformats.org/drawingml/2006/picture">
            <wp:extent cx="5394960" cy="263168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09-wizard-deployment.png"/>
                    <pic:cNvPicPr/>
                  </pic:nvPicPr>
                  <pic:blipFill>
                    <a:blip r:embed="rId18"/>
                    <a:srcRect l="0" t="14700" r="6200" b="15700"/>
                    <a:stretch>
                      <a:fillRect/>
                    </a:stretch>
                  </pic:blipFill>
                  <pic:spPr>
                    <a:xfrm>
                      <a:off x="0" y="0"/>
                      <a:ext cx="5394960" cy="2631687"/>
                    </a:xfrm>
                    <a:prstGeom prst="rect"/>
                  </pic:spPr>
                </pic:pic>
              </a:graphicData>
            </a:graphic>
          </wp:inline>
        </w:drawing>
      </w:r>
    </w:p>
    <w:p>
      <w:pPr>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jc w:val="center"/>
      </w:pPr>
      <w:r>
        <w:drawing>
          <wp:inline xmlns:a="http://schemas.openxmlformats.org/drawingml/2006/main" xmlns:pic="http://schemas.openxmlformats.org/drawingml/2006/picture">
            <wp:extent cx="5897880" cy="3889262"/>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19"/>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7-1. Step 4 - Languages.</w:t>
      </w:r>
    </w:p>
    <w:p>
      <w:pPr>
        <w:keepNext/>
        <w:jc w:val="center"/>
      </w:pPr>
      <w:r>
        <w:drawing>
          <wp:inline xmlns:a="http://schemas.openxmlformats.org/drawingml/2006/main" xmlns:pic="http://schemas.openxmlformats.org/drawingml/2006/picture">
            <wp:extent cx="5394960" cy="1740309"/>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10-wizard-languages.png"/>
                    <pic:cNvPicPr/>
                  </pic:nvPicPr>
                  <pic:blipFill>
                    <a:blip r:embed="rId19"/>
                    <a:srcRect l="0" t="13400" r="0" b="37600"/>
                    <a:stretch>
                      <a:fillRect/>
                    </a:stretch>
                  </pic:blipFill>
                  <pic:spPr>
                    <a:xfrm>
                      <a:off x="0" y="0"/>
                      <a:ext cx="5394960" cy="1740309"/>
                    </a:xfrm>
                    <a:prstGeom prst="rect"/>
                  </pic:spPr>
                </pic:pic>
              </a:graphicData>
            </a:graphic>
          </wp:inline>
        </w:drawing>
      </w:r>
    </w:p>
    <w:p>
      <w:pPr>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jc w:val="center"/>
      </w:pPr>
      <w:r>
        <w:drawing>
          <wp:inline xmlns:a="http://schemas.openxmlformats.org/drawingml/2006/main" xmlns:pic="http://schemas.openxmlformats.org/drawingml/2006/picture">
            <wp:extent cx="5897880" cy="3889262"/>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0"/>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8-1. Step 5 - Translation Service.</w:t>
      </w:r>
    </w:p>
    <w:p>
      <w:pPr>
        <w:keepNext/>
        <w:jc w:val="center"/>
      </w:pPr>
      <w:r>
        <w:drawing>
          <wp:inline xmlns:a="http://schemas.openxmlformats.org/drawingml/2006/main" xmlns:pic="http://schemas.openxmlformats.org/drawingml/2006/picture">
            <wp:extent cx="5394960" cy="2657615"/>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11-wizard-translation-service.png"/>
                    <pic:cNvPicPr/>
                  </pic:nvPicPr>
                  <pic:blipFill>
                    <a:blip r:embed="rId20"/>
                    <a:srcRect l="0" t="10900" r="0" b="14400"/>
                    <a:stretch>
                      <a:fillRect/>
                    </a:stretch>
                  </pic:blipFill>
                  <pic:spPr>
                    <a:xfrm>
                      <a:off x="0" y="0"/>
                      <a:ext cx="5394960" cy="2657615"/>
                    </a:xfrm>
                    <a:prstGeom prst="rect"/>
                  </pic:spPr>
                </pic:pic>
              </a:graphicData>
            </a:graphic>
          </wp:inline>
        </w:drawing>
      </w:r>
    </w:p>
    <w:p>
      <w:pPr>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jc w:val="center"/>
      </w:pPr>
      <w:r>
        <w:drawing>
          <wp:inline xmlns:a="http://schemas.openxmlformats.org/drawingml/2006/main" xmlns:pic="http://schemas.openxmlformats.org/drawingml/2006/picture">
            <wp:extent cx="5897880" cy="3889262"/>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1"/>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9-1. Step 6 - Scan Project.</w:t>
      </w:r>
    </w:p>
    <w:p>
      <w:pPr>
        <w:keepNext/>
        <w:jc w:val="center"/>
      </w:pPr>
      <w:r>
        <w:drawing>
          <wp:inline xmlns:a="http://schemas.openxmlformats.org/drawingml/2006/main" xmlns:pic="http://schemas.openxmlformats.org/drawingml/2006/picture">
            <wp:extent cx="5394960" cy="2387150"/>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12-wizard-scan.png"/>
                    <pic:cNvPicPr/>
                  </pic:nvPicPr>
                  <pic:blipFill>
                    <a:blip r:embed="rId21"/>
                    <a:srcRect l="0" t="17300" r="0" b="15700"/>
                    <a:stretch>
                      <a:fillRect/>
                    </a:stretch>
                  </pic:blipFill>
                  <pic:spPr>
                    <a:xfrm>
                      <a:off x="0" y="0"/>
                      <a:ext cx="5394960" cy="2387150"/>
                    </a:xfrm>
                    <a:prstGeom prst="rect"/>
                  </pic:spPr>
                </pic:pic>
              </a:graphicData>
            </a:graphic>
          </wp:inline>
        </w:drawing>
      </w:r>
    </w:p>
    <w:p>
      <w:pPr>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jc w:val="center"/>
      </w:pPr>
      <w:r>
        <w:drawing>
          <wp:inline xmlns:a="http://schemas.openxmlformats.org/drawingml/2006/main" xmlns:pic="http://schemas.openxmlformats.org/drawingml/2006/picture">
            <wp:extent cx="5897880" cy="3979960"/>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2"/>
                    <a:stretch>
                      <a:fillRect/>
                    </a:stretch>
                  </pic:blipFill>
                  <pic:spPr>
                    <a:xfrm>
                      <a:off x="0" y="0"/>
                      <a:ext cx="5897880" cy="3979960"/>
                    </a:xfrm>
                    <a:prstGeom prst="rect"/>
                  </pic:spPr>
                </pic:pic>
              </a:graphicData>
            </a:graphic>
          </wp:inline>
        </w:drawing>
      </w:r>
    </w:p>
    <w:p>
      <w:pPr>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Close the target project in RAD Studio before you authorize the run. An open DPROJ or form can leave unsaved work in memory and make the selected source snapshot unreliable, even though the Wizard itself does not rewrite those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Project closed confirmation</w:t>
            </w:r>
          </w:p>
        </w:tc>
        <w:tc>
          <w:tcPr>
            <w:tcW w:type="dxa" w:w="3900"/>
            <w:vAlign w:val="center"/>
          </w:tcPr>
          <w:p>
            <w:r>
              <w:t>Confirms RAD Studio no longer owns an in-memory target-project state.</w:t>
            </w:r>
          </w:p>
        </w:tc>
        <w:tc>
          <w:tcPr>
            <w:tcW w:type="dxa" w:w="3660"/>
            <w:vAlign w:val="center"/>
          </w:tcPr>
          <w:p>
            <w:r>
              <w:t>Close the project, then select it.</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1"/>
      </w:pPr>
      <w:r>
        <w:t>12. Step 8 - Process and Finish</w:t>
      </w:r>
    </w:p>
    <w:p>
      <w:pPr>
        <w:keepNext/>
        <w:jc w:val="center"/>
      </w:pPr>
      <w:r>
        <w:drawing>
          <wp:inline xmlns:a="http://schemas.openxmlformats.org/drawingml/2006/main" xmlns:pic="http://schemas.openxmlformats.org/drawingml/2006/picture">
            <wp:extent cx="5897880" cy="3905880"/>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3"/>
                    <a:stretch>
                      <a:fillRect/>
                    </a:stretch>
                  </pic:blipFill>
                  <pic:spPr>
                    <a:xfrm>
                      <a:off x="0" y="0"/>
                      <a:ext cx="5897880" cy="3905880"/>
                    </a:xfrm>
                    <a:prstGeom prst="rect"/>
                  </pic:spPr>
                </pic:pic>
              </a:graphicData>
            </a:graphic>
          </wp:inline>
        </w:drawing>
      </w:r>
    </w:p>
    <w:p>
      <w:pPr>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generated kit under &lt;Studio&gt;\export\component-integration\&lt;ApplicationId&gt;. Inside it, ComponentSource contains the complete current unit set for the selected framework. The Studio deliberately does not create or fill a dependencies folder inside your target project without your direction.</w:t>
      </w:r>
    </w:p>
    <w:p>
      <w:r>
        <w:t>For a portable, repeatable build, copy that complete source set into &lt;Target Project&gt;\dependencies\DelphiAppTranslation\source. This optional project-local folder keeps the target independent of the Studio repository path and lets Git record the exact runtime source that ships with the application.</w:t>
      </w:r>
    </w:p>
    <w:p>
      <w:pPr>
        <w:pStyle w:val="ListNumber"/>
        <w:numPr>
          <w:ilvl w:val="0"/>
          <w:numId w:val="12"/>
        </w:numPr>
      </w:pPr>
      <w:r>
        <w:t>Open &lt;Studio&gt;\export\component-integration\&lt;ApplicationId&gt;\ComponentSource.</w:t>
      </w:r>
    </w:p>
    <w:p>
      <w:pPr>
        <w:pStyle w:val="ListNumber"/>
        <w:numPr>
          <w:ilvl w:val="0"/>
          <w:numId w:val="12"/>
        </w:numPr>
      </w:pPr>
      <w:r>
        <w:t>Create &lt;Target Project&gt;\dependencies\DelphiAppTranslation\source if the project will vendor the runtime.</w:t>
      </w:r>
    </w:p>
    <w:p>
      <w:pPr>
        <w:pStyle w:val="ListNumber"/>
        <w:numPr>
          <w:ilvl w:val="0"/>
          <w:numId w:val="12"/>
        </w:numPr>
      </w:pPr>
      <w:r>
        <w:t>Copy every PAS unit from ComponentSource into that source folder. Do not select only the five files that happened to be named in one compiler error.</w:t>
      </w:r>
    </w:p>
    <w:p>
      <w:pPr>
        <w:pStyle w:val="ListNumber"/>
        <w:numPr>
          <w:ilvl w:val="0"/>
          <w:numId w:val="12"/>
        </w:numPr>
      </w:pPr>
      <w:r>
        <w:t>When the Studio/runtime changes, regenerate the kit and refresh the entire vendored set together so interfaces and implementations remain compatible.</w:t>
      </w:r>
    </w:p>
    <w:p>
      <w:pPr>
        <w:pStyle w:val="ListNumber"/>
        <w:numPr>
          <w:ilvl w:val="0"/>
          <w:numId w:val="12"/>
        </w:numPr>
      </w:pPr>
      <w:r>
        <w:t>Commit the dependency source with the target test project when licensing and repository policy permit. Never copy provider credentials or development catalogs with 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p>
      <w:r>
        <w:t>The Wizard can pass ComponentSource to a build it starts itself, but it does not edit your DPROJ. To make ordinary builds from RAD Studio work every time, add one permanent Search path entry for the current ComponentSource or, preferably, the project-local dependency folder.</w:t>
      </w:r>
    </w:p>
    <w:p>
      <w:pPr>
        <w:pStyle w:val="ListNumber"/>
        <w:numPr>
          <w:ilvl w:val="0"/>
          <w:numId w:val="13"/>
        </w:numPr>
      </w:pPr>
      <w:r>
        <w:t>Open the target project in RAD Studio and choose Project &gt; Options.</w:t>
      </w:r>
    </w:p>
    <w:p>
      <w:pPr>
        <w:pStyle w:val="ListNumber"/>
        <w:numPr>
          <w:ilvl w:val="0"/>
          <w:numId w:val="13"/>
        </w:numPr>
      </w:pPr>
      <w:r>
        <w:t>At the top choose All configurations and All platforms unless the project intentionally uses distinct paths.</w:t>
      </w:r>
    </w:p>
    <w:p>
      <w:pPr>
        <w:pStyle w:val="ListNumber"/>
        <w:numPr>
          <w:ilvl w:val="0"/>
          <w:numId w:val="13"/>
        </w:numPr>
      </w:pPr>
      <w:r>
        <w:t>Open Building &gt; Delphi Compiler and locate Search path.</w:t>
      </w:r>
    </w:p>
    <w:p>
      <w:pPr>
        <w:pStyle w:val="ListNumber"/>
        <w:numPr>
          <w:ilvl w:val="0"/>
          <w:numId w:val="13"/>
        </w:numPr>
      </w:pPr>
      <w:r>
        <w:t>Append .\dependencies\DelphiAppTranslation\source when using the recommended project-local folder. An absolute example is C:\New Delphi Projects\MyApplication\dependencies\DelphiAppTranslation\source.</w:t>
      </w:r>
    </w:p>
    <w:p>
      <w:pPr>
        <w:pStyle w:val="ListNumber"/>
        <w:numPr>
          <w:ilvl w:val="0"/>
          <w:numId w:val="13"/>
        </w:numPr>
      </w:pPr>
      <w:r>
        <w:t>Preserve every existing path and the inherited $(DCC_UnitSearchPath) value. Do not replace the field with only the DAT path.</w:t>
      </w:r>
    </w:p>
    <w:p>
      <w:pPr>
        <w:pStyle w:val="ListNumber"/>
        <w:numPr>
          <w:ilvl w:val="0"/>
          <w:numId w:val="13"/>
        </w:numPr>
      </w:pPr>
      <w:r>
        <w:t>Save the option, clean, and build every configuration/platform that will 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w:t>
            </w:r>
          </w:p>
        </w:tc>
        <w:tc>
          <w:tcPr>
            <w:tcW w:type="dxa" w:w="5760"/>
            <w:vAlign w:val="center"/>
          </w:tcPr>
          <w:p>
            <w:r>
              <w:t>Contains project terminology JSON. It preserves approved product wording across runs.</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packs, README, manifest, script, and completion report. It supplies the complete target integration set without source injection.</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4"/>
        </w:numPr>
      </w:pPr>
      <w:r>
        <w:t>Confirm the complete dependency source and Search path before compiling.</w:t>
      </w:r>
    </w:p>
    <w:p>
      <w:pPr>
        <w:pStyle w:val="ListNumber"/>
        <w:numPr>
          <w:ilvl w:val="0"/>
          <w:numId w:val="14"/>
        </w:numPr>
      </w:pPr>
      <w:r>
        <w:t>Build Win32 Debug and Win32 Release. Build Win64 only when the target application will ship it and the target's dependencies support it.</w:t>
      </w:r>
    </w:p>
    <w:p>
      <w:pPr>
        <w:pStyle w:val="ListNumber"/>
        <w:numPr>
          <w:ilvl w:val="0"/>
          <w:numId w:val="14"/>
        </w:numPr>
      </w:pPr>
      <w:r>
        <w:t>Copy the canonical source pack and every translated pack to each executable's Localization\Languages folder, or use the Wizard deployment action.</w:t>
      </w:r>
    </w:p>
    <w:p>
      <w:pPr>
        <w:pStyle w:val="ListNumber"/>
        <w:numPr>
          <w:ilvl w:val="0"/>
          <w:numId w:val="14"/>
        </w:numPr>
      </w:pPr>
      <w:r>
        <w:t>Run the executable from the output folder you just built, not an older copy elsewhere on disk.</w:t>
      </w:r>
    </w:p>
    <w:p>
      <w:pPr>
        <w:pStyle w:val="ListNumber"/>
        <w:numPr>
          <w:ilvl w:val="0"/>
          <w:numId w:val="14"/>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5"/>
        </w:numPr>
      </w:pPr>
      <w:r>
        <w:t>Start in canonical English/source language and inspect every form, dialog, menu, tab, grid, report, HTML page, message, and dynamic status area.</w:t>
      </w:r>
    </w:p>
    <w:p>
      <w:pPr>
        <w:pStyle w:val="ListNumber"/>
        <w:numPr>
          <w:ilvl w:val="0"/>
          <w:numId w:val="15"/>
        </w:numPr>
      </w:pPr>
      <w:r>
        <w:t>Switch to each translated LTR language. Confirm static controls, dynamic strings, templates, HTML/report content, accelerator keys, placeholders, and persisted data.</w:t>
      </w:r>
    </w:p>
    <w:p>
      <w:pPr>
        <w:pStyle w:val="ListNumber"/>
        <w:numPr>
          <w:ilvl w:val="0"/>
          <w:numId w:val="15"/>
        </w:numPr>
      </w:pPr>
      <w:r>
        <w:t>Switch between two non-English languages without returning to English. No previous-language text or image may remain.</w:t>
      </w:r>
    </w:p>
    <w:p>
      <w:pPr>
        <w:pStyle w:val="ListNumber"/>
        <w:numPr>
          <w:ilvl w:val="0"/>
          <w:numId w:val="15"/>
        </w:numPr>
      </w:pPr>
      <w:r>
        <w:t>For Arabic, Hebrew, and Urdu, confirm paragraph direction and control alignment are RTL while identifiers, file paths, numbers, WinAPI, FMX, and other protected LTR tokens remain readable.</w:t>
      </w:r>
    </w:p>
    <w:p>
      <w:pPr>
        <w:pStyle w:val="ListNumber"/>
        <w:numPr>
          <w:ilvl w:val="0"/>
          <w:numId w:val="15"/>
        </w:numPr>
      </w:pPr>
      <w:r>
        <w:t>Switch back to English. The current screen must repaint immediately; no blank content panel or delayed click is acceptable.</w:t>
      </w:r>
    </w:p>
    <w:p>
      <w:pPr>
        <w:pStyle w:val="ListNumber"/>
        <w:numPr>
          <w:ilvl w:val="0"/>
          <w:numId w:val="15"/>
        </w:numPr>
      </w:pPr>
      <w:r>
        <w:t>Close and restart in each representative locale. Confirm the preference loads quickly and an invalid/missing pack falls back safely to the canonical source pack.</w:t>
      </w:r>
    </w:p>
    <w:p>
      <w:pPr>
        <w:pStyle w:val="ListNumber"/>
        <w:numPr>
          <w:ilvl w:val="0"/>
          <w:numId w:val="15"/>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5"/>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6"/>
        </w:numPr>
      </w:pPr>
      <w:r>
        <w:t>Make source/form changes in the test project and choose Save All.</w:t>
      </w:r>
    </w:p>
    <w:p>
      <w:pPr>
        <w:pStyle w:val="ListNumber"/>
        <w:numPr>
          <w:ilvl w:val="0"/>
          <w:numId w:val="16"/>
        </w:numPr>
      </w:pPr>
      <w:r>
        <w:t>Run the Wizard with the same ApplicationId and target locale, then scan again.</w:t>
      </w:r>
    </w:p>
    <w:p>
      <w:pPr>
        <w:pStyle w:val="ListNumber"/>
        <w:numPr>
          <w:ilvl w:val="0"/>
          <w:numId w:val="16"/>
        </w:numPr>
      </w:pPr>
      <w:r>
        <w:t>Review new, changed, unchanged, recovered, and obsolete counts before authorization.</w:t>
      </w:r>
    </w:p>
    <w:p>
      <w:pPr>
        <w:pStyle w:val="ListNumber"/>
        <w:numPr>
          <w:ilvl w:val="0"/>
          <w:numId w:val="16"/>
        </w:numPr>
      </w:pPr>
      <w:r>
        <w:t>Translate unresolved work, complete Localization Review, validate, export, regenerate the kit, and redeploy.</w:t>
      </w:r>
    </w:p>
    <w:p>
      <w:pPr>
        <w:pStyle w:val="ListNumber"/>
        <w:numPr>
          <w:ilvl w:val="0"/>
          <w:numId w:val="16"/>
        </w:numPr>
      </w:pPr>
      <w:r>
        <w:t>Refresh the complete vendored dependency set only when runtime/component source changed; do not replace it for ordinary catalog-only updates.</w:t>
      </w:r>
    </w:p>
    <w:p>
      <w:pPr>
        <w:pStyle w:val="ListNumber"/>
        <w:numPr>
          <w:ilvl w:val="0"/>
          <w:numId w:val="16"/>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ComponentSource/dependency folder is missing or Search path is wrong for the active configuration.</w:t>
            </w:r>
          </w:p>
        </w:tc>
        <w:tc>
          <w:tcPr>
            <w:tcW w:type="dxa" w:w="3660"/>
            <w:vAlign w:val="center"/>
          </w:tcPr>
          <w:p>
            <w:r>
              <w:t>Copy the full unit set and correct All configurations/All platforms Search path.</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project-closed check, and authorization confirmed.</w:t>
      </w:r>
    </w:p>
    <w:p>
      <w:pPr>
        <w:pStyle w:val="ListBullet"/>
      </w:pPr>
      <w:r>
        <w:t>[ ] Localization Review findings, glossary, suggestions, and layout decisions completed.</w:t>
      </w:r>
    </w:p>
    <w:p>
      <w:pPr>
        <w:pStyle w:val="ListBullet"/>
      </w:pPr>
      <w:r>
        <w:t>[ ] Progress ends successfully; completion report and component kit exist.</w:t>
      </w:r>
    </w:p>
    <w:p>
      <w:pPr>
        <w:pStyle w:val="ListBullet"/>
      </w:pPr>
      <w:r>
        <w:t>[ ] Full ComponentSource copied to optional project dependencies folder when vendoring.</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C:\New Delphi 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p>
      <w:r>
        <w:br w:type="page"/>
      </w:r>
    </w:p>
    <w:p>
      <w:pPr>
        <w:pStyle w:val="Heading1"/>
        <w:keepNext/>
        <w:spacing w:before="0" w:after="140"/>
      </w:pPr>
      <w:r>
        <w:t>23. Appendix A - License Information</w:t>
      </w:r>
    </w:p>
    <w:p>
      <w:pPr>
        <w:spacing w:before="0" w:after="40" w:line="240" w:lineRule="auto"/>
      </w:pPr>
      <w:r>
        <w:rPr>
          <w:sz w:val="17"/>
        </w:rP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keepNext/>
        <w:spacing w:before="100" w:after="40"/>
      </w:pPr>
      <w:r>
        <w:rPr>
          <w:sz w:val="21"/>
        </w:rPr>
        <w:t>License grant</w:t>
      </w:r>
    </w:p>
    <w:p>
      <w:pPr>
        <w:spacing w:before="0" w:after="40" w:line="240" w:lineRule="auto"/>
      </w:pPr>
      <w:r>
        <w:rPr>
          <w:sz w:val="17"/>
        </w:rP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keepNext/>
        <w:spacing w:before="100" w:after="40"/>
      </w:pPr>
      <w:r>
        <w:rPr>
          <w:sz w:val="21"/>
        </w:rPr>
        <w:t>Important conditions</w:t>
      </w:r>
    </w:p>
    <w:p>
      <w:pPr>
        <w:pStyle w:val="ListBullet"/>
        <w:spacing w:before="0" w:after="40" w:line="240" w:lineRule="auto"/>
      </w:pPr>
      <w:r>
        <w:rPr>
          <w:sz w:val="17"/>
        </w:rPr>
        <w:t>Give recipients a copy of the Apache License 2.0 when distributing covered material.</w:t>
      </w:r>
    </w:p>
    <w:p>
      <w:pPr>
        <w:pStyle w:val="ListBullet"/>
        <w:spacing w:before="0" w:after="40" w:line="240" w:lineRule="auto"/>
      </w:pPr>
      <w:r>
        <w:rPr>
          <w:sz w:val="17"/>
        </w:rPr>
        <w:t>State significant changes made to modified files.</w:t>
      </w:r>
    </w:p>
    <w:p>
      <w:pPr>
        <w:pStyle w:val="ListBullet"/>
        <w:spacing w:before="0" w:after="40" w:line="240" w:lineRule="auto"/>
      </w:pPr>
      <w:r>
        <w:rPr>
          <w:sz w:val="17"/>
        </w:rPr>
        <w:t>Retain applicable copyright, patent, trademark, attribution, and NOTICE information.</w:t>
      </w:r>
    </w:p>
    <w:p>
      <w:pPr>
        <w:pStyle w:val="ListBullet"/>
        <w:spacing w:before="0" w:after="40" w:line="240" w:lineRule="auto"/>
      </w:pPr>
      <w:r>
        <w:rPr>
          <w:sz w:val="17"/>
        </w:rPr>
        <w:t>Do not use project or contributor names and trademarks as an endorsement except as the license permits.</w:t>
      </w:r>
    </w:p>
    <w:p>
      <w:pPr>
        <w:pStyle w:val="Heading2"/>
        <w:keepNext/>
        <w:spacing w:before="100" w:after="40"/>
      </w:pPr>
      <w:r>
        <w:rPr>
          <w:sz w:val="21"/>
        </w:rPr>
        <w:t>Warranty and liability</w:t>
      </w:r>
    </w:p>
    <w:p>
      <w:pPr>
        <w:spacing w:before="0" w:after="40" w:line="240" w:lineRule="auto"/>
      </w:pPr>
      <w:r>
        <w:rPr>
          <w:sz w:val="17"/>
        </w:rPr>
        <w:t>The licensed material is provided on an AS IS basis, without warranties or conditions of any kind. The complete Apache License 2.0 controls the warranty, liability, contribution, redistribution, and patent provisions.</w:t>
      </w:r>
    </w:p>
    <w:p>
      <w:pPr>
        <w:pStyle w:val="Heading2"/>
        <w:keepNext/>
        <w:spacing w:before="100" w:after="40"/>
      </w:pPr>
      <w:r>
        <w:rPr>
          <w:sz w:val="21"/>
        </w:rPr>
        <w:t>Your applications and generated output</w:t>
      </w:r>
    </w:p>
    <w:p>
      <w:pPr>
        <w:spacing w:before="0" w:after="40" w:line="240" w:lineRule="auto"/>
      </w:pPr>
      <w:r>
        <w:rPr>
          <w:sz w:val="17"/>
        </w:rPr>
        <w:t>Using the Studio does not transfer ownership of the Delphi application being translated. The application developer remains responsible for the license and distribution terms of the target application, translated content, generated language packs, and any third-party components. Studio runtime or component source included with a project remains subject to the Apache License 2.0 unless its file states different terms. Third-party software retains its own license.</w:t>
      </w:r>
    </w:p>
    <w:p>
      <w:pPr>
        <w:pStyle w:val="Heading2"/>
        <w:keepNext/>
        <w:spacing w:before="100" w:after="40"/>
      </w:pPr>
      <w:r>
        <w:rPr>
          <w:sz w:val="21"/>
        </w:rPr>
        <w:t>Full legal text</w:t>
      </w:r>
    </w:p>
    <w:p>
      <w:pPr>
        <w:spacing w:before="0" w:after="40" w:line="240" w:lineRule="auto"/>
      </w:pPr>
      <w:r>
        <w:rPr>
          <w:sz w:val="17"/>
        </w:rP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pPr>
        <w:spacing w:before="0" w:after="40" w:line="240" w:lineRule="auto"/>
        <w:ind w:left="360" w:right="360"/>
      </w:pPr>
      <w:r>
        <w:rPr>
          <w:i/>
          <w:sz w:val="17"/>
        </w:rP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