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Engineering Guide</w:t>
      </w:r>
    </w:p>
    <w:p>
      <w:pPr>
        <w:pStyle w:val="Subtitle"/>
        <w:jc w:val="center"/>
        <w:rPr/>
      </w:pPr>
      <w:r>
        <w:rPr/>
        <w:t>Architecture, Formats, Integration, Security, and Validation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Alpha Test - Build 2026.08.22.129</w:t>
        <w:br/>
        <w:t>Last changed: August 26,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2820_1381656115" w:tooltip="1. Product Scope and Invariants">
            <w:r>
              <w:rPr>
                <w:rStyle w:val="IndexLink"/>
                <w:webHidden/>
              </w:rPr>
              <w:t>1. Product Scope and Invariants</w:t>
              <w:tab/>
              <w:t>1</w:t>
            </w:r>
          </w:hyperlink>
        </w:p>
        <w:p>
          <w:pPr>
            <w:pStyle w:val="TOC1"/>
            <w:tabs>
              <w:tab w:val="clear" w:pos="9360"/>
              <w:tab w:val="right" w:pos="9359" w:leader="dot"/>
            </w:tabs>
            <w:rPr/>
          </w:pPr>
          <w:hyperlink w:anchor="__RefHeading___Toc2822_1381656115" w:tooltip="2. Repository and Build Layout">
            <w:r>
              <w:rPr>
                <w:rStyle w:val="IndexLink"/>
                <w:webHidden/>
              </w:rPr>
              <w:t>2. Repository and Build Layout</w:t>
              <w:tab/>
              <w:t>1</w:t>
            </w:r>
          </w:hyperlink>
        </w:p>
        <w:p>
          <w:pPr>
            <w:pStyle w:val="TOC2"/>
            <w:tabs>
              <w:tab w:val="clear" w:pos="9077"/>
              <w:tab w:val="right" w:pos="9359" w:leader="dot"/>
            </w:tabs>
            <w:rPr/>
          </w:pPr>
          <w:hyperlink w:anchor="__RefHeading___Toc2824_1381656115" w:tooltip="2.1 Toolchain">
            <w:r>
              <w:rPr>
                <w:rStyle w:val="IndexLink"/>
                <w:webHidden/>
              </w:rPr>
              <w:t>2.1 Toolchain</w:t>
              <w:tab/>
              <w:t>2</w:t>
            </w:r>
          </w:hyperlink>
        </w:p>
        <w:p>
          <w:pPr>
            <w:pStyle w:val="TOC1"/>
            <w:tabs>
              <w:tab w:val="clear" w:pos="9360"/>
              <w:tab w:val="right" w:pos="9359" w:leader="dot"/>
            </w:tabs>
            <w:rPr/>
          </w:pPr>
          <w:hyperlink w:anchor="__RefHeading___Toc2826_1381656115" w:tooltip="3. System Architecture">
            <w:r>
              <w:rPr>
                <w:rStyle w:val="IndexLink"/>
                <w:webHidden/>
              </w:rPr>
              <w:t>3. System Architecture</w:t>
              <w:tab/>
              <w:t>2</w:t>
            </w:r>
          </w:hyperlink>
        </w:p>
        <w:p>
          <w:pPr>
            <w:pStyle w:val="TOC1"/>
            <w:tabs>
              <w:tab w:val="clear" w:pos="9360"/>
              <w:tab w:val="right" w:pos="9359" w:leader="dot"/>
            </w:tabs>
            <w:rPr/>
          </w:pPr>
          <w:hyperlink w:anchor="__RefHeading___Toc2828_1381656115" w:tooltip="4. Core Data Model and JSON">
            <w:r>
              <w:rPr>
                <w:rStyle w:val="IndexLink"/>
                <w:webHidden/>
              </w:rPr>
              <w:t>4. Core Data Model and JSON</w:t>
              <w:tab/>
              <w:t>3</w:t>
            </w:r>
          </w:hyperlink>
        </w:p>
        <w:p>
          <w:pPr>
            <w:pStyle w:val="TOC2"/>
            <w:tabs>
              <w:tab w:val="clear" w:pos="9077"/>
              <w:tab w:val="right" w:pos="9359" w:leader="dot"/>
            </w:tabs>
            <w:rPr/>
          </w:pPr>
          <w:hyperlink w:anchor="__RefHeading___Toc2830_1381656115" w:tooltip="4.1 Stable keys">
            <w:r>
              <w:rPr>
                <w:rStyle w:val="IndexLink"/>
                <w:webHidden/>
              </w:rPr>
              <w:t>4.1 Stable keys</w:t>
              <w:tab/>
              <w:t>3</w:t>
            </w:r>
          </w:hyperlink>
        </w:p>
        <w:p>
          <w:pPr>
            <w:pStyle w:val="TOC2"/>
            <w:tabs>
              <w:tab w:val="clear" w:pos="9077"/>
              <w:tab w:val="right" w:pos="9359" w:leader="dot"/>
            </w:tabs>
            <w:rPr/>
          </w:pPr>
          <w:hyperlink w:anchor="__RefHeading___Toc2832_1381656115" w:tooltip="4.2 Development catalog">
            <w:r>
              <w:rPr>
                <w:rStyle w:val="IndexLink"/>
                <w:webHidden/>
              </w:rPr>
              <w:t>4.2 Development catalog</w:t>
              <w:tab/>
              <w:t>3</w:t>
            </w:r>
          </w:hyperlink>
        </w:p>
        <w:p>
          <w:pPr>
            <w:pStyle w:val="TOC2"/>
            <w:tabs>
              <w:tab w:val="clear" w:pos="9077"/>
              <w:tab w:val="right" w:pos="9359" w:leader="dot"/>
            </w:tabs>
            <w:rPr/>
          </w:pPr>
          <w:hyperlink w:anchor="__RefHeading___Toc2834_1381656115" w:tooltip="4.3 Runtime pack">
            <w:r>
              <w:rPr>
                <w:rStyle w:val="IndexLink"/>
                <w:webHidden/>
              </w:rPr>
              <w:t>4.3 Runtime pack</w:t>
              <w:tab/>
              <w:t>4</w:t>
            </w:r>
          </w:hyperlink>
        </w:p>
        <w:p>
          <w:pPr>
            <w:pStyle w:val="TOC1"/>
            <w:tabs>
              <w:tab w:val="clear" w:pos="9360"/>
              <w:tab w:val="right" w:pos="9359" w:leader="dot"/>
            </w:tabs>
            <w:rPr/>
          </w:pPr>
          <w:hyperlink w:anchor="__RefHeading___Toc2836_1381656115" w:tooltip="5. Project Detection and Scanning">
            <w:r>
              <w:rPr>
                <w:rStyle w:val="IndexLink"/>
                <w:webHidden/>
              </w:rPr>
              <w:t>5. Project Detection and Scanning</w:t>
              <w:tab/>
              <w:t>4</w:t>
            </w:r>
          </w:hyperlink>
        </w:p>
        <w:p>
          <w:pPr>
            <w:pStyle w:val="TOC2"/>
            <w:tabs>
              <w:tab w:val="clear" w:pos="9077"/>
              <w:tab w:val="right" w:pos="9359" w:leader="dot"/>
            </w:tabs>
            <w:rPr/>
          </w:pPr>
          <w:hyperlink w:anchor="__RefHeading___Toc2838_1381656115" w:tooltip="5.1 Incremental merge">
            <w:r>
              <w:rPr>
                <w:rStyle w:val="IndexLink"/>
                <w:webHidden/>
              </w:rPr>
              <w:t>5.1 Incremental merge</w:t>
              <w:tab/>
              <w:t>4</w:t>
            </w:r>
          </w:hyperlink>
        </w:p>
        <w:p>
          <w:pPr>
            <w:pStyle w:val="TOC1"/>
            <w:tabs>
              <w:tab w:val="clear" w:pos="9360"/>
              <w:tab w:val="right" w:pos="9359" w:leader="dot"/>
            </w:tabs>
            <w:rPr/>
          </w:pPr>
          <w:hyperlink w:anchor="__RefHeading___Toc2840_1381656115" w:tooltip="6. Studio UI and Workflow State">
            <w:r>
              <w:rPr>
                <w:rStyle w:val="IndexLink"/>
                <w:webHidden/>
              </w:rPr>
              <w:t>6. Studio UI and Workflow State</w:t>
              <w:tab/>
              <w:t>5</w:t>
            </w:r>
          </w:hyperlink>
        </w:p>
        <w:p>
          <w:pPr>
            <w:pStyle w:val="TOC2"/>
            <w:tabs>
              <w:tab w:val="clear" w:pos="9077"/>
              <w:tab w:val="right" w:pos="9359" w:leader="dot"/>
            </w:tabs>
            <w:rPr/>
          </w:pPr>
          <w:hyperlink w:anchor="__RefHeading___Toc2842_1381656115" w:tooltip="6.1 Setup Wizard Architecture">
            <w:r>
              <w:rPr>
                <w:rStyle w:val="IndexLink"/>
                <w:webHidden/>
              </w:rPr>
              <w:t>6.1 Setup Wizard Architecture</w:t>
              <w:tab/>
              <w:t>5</w:t>
            </w:r>
          </w:hyperlink>
        </w:p>
        <w:p>
          <w:pPr>
            <w:pStyle w:val="TOC1"/>
            <w:tabs>
              <w:tab w:val="clear" w:pos="9360"/>
              <w:tab w:val="right" w:pos="9359" w:leader="dot"/>
            </w:tabs>
            <w:rPr/>
          </w:pPr>
          <w:hyperlink w:anchor="__RefHeading___Toc2844_1381656115" w:tooltip="7. Provider Settings and Secret Storage">
            <w:r>
              <w:rPr>
                <w:rStyle w:val="IndexLink"/>
                <w:webHidden/>
              </w:rPr>
              <w:t>7. Provider Settings and Secret Storage</w:t>
              <w:tab/>
              <w:t>6</w:t>
            </w:r>
          </w:hyperlink>
        </w:p>
        <w:p>
          <w:pPr>
            <w:pStyle w:val="TOC1"/>
            <w:tabs>
              <w:tab w:val="clear" w:pos="9360"/>
              <w:tab w:val="right" w:pos="9359" w:leader="dot"/>
            </w:tabs>
            <w:rPr/>
          </w:pPr>
          <w:hyperlink w:anchor="__RefHeading___Toc2846_1381656115" w:tooltip="8. Provider HTTP Clients">
            <w:r>
              <w:rPr>
                <w:rStyle w:val="IndexLink"/>
                <w:webHidden/>
              </w:rPr>
              <w:t>8. Provider HTTP Clients</w:t>
              <w:tab/>
              <w:t>7</w:t>
            </w:r>
          </w:hyperlink>
        </w:p>
        <w:p>
          <w:pPr>
            <w:pStyle w:val="TOC2"/>
            <w:tabs>
              <w:tab w:val="clear" w:pos="9077"/>
              <w:tab w:val="right" w:pos="9359" w:leader="dot"/>
            </w:tabs>
            <w:rPr/>
          </w:pPr>
          <w:hyperlink w:anchor="__RefHeading___Toc2848_1381656115" w:tooltip="8.1 Reliability and cancellation">
            <w:r>
              <w:rPr>
                <w:rStyle w:val="IndexLink"/>
                <w:webHidden/>
              </w:rPr>
              <w:t>8.1 Reliability and cancellation</w:t>
              <w:tab/>
              <w:t>7</w:t>
            </w:r>
          </w:hyperlink>
        </w:p>
        <w:p>
          <w:pPr>
            <w:pStyle w:val="TOC2"/>
            <w:tabs>
              <w:tab w:val="clear" w:pos="9077"/>
              <w:tab w:val="right" w:pos="9359" w:leader="dot"/>
            </w:tabs>
            <w:rPr/>
          </w:pPr>
          <w:hyperlink w:anchor="__RefHeading___Toc2850_1381656115" w:tooltip="8.2 Official protocol references">
            <w:r>
              <w:rPr>
                <w:rStyle w:val="IndexLink"/>
                <w:webHidden/>
              </w:rPr>
              <w:t>8.2 Official protocol references</w:t>
              <w:tab/>
              <w:t>7</w:t>
            </w:r>
          </w:hyperlink>
        </w:p>
        <w:p>
          <w:pPr>
            <w:pStyle w:val="TOC1"/>
            <w:tabs>
              <w:tab w:val="clear" w:pos="9360"/>
              <w:tab w:val="right" w:pos="9359" w:leader="dot"/>
            </w:tabs>
            <w:rPr/>
          </w:pPr>
          <w:hyperlink w:anchor="__RefHeading___Toc2852_1381656115" w:tooltip="9. Automatic Provider Translation and Review">
            <w:r>
              <w:rPr>
                <w:rStyle w:val="IndexLink"/>
                <w:webHidden/>
              </w:rPr>
              <w:t>9. Automatic Provider Translation and Review</w:t>
              <w:tab/>
              <w:t>8</w:t>
            </w:r>
          </w:hyperlink>
        </w:p>
        <w:p>
          <w:pPr>
            <w:pStyle w:val="TOC1"/>
            <w:tabs>
              <w:tab w:val="clear" w:pos="9360"/>
              <w:tab w:val="right" w:pos="9359" w:leader="dot"/>
            </w:tabs>
            <w:rPr/>
          </w:pPr>
          <w:hyperlink w:anchor="__RefHeading___Toc2854_1381656115" w:tooltip="10. Validation and Runtime Pack Export">
            <w:r>
              <w:rPr>
                <w:rStyle w:val="IndexLink"/>
                <w:webHidden/>
              </w:rPr>
              <w:t>10. Validation and Runtime Pack Export</w:t>
              <w:tab/>
              <w:t>9</w:t>
            </w:r>
          </w:hyperlink>
        </w:p>
        <w:p>
          <w:pPr>
            <w:pStyle w:val="TOC1"/>
            <w:tabs>
              <w:tab w:val="clear" w:pos="9360"/>
              <w:tab w:val="right" w:pos="9359" w:leader="dot"/>
            </w:tabs>
            <w:rPr/>
          </w:pPr>
          <w:hyperlink w:anchor="__RefHeading___Toc2856_1381656115" w:tooltip="11. Runtime Engine">
            <w:r>
              <w:rPr>
                <w:rStyle w:val="IndexLink"/>
                <w:webHidden/>
              </w:rPr>
              <w:t>11. Runtime Engine</w:t>
              <w:tab/>
              <w:t>9</w:t>
            </w:r>
          </w:hyperlink>
        </w:p>
        <w:p>
          <w:pPr>
            <w:pStyle w:val="TOC2"/>
            <w:tabs>
              <w:tab w:val="clear" w:pos="9077"/>
              <w:tab w:val="right" w:pos="9359" w:leader="dot"/>
            </w:tabs>
            <w:rPr/>
          </w:pPr>
          <w:hyperlink w:anchor="__RefHeading___Toc2858_1381656115" w:tooltip="11.1 Component manager core">
            <w:r>
              <w:rPr>
                <w:rStyle w:val="IndexLink"/>
                <w:webHidden/>
              </w:rPr>
              <w:t>11.1 Component manager core</w:t>
              <w:tab/>
              <w:t>10</w:t>
            </w:r>
          </w:hyperlink>
        </w:p>
        <w:p>
          <w:pPr>
            <w:pStyle w:val="TOC2"/>
            <w:tabs>
              <w:tab w:val="clear" w:pos="9077"/>
              <w:tab w:val="right" w:pos="9359" w:leader="dot"/>
            </w:tabs>
            <w:rPr/>
          </w:pPr>
          <w:hyperlink w:anchor="__RefHeading___Toc2860_1381656115" w:tooltip="11.2 Required language-selection UI">
            <w:r>
              <w:rPr>
                <w:rStyle w:val="IndexLink"/>
                <w:webHidden/>
              </w:rPr>
              <w:t>11.2 Required language-selection UI</w:t>
              <w:tab/>
              <w:t>10</w:t>
            </w:r>
          </w:hyperlink>
        </w:p>
        <w:p>
          <w:pPr>
            <w:pStyle w:val="TOC2"/>
            <w:tabs>
              <w:tab w:val="clear" w:pos="9077"/>
              <w:tab w:val="right" w:pos="9359" w:leader="dot"/>
            </w:tabs>
            <w:rPr/>
          </w:pPr>
          <w:hyperlink w:anchor="__RefHeading___Toc2862_1381656115" w:tooltip="11.3 Deployment paths">
            <w:r>
              <w:rPr>
                <w:rStyle w:val="IndexLink"/>
                <w:webHidden/>
              </w:rPr>
              <w:t>11.3 Deployment paths</w:t>
              <w:tab/>
              <w:t>11</w:t>
            </w:r>
          </w:hyperlink>
        </w:p>
        <w:p>
          <w:pPr>
            <w:pStyle w:val="TOC1"/>
            <w:tabs>
              <w:tab w:val="clear" w:pos="9360"/>
              <w:tab w:val="right" w:pos="9359" w:leader="dot"/>
            </w:tabs>
            <w:rPr/>
          </w:pPr>
          <w:hyperlink w:anchor="__RefHeading___Toc2864_1381656115" w:tooltip="12. Component Packages and Integration Modes">
            <w:r>
              <w:rPr>
                <w:rStyle w:val="IndexLink"/>
                <w:webHidden/>
              </w:rPr>
              <w:t>12. Component Packages and Integration Modes</w:t>
              <w:tab/>
              <w:t>11</w:t>
            </w:r>
          </w:hyperlink>
        </w:p>
        <w:p>
          <w:pPr>
            <w:pStyle w:val="TOC2"/>
            <w:tabs>
              <w:tab w:val="clear" w:pos="9077"/>
              <w:tab w:val="right" w:pos="9359" w:leader="dot"/>
            </w:tabs>
            <w:rPr/>
          </w:pPr>
          <w:hyperlink w:anchor="__RefHeading___Toc2866_1381656115" w:tooltip="12.1 Component startup contract">
            <w:r>
              <w:rPr>
                <w:rStyle w:val="IndexLink"/>
                <w:webHidden/>
              </w:rPr>
              <w:t>12.1 Component startup contract</w:t>
              <w:tab/>
              <w:t>12</w:t>
            </w:r>
          </w:hyperlink>
        </w:p>
        <w:p>
          <w:pPr>
            <w:pStyle w:val="TOC1"/>
            <w:tabs>
              <w:tab w:val="clear" w:pos="9360"/>
              <w:tab w:val="right" w:pos="9359" w:leader="dot"/>
            </w:tabs>
            <w:rPr/>
          </w:pPr>
          <w:hyperlink w:anchor="__RefHeading___Toc2868_1381656115" w:tooltip="13. Self-Localization">
            <w:r>
              <w:rPr>
                <w:rStyle w:val="IndexLink"/>
                <w:webHidden/>
              </w:rPr>
              <w:t>13. Self-Localization</w:t>
              <w:tab/>
              <w:t>12</w:t>
            </w:r>
          </w:hyperlink>
        </w:p>
        <w:p>
          <w:pPr>
            <w:pStyle w:val="TOC1"/>
            <w:tabs>
              <w:tab w:val="clear" w:pos="9360"/>
              <w:tab w:val="right" w:pos="9359" w:leader="dot"/>
            </w:tabs>
            <w:rPr/>
          </w:pPr>
          <w:hyperlink w:anchor="__RefHeading___Toc2870_1381656115" w:tooltip="14. Error Handling and Diagnostics">
            <w:r>
              <w:rPr>
                <w:rStyle w:val="IndexLink"/>
                <w:webHidden/>
              </w:rPr>
              <w:t>14. Error Handling and Diagnostics</w:t>
              <w:tab/>
              <w:t>12</w:t>
            </w:r>
          </w:hyperlink>
        </w:p>
        <w:p>
          <w:pPr>
            <w:pStyle w:val="TOC1"/>
            <w:tabs>
              <w:tab w:val="clear" w:pos="9360"/>
              <w:tab w:val="right" w:pos="9359" w:leader="dot"/>
            </w:tabs>
            <w:rPr/>
          </w:pPr>
          <w:hyperlink w:anchor="__RefHeading___Toc2872_1381656115" w:tooltip="15. Test Strategy and Verified Matrix">
            <w:r>
              <w:rPr>
                <w:rStyle w:val="IndexLink"/>
                <w:webHidden/>
              </w:rPr>
              <w:t>15. Test Strategy and Verified Matrix</w:t>
              <w:tab/>
              <w:t>13</w:t>
            </w:r>
          </w:hyperlink>
        </w:p>
        <w:p>
          <w:pPr>
            <w:pStyle w:val="TOC2"/>
            <w:tabs>
              <w:tab w:val="clear" w:pos="9077"/>
              <w:tab w:val="right" w:pos="9359" w:leader="dot"/>
            </w:tabs>
            <w:rPr/>
          </w:pPr>
          <w:hyperlink w:anchor="__RefHeading___Toc2874_1381656115" w:tooltip="15.1 Optional live provider testing">
            <w:r>
              <w:rPr>
                <w:rStyle w:val="IndexLink"/>
                <w:webHidden/>
              </w:rPr>
              <w:t>15.1 Optional live provider testing</w:t>
              <w:tab/>
              <w:t>14</w:t>
            </w:r>
          </w:hyperlink>
        </w:p>
        <w:p>
          <w:pPr>
            <w:pStyle w:val="TOC1"/>
            <w:tabs>
              <w:tab w:val="clear" w:pos="9360"/>
              <w:tab w:val="right" w:pos="9359" w:leader="dot"/>
            </w:tabs>
            <w:rPr/>
          </w:pPr>
          <w:hyperlink w:anchor="__RefHeading___Toc2876_1381656115" w:tooltip="16. Security Review">
            <w:r>
              <w:rPr>
                <w:rStyle w:val="IndexLink"/>
                <w:webHidden/>
              </w:rPr>
              <w:t>16. Security Review</w:t>
              <w:tab/>
              <w:t>14</w:t>
            </w:r>
          </w:hyperlink>
        </w:p>
        <w:p>
          <w:pPr>
            <w:pStyle w:val="TOC1"/>
            <w:tabs>
              <w:tab w:val="clear" w:pos="9360"/>
              <w:tab w:val="right" w:pos="9359" w:leader="dot"/>
            </w:tabs>
            <w:rPr/>
          </w:pPr>
          <w:hyperlink w:anchor="__RefHeading___Toc2878_1381656115" w:tooltip="17. Release and Contribution Workflow">
            <w:r>
              <w:rPr>
                <w:rStyle w:val="IndexLink"/>
                <w:webHidden/>
              </w:rPr>
              <w:t>17. Release and Contribution Workflow</w:t>
              <w:tab/>
              <w:t>15</w:t>
            </w:r>
          </w:hyperlink>
        </w:p>
        <w:p>
          <w:pPr>
            <w:pStyle w:val="TOC1"/>
            <w:tabs>
              <w:tab w:val="clear" w:pos="9360"/>
              <w:tab w:val="right" w:pos="9359" w:leader="dot"/>
            </w:tabs>
            <w:rPr/>
          </w:pPr>
          <w:hyperlink w:anchor="__RefHeading___Toc2880_1381656115" w:tooltip="18. Known Boundaries and Future-Compatible Design">
            <w:r>
              <w:rPr>
                <w:rStyle w:val="IndexLink"/>
                <w:webHidden/>
              </w:rPr>
              <w:t>18. Known Boundaries and Future-Compatible Design</w:t>
              <w:tab/>
              <w:t>15</w:t>
            </w:r>
          </w:hyperlink>
        </w:p>
        <w:p>
          <w:pPr>
            <w:pStyle w:val="TOC1"/>
            <w:tabs>
              <w:tab w:val="clear" w:pos="9360"/>
              <w:tab w:val="right" w:pos="9359" w:leader="dot"/>
            </w:tabs>
            <w:rPr/>
          </w:pPr>
          <w:hyperlink w:anchor="__RefHeading___Toc2882_1381656115" w:tooltip="19. Documentation Generation">
            <w:r>
              <w:rPr>
                <w:rStyle w:val="IndexLink"/>
                <w:webHidden/>
              </w:rPr>
              <w:t>19. Documentation Generation</w:t>
              <w:tab/>
              <w:t>16</w:t>
            </w:r>
          </w:hyperlink>
        </w:p>
        <w:p>
          <w:pPr>
            <w:pStyle w:val="TOC1"/>
            <w:tabs>
              <w:tab w:val="clear" w:pos="9360"/>
              <w:tab w:val="right" w:pos="9359" w:leader="dot"/>
            </w:tabs>
            <w:rPr/>
          </w:pPr>
          <w:hyperlink w:anchor="__RefHeading___Toc2884_1381656115" w:tooltip="20. Source References">
            <w:r>
              <w:rPr>
                <w:rStyle w:val="IndexLink"/>
                <w:webHidden/>
              </w:rPr>
              <w:t>20. Source References</w:t>
              <w:tab/>
              <w:t>16</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2820_1381656115"/>
      <w:bookmarkEnd w:id="0"/>
      <w:r>
        <w:rPr/>
        <w:t>1. Product Scope and Invariants</w:t>
      </w:r>
    </w:p>
    <w:p>
      <w:pPr>
        <w:pStyle w:val="Normal"/>
        <w:rPr/>
      </w:pPr>
      <w:r>
        <w:rP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pPr>
        <w:pStyle w:val="Normal"/>
        <w:rPr/>
      </w:pPr>
      <w:r>
        <w:rP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numPr>
          <w:ilvl w:val="0"/>
          <w:numId w:val="1"/>
        </w:numPr>
        <w:ind w:hanging="271" w:start="540"/>
        <w:rPr/>
      </w:pPr>
      <w:r>
        <w:rPr/>
        <w:t>All user interface controls are persisted in DAT.Studio.MainForm.fmx and remain editable in the RAD Studio designer.</w:t>
      </w:r>
    </w:p>
    <w:p>
      <w:pPr>
        <w:pStyle w:val="ListBullet"/>
        <w:numPr>
          <w:ilvl w:val="0"/>
          <w:numId w:val="1"/>
        </w:numPr>
        <w:ind w:hanging="271" w:start="540"/>
        <w:rPr/>
      </w:pPr>
      <w:r>
        <w:rPr/>
        <w:t>No UI is constructed at runtime.</w:t>
      </w:r>
    </w:p>
    <w:p>
      <w:pPr>
        <w:pStyle w:val="ListBullet"/>
        <w:numPr>
          <w:ilvl w:val="0"/>
          <w:numId w:val="1"/>
        </w:numPr>
        <w:ind w:hanging="271" w:start="540"/>
        <w:rPr/>
      </w:pPr>
      <w:r>
        <w:rPr/>
        <w:t>Stable keys, not source text alone, identify translated properties.</w:t>
      </w:r>
    </w:p>
    <w:p>
      <w:pPr>
        <w:pStyle w:val="ListBullet"/>
        <w:numPr>
          <w:ilvl w:val="0"/>
          <w:numId w:val="1"/>
        </w:numPr>
        <w:ind w:hanging="271" w:start="540"/>
        <w:rPr/>
      </w:pPr>
      <w:r>
        <w:rPr/>
        <w:t>Original designer text remains the runtime fallback.</w:t>
      </w:r>
    </w:p>
    <w:p>
      <w:pPr>
        <w:pStyle w:val="ListBullet"/>
        <w:numPr>
          <w:ilvl w:val="0"/>
          <w:numId w:val="1"/>
        </w:numPr>
        <w:ind w:hanging="271" w:start="540"/>
        <w:rPr/>
      </w:pPr>
      <w:r>
        <w:rPr/>
        <w:t>API keys never enter project artifacts.</w:t>
      </w:r>
    </w:p>
    <w:p>
      <w:pPr>
        <w:pStyle w:val="ListBullet"/>
        <w:numPr>
          <w:ilvl w:val="0"/>
          <w:numId w:val="1"/>
        </w:numPr>
        <w:ind w:hanging="271" w:start="540"/>
        <w:rPr/>
      </w:pPr>
      <w:r>
        <w:rPr/>
        <w:t>One designer-persisted manager supervises the application; ordinary forms require no component.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Alpha engineering status. </w:t>
            </w:r>
            <w:r>
              <w:rPr/>
              <w:t>The public repository is open for technical alpha testing, evaluation, feedback, and forks. It is under active development and is not approved for production use. Build 2026.08.22.129 is the current labeled Studio build; this guide reflects repository behavior through August 26, 2026.</w:t>
            </w:r>
          </w:p>
        </w:tc>
      </w:tr>
    </w:tbl>
    <w:p>
      <w:pPr>
        <w:pStyle w:val="Heading1"/>
        <w:rPr/>
      </w:pPr>
      <w:bookmarkStart w:id="1" w:name="__RefHeading___Toc2822_1381656115"/>
      <w:bookmarkEnd w:id="1"/>
      <w:r>
        <w:rPr/>
        <w:t>2. Repository and Build Layout</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Path</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Responsibility</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source\core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Catalog types, JSON persistence, project detection, workspace paths, runtime pack generation.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source\scan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VCL/FMX form text, Pascal resourcestrings, extraction rules, diagnostics, incremental merge.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source\validation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Catalog safety and completeness checks.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source\provider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Provider types/settings, Credential Manager, DeepL/Google HTTPS client.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source\runtime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 discovery/loading, preference, manager, VCL and FMX applicators.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source\components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Framework-neutral manager core, VCL/FMX lifecycle adapters, and supplied language selectors.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source\design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 and FMX Tool Palette registration units.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packages\runtime / packages\design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and framework runtime BPLs plus Win32 IDE design packages.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source\integration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Non-mutating component kits plus advanced planning, resource/source changes, transactions, and reset.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source\studio</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Designer-authored FMX UI and Studio self-localization.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source\schemas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Development and runtime JSON Schemas.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tools\tests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Foundation, runtime, integration, form-streaming, launch, and self-localization smoke tests.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docs / help / samples</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documentation, help source, and safe fixtures.</w:t>
            </w:r>
          </w:p>
        </w:tc>
      </w:tr>
    </w:tbl>
    <w:p>
      <w:pPr>
        <w:pStyle w:val="Heading2"/>
        <w:rPr/>
      </w:pPr>
      <w:bookmarkStart w:id="2" w:name="__RefHeading___Toc2824_1381656115"/>
      <w:bookmarkEnd w:id="2"/>
      <w:r>
        <w:rPr/>
        <w:t>2.1 Toolchain</w:t>
      </w:r>
    </w:p>
    <w:p>
      <w:pPr>
        <w:pStyle w:val="CodeBlock"/>
        <w:rPr/>
      </w:pPr>
      <w:r>
        <w:rPr/>
        <w:t>call "C:\Program Files (x86)\Embarcadero\Studio\37.0\bin\rsvars.bat"</w:t>
        <w:br/>
        <w:t>msbuild DelphiAppTranslationStudio.dproj /t:Build /p:Config=Debug /p:Platform=Win32</w:t>
        <w:br/>
        <w:t>msbuild DelphiAppTranslationStudio.dproj /t:Build /p:Config=Release /p:Platform=Win64</w:t>
      </w:r>
    </w:p>
    <w:p>
      <w:pPr>
        <w:pStyle w:val="Normal"/>
        <w:rPr/>
      </w:pPr>
      <w:r>
        <w:rPr/>
        <w:t>The DPROJ identifies the main form as FMX, includes the standard project resource, uses source\provider in its unit search path, and routes EXE/DCU output to bin and dcu by platform/configuration.</w:t>
      </w:r>
    </w:p>
    <w:p>
      <w:pPr>
        <w:pStyle w:val="Heading1"/>
        <w:rPr/>
      </w:pPr>
      <w:bookmarkStart w:id="3" w:name="__RefHeading___Toc2826_1381656115"/>
      <w:bookmarkEnd w:id="3"/>
      <w:r>
        <w:rPr/>
        <w:t>3. System Architecture</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Boundary</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Input</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Output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Detection and scan</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.dproj/.dpr, text DFM/FMX, Pascal source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TProjectProfile and TProjectScanResult</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Catalog</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 result plus existing development JSON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Merged TTranslationCatalog</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Provider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Confirmed source strings plus in-memory credential</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Machine-translated entry values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Validation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Development catalog</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Errors, warnings, information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 builder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 catalog</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runtime JSON</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integration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 scanner roots, packs</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Non-mutating component kit under Studio export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Advanced integration</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 packs, designated menu</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Preview package and transactional change set</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Runtime</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Local JSON and per-user preference</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Translated existing controls and locale settings</w:t>
            </w:r>
          </w:p>
        </w:tc>
      </w:tr>
    </w:tbl>
    <w:p>
      <w:pPr>
        <w:pStyle w:val="Heading1"/>
        <w:rPr/>
      </w:pPr>
      <w:bookmarkStart w:id="4" w:name="__RefHeading___Toc2828_1381656115"/>
      <w:bookmarkEnd w:id="4"/>
      <w:r>
        <w:rPr/>
        <w:t>4. Core Data Model and JSON</w:t>
      </w:r>
    </w:p>
    <w:p>
      <w:pPr>
        <w:pStyle w:val="Normal"/>
        <w:rPr/>
      </w:pPr>
      <w:r>
        <w:rP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rPr/>
      </w:pPr>
      <w:bookmarkStart w:id="5" w:name="__RefHeading___Toc2830_1381656115"/>
      <w:bookmarkEnd w:id="5"/>
      <w:r>
        <w:rPr/>
        <w:t>4.1 Stable keys</w:t>
      </w:r>
    </w:p>
    <w:p>
      <w:pPr>
        <w:pStyle w:val="ListBullet"/>
        <w:numPr>
          <w:ilvl w:val="0"/>
          <w:numId w:val="1"/>
        </w:numPr>
        <w:ind w:hanging="271" w:start="540"/>
        <w:rPr/>
      </w:pPr>
      <w:r>
        <w:rPr/>
        <w:t>Form properties use form.component.property, for example frmMain.btnSave.Text.</w:t>
      </w:r>
    </w:p>
    <w:p>
      <w:pPr>
        <w:pStyle w:val="ListBullet"/>
        <w:numPr>
          <w:ilvl w:val="0"/>
          <w:numId w:val="1"/>
        </w:numPr>
        <w:ind w:hanging="271" w:start="540"/>
        <w:rPr/>
      </w:pPr>
      <w:r>
        <w:rPr/>
        <w:t>resourcestring entries use the Pascal unit and symbol.</w:t>
      </w:r>
    </w:p>
    <w:p>
      <w:pPr>
        <w:pStyle w:val="ListBullet"/>
        <w:numPr>
          <w:ilvl w:val="0"/>
          <w:numId w:val="1"/>
        </w:numPr>
        <w:ind w:hanging="271" w:start="540"/>
        <w:rPr/>
      </w:pPr>
      <w:r>
        <w:rPr/>
        <w:t>Keys remain stable when wording changes, allowing source-changed detection.</w:t>
      </w:r>
    </w:p>
    <w:p>
      <w:pPr>
        <w:pStyle w:val="ListBullet"/>
        <w:numPr>
          <w:ilvl w:val="0"/>
          <w:numId w:val="1"/>
        </w:numPr>
        <w:ind w:hanging="271" w:start="540"/>
        <w:rPr/>
      </w:pPr>
      <w:r>
        <w:rPr/>
        <w:t>Fallback source text remains in the compiled DFM/FMX or code.</w:t>
      </w:r>
    </w:p>
    <w:p>
      <w:pPr>
        <w:pStyle w:val="Heading2"/>
        <w:rPr/>
      </w:pPr>
      <w:bookmarkStart w:id="6" w:name="__RefHeading___Toc2832_1381656115"/>
      <w:bookmarkEnd w:id="6"/>
      <w:r>
        <w:rPr/>
        <w:t>4.2 Development catalog</w:t>
      </w:r>
    </w:p>
    <w:p>
      <w:pPr>
        <w:pStyle w:val="CodeBlock"/>
        <w:rPr/>
      </w:pPr>
      <w:r>
        <w:rP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rPr/>
      </w:pPr>
      <w:bookmarkStart w:id="7" w:name="__RefHeading___Toc2834_1381656115"/>
      <w:bookmarkEnd w:id="7"/>
      <w:r>
        <w:rPr/>
        <w:t>4.3 Runtime pack</w:t>
      </w:r>
    </w:p>
    <w:p>
      <w:pPr>
        <w:pStyle w:val="CodeBlock"/>
        <w:rPr/>
      </w:pPr>
      <w:r>
        <w:rP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pPr>
        <w:pStyle w:val="Normal"/>
        <w:rPr/>
      </w:pPr>
      <w:r>
        <w:rPr/>
        <w:t>The schema files are source\schemas\development-project.schema.json and runtime-language-pack.schema.json. Changes require schema-version handling, round-trip fixtures, and compatibility notes.</w:t>
      </w:r>
    </w:p>
    <w:p>
      <w:pPr>
        <w:pStyle w:val="Heading1"/>
        <w:rPr/>
      </w:pPr>
      <w:bookmarkStart w:id="8" w:name="__RefHeading___Toc2836_1381656115"/>
      <w:bookmarkEnd w:id="8"/>
      <w:r>
        <w:rPr/>
        <w:t>5. Project Detection and Scanning</w:t>
      </w:r>
    </w:p>
    <w:p>
      <w:pPr>
        <w:pStyle w:val="Normal"/>
        <w:rPr/>
      </w:pPr>
      <w:r>
        <w:rP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pPr>
        <w:pStyle w:val="Normal"/>
        <w:rPr/>
      </w:pPr>
      <w:r>
        <w:rP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rPr/>
      </w:pPr>
      <w:bookmarkStart w:id="9" w:name="__RefHeading___Toc2838_1381656115"/>
      <w:bookmarkEnd w:id="9"/>
      <w:r>
        <w:rPr/>
        <w:t>5.1 Incremental merge</w:t>
      </w:r>
    </w:p>
    <w:p>
      <w:pPr>
        <w:pStyle w:val="ListNumber"/>
        <w:numPr>
          <w:ilvl w:val="0"/>
          <w:numId w:val="10"/>
        </w:numPr>
        <w:rPr/>
      </w:pPr>
      <w:r>
        <w:rPr/>
        <w:t>Index the existing catalog by stable key.</w:t>
      </w:r>
    </w:p>
    <w:p>
      <w:pPr>
        <w:pStyle w:val="ListNumber"/>
        <w:numPr>
          <w:ilvl w:val="0"/>
          <w:numId w:val="7"/>
        </w:numPr>
        <w:rPr/>
      </w:pPr>
      <w:r>
        <w:rPr/>
        <w:t>Add unseen keys as needs-translation.</w:t>
      </w:r>
    </w:p>
    <w:p>
      <w:pPr>
        <w:pStyle w:val="ListNumber"/>
        <w:numPr>
          <w:ilvl w:val="0"/>
          <w:numId w:val="7"/>
        </w:numPr>
        <w:rPr/>
      </w:pPr>
      <w:r>
        <w:rPr/>
        <w:t>Preserve translation and status when source text is unchanged.</w:t>
      </w:r>
    </w:p>
    <w:p>
      <w:pPr>
        <w:pStyle w:val="ListNumber"/>
        <w:numPr>
          <w:ilvl w:val="0"/>
          <w:numId w:val="7"/>
        </w:numPr>
        <w:rPr/>
      </w:pPr>
      <w:r>
        <w:rPr/>
        <w:t>Preserve existing translation but mark source-changed when source text differs.</w:t>
      </w:r>
    </w:p>
    <w:p>
      <w:pPr>
        <w:pStyle w:val="ListNumber"/>
        <w:numPr>
          <w:ilvl w:val="0"/>
          <w:numId w:val="7"/>
        </w:numPr>
        <w:rPr/>
      </w:pPr>
      <w:r>
        <w:rPr/>
        <w:t>Mark catalog-only entries obsolete unless excluded.</w:t>
      </w:r>
    </w:p>
    <w:p>
      <w:pPr>
        <w:pStyle w:val="ListNumber"/>
        <w:numPr>
          <w:ilvl w:val="0"/>
          <w:numId w:val="7"/>
        </w:numPr>
        <w:rPr/>
      </w:pPr>
      <w:r>
        <w:rPr/>
        <w:t>Report new, changed, unchanged, and obsolete counts.</w:t>
      </w:r>
    </w:p>
    <w:p>
      <w:pPr>
        <w:pStyle w:val="Heading1"/>
        <w:rPr/>
      </w:pPr>
      <w:bookmarkStart w:id="10" w:name="__RefHeading___Toc2840_1381656115"/>
      <w:bookmarkEnd w:id="10"/>
      <w:r>
        <w:rPr/>
        <w:t>6. Studio UI and Workflow State</w:t>
      </w:r>
    </w:p>
    <w:p>
      <w:pPr>
        <w:pStyle w:val="Normal"/>
        <w:rPr/>
      </w:pPr>
      <w:r>
        <w:rP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pPr>
        <w:pStyle w:val="Normal"/>
        <w:rPr/>
      </w:pPr>
      <w:r>
        <w:rPr/>
        <w:t>Each workflow TLabel explicitly persists HitTest=True. FireMonkey labels default to HitTest=False, which would otherwise pass mouse events through the visible label even when an OnClick event is assigned. The setting remains editable in the Object Inspector.</w:t>
      </w:r>
    </w:p>
    <w:p>
      <w:pPr>
        <w:pStyle w:val="Normal"/>
        <w:rPr/>
      </w:pPr>
      <w:r>
        <w:rP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FMX validation requirement. </w:t>
            </w:r>
            <w:r>
              <w:rPr/>
              <w:t>A successful compile is insufficient. Persisted FMX property-type errors surface only while streaming. StudioFormSmokeTests directly constructs the form, and launch tests verify the real title in every configuration.</w:t>
            </w:r>
          </w:p>
        </w:tc>
      </w:tr>
    </w:tbl>
    <w:p>
      <w:pPr>
        <w:pStyle w:val="Heading2"/>
        <w:rPr/>
      </w:pPr>
      <w:bookmarkStart w:id="11" w:name="__RefHeading___Toc2842_1381656115"/>
      <w:bookmarkEnd w:id="11"/>
      <w:r>
        <w:rPr/>
        <w:t>6.1 Setup Wizard Architecture</w:t>
      </w:r>
    </w:p>
    <w:p>
      <w:pPr>
        <w:pStyle w:val="Normal"/>
        <w:rPr/>
      </w:pPr>
      <w:r>
        <w:rP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pPr>
        <w:pStyle w:val="Normal"/>
        <w:rPr/>
      </w:pPr>
      <w:r>
        <w:rP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pPr>
        <w:pStyle w:val="Normal"/>
        <w:rPr/>
      </w:pPr>
      <w:r>
        <w:rPr/>
        <w:t>Final processing requires confirmation that the target project is closed, creates a timestamped ZIP, translates eligible unresolved entries, saves the development catalog, validates, exports the runtime JSON pack, generates the component kit, and deploys packs to existing outputs and configured destinations. Wizard-initiated builds receive ComponentSource through a temporary MSBuild DCC_UnitSearchPath argument; the Wizard does not persist a Search Path or PostBuildEvent in the target DPROJ. It never edits target Pascal, form, DPR, or DPROJ files and never writes RAD Studio's package registry.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Wizard regression requirement. </w:t>
            </w:r>
            <w:r>
              <w:rP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rPr/>
      </w:pPr>
      <w:bookmarkStart w:id="12" w:name="__RefHeading___Toc2844_1381656115"/>
      <w:bookmarkEnd w:id="12"/>
      <w:r>
        <w:rPr/>
        <w:t>7. Provider Settings and Secret Storage</w:t>
      </w:r>
    </w:p>
    <w:p>
      <w:pPr>
        <w:pStyle w:val="Normal"/>
        <w:rPr/>
      </w:pPr>
      <w:r>
        <w:rPr/>
        <w:t>DAT.Provider.Settings persists only provider, DeepL plan, remember choice, timeout, and batch size in %LOCALAPPDATA%\DelphiAppTranslationStudio\provider-settings.json. Bounds are normalized to 5-300 seconds and 1-50 strings.</w:t>
      </w:r>
    </w:p>
    <w:p>
      <w:pPr>
        <w:pStyle w:val="Normal"/>
        <w:rPr/>
      </w:pPr>
      <w:r>
        <w:rP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Choice</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Persistence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Replacement behavior</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checked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Windows Credential Manager</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Writes/replaces selected provider credential and clears session copy.</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cleared</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Process memory only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selected provider stored credential and retains entered key until shutdown.</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Remove Key</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None</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stored and session copies for selected provider.</w:t>
            </w:r>
          </w:p>
        </w:tc>
      </w:tr>
    </w:tbl>
    <w:p>
      <w:pPr>
        <w:pStyle w:val="ListBullet"/>
        <w:numPr>
          <w:ilvl w:val="0"/>
          <w:numId w:val="1"/>
        </w:numPr>
        <w:ind w:hanging="271" w:start="540"/>
        <w:rPr/>
      </w:pPr>
      <w:r>
        <w:rPr/>
        <w:t>The masked edit never displays a stored credential.</w:t>
      </w:r>
    </w:p>
    <w:p>
      <w:pPr>
        <w:pStyle w:val="ListBullet"/>
        <w:numPr>
          <w:ilvl w:val="0"/>
          <w:numId w:val="1"/>
        </w:numPr>
        <w:ind w:hanging="271" w:start="540"/>
        <w:rPr/>
      </w:pPr>
      <w:r>
        <w:rPr/>
        <w:t>The effective key resolves new field text, then session memory, then Credential Manager.</w:t>
      </w:r>
    </w:p>
    <w:p>
      <w:pPr>
        <w:pStyle w:val="ListBullet"/>
        <w:numPr>
          <w:ilvl w:val="0"/>
          <w:numId w:val="1"/>
        </w:numPr>
        <w:ind w:hanging="271" w:start="540"/>
        <w:rPr/>
      </w:pPr>
      <w:r>
        <w:rPr/>
        <w:t>No error message contains the key, request headers, or provider response body.</w:t>
      </w:r>
    </w:p>
    <w:p>
      <w:pPr>
        <w:pStyle w:val="ListBullet"/>
        <w:numPr>
          <w:ilvl w:val="0"/>
          <w:numId w:val="1"/>
        </w:numPr>
        <w:ind w:hanging="271" w:start="540"/>
        <w:rPr/>
      </w:pPr>
      <w:r>
        <w:rPr/>
        <w:t>Credential operations occur only when needed; the form can start without network access.</w:t>
      </w:r>
    </w:p>
    <w:p>
      <w:pPr>
        <w:pStyle w:val="Heading1"/>
        <w:rPr/>
      </w:pPr>
      <w:bookmarkStart w:id="13" w:name="__RefHeading___Toc2846_1381656115"/>
      <w:bookmarkEnd w:id="13"/>
      <w:r>
        <w:rPr/>
        <w:t>8. Provider HTTP Clients</w:t>
      </w:r>
    </w:p>
    <w:p>
      <w:pPr>
        <w:pStyle w:val="Normal"/>
        <w:rPr/>
      </w:pPr>
      <w:r>
        <w:rP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00"/>
        <w:gridCol w:w="2500"/>
        <w:gridCol w:w="2680"/>
        <w:gridCol w:w="2680"/>
      </w:tblGrid>
      <w:tr>
        <w:trPr>
          <w:tblHeader w:val="true"/>
        </w:trPr>
        <w:tc>
          <w:tcPr>
            <w:tcW w:w="15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Provider</w:t>
            </w:r>
          </w:p>
        </w:tc>
        <w:tc>
          <w:tcPr>
            <w:tcW w:w="25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Endpoint</w:t>
            </w:r>
          </w:p>
        </w:tc>
        <w:tc>
          <w:tcPr>
            <w:tcW w:w="268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Authentication</w:t>
            </w:r>
          </w:p>
        </w:tc>
        <w:tc>
          <w:tcPr>
            <w:tcW w:w="268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Payload</w:t>
            </w:r>
          </w:p>
        </w:tc>
      </w:tr>
      <w:tr>
        <w:trPr>
          <w:cantSplit/>
        </w:trPr>
        <w:tc>
          <w:tcPr>
            <w:tcW w:w="15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Free</w:t>
            </w:r>
          </w:p>
        </w:tc>
        <w:tc>
          <w:tcPr>
            <w:tcW w:w="25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https://api-free.deepl.com/v2/translate</w:t>
            </w:r>
          </w:p>
        </w:tc>
        <w:tc>
          <w:tcPr>
            <w:tcW w:w="268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Authorization: DeepL-Auth-Key</w:t>
            </w:r>
          </w:p>
        </w:tc>
        <w:tc>
          <w:tcPr>
            <w:tcW w:w="268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text array, source_lang, target_lang, context</w:t>
            </w:r>
          </w:p>
        </w:tc>
      </w:tr>
      <w:tr>
        <w:trPr>
          <w:cantSplit/>
        </w:trPr>
        <w:tc>
          <w:tcPr>
            <w:tcW w:w="15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Pro</w:t>
            </w:r>
          </w:p>
        </w:tc>
        <w:tc>
          <w:tcPr>
            <w:tcW w:w="250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https://api.deepl.com/v2/translate</w:t>
            </w:r>
          </w:p>
        </w:tc>
        <w:tc>
          <w:tcPr>
            <w:tcW w:w="268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Authorization: DeepL-Auth-Key</w:t>
            </w:r>
          </w:p>
        </w:tc>
        <w:tc>
          <w:tcPr>
            <w:tcW w:w="268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text array, source_lang, target_lang, context</w:t>
            </w:r>
          </w:p>
        </w:tc>
      </w:tr>
      <w:tr>
        <w:trPr>
          <w:cantSplit/>
        </w:trPr>
        <w:tc>
          <w:tcPr>
            <w:tcW w:w="15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Google Basic v2</w:t>
            </w:r>
          </w:p>
        </w:tc>
        <w:tc>
          <w:tcPr>
            <w:tcW w:w="250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https://translation.googleapis.com/language/translate/v2</w:t>
            </w:r>
          </w:p>
        </w:tc>
        <w:tc>
          <w:tcPr>
            <w:tcW w:w="268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X-Goog-Api-Key</w:t>
            </w:r>
          </w:p>
        </w:tc>
        <w:tc>
          <w:tcPr>
            <w:tcW w:w="268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q array, source, target, format=text</w:t>
            </w:r>
          </w:p>
        </w:tc>
      </w:tr>
    </w:tbl>
    <w:p>
      <w:pPr>
        <w:pStyle w:val="Heading2"/>
        <w:rPr/>
      </w:pPr>
      <w:bookmarkStart w:id="14" w:name="__RefHeading___Toc2848_1381656115"/>
      <w:bookmarkEnd w:id="14"/>
      <w:r>
        <w:rPr/>
        <w:t>8.1 Reliability and cancellation</w:t>
      </w:r>
    </w:p>
    <w:p>
      <w:pPr>
        <w:pStyle w:val="ListBullet"/>
        <w:numPr>
          <w:ilvl w:val="0"/>
          <w:numId w:val="1"/>
        </w:numPr>
        <w:ind w:hanging="271" w:start="540"/>
        <w:rPr/>
      </w:pPr>
      <w:r>
        <w:rPr/>
        <w:t>Batch size is capped at 50 and Google language tags are reduced to base language where appropriate.</w:t>
      </w:r>
    </w:p>
    <w:p>
      <w:pPr>
        <w:pStyle w:val="ListBullet"/>
        <w:numPr>
          <w:ilvl w:val="0"/>
          <w:numId w:val="1"/>
        </w:numPr>
        <w:ind w:hanging="271" w:start="540"/>
        <w:rPr/>
      </w:pPr>
      <w:r>
        <w:rPr/>
        <w:t>DeepL source codes are normalized to two-letter uppercase; targets retain supported regional forms.</w:t>
      </w:r>
    </w:p>
    <w:p>
      <w:pPr>
        <w:pStyle w:val="ListBullet"/>
        <w:numPr>
          <w:ilvl w:val="0"/>
          <w:numId w:val="1"/>
        </w:numPr>
        <w:ind w:hanging="271" w:start="540"/>
        <w:rPr/>
      </w:pPr>
      <w:r>
        <w:rPr/>
        <w:t>DeepL receives a batch context assembled from each entry's inferred UI role and semantic concept. DeepL documents context as unbilled supporting text.</w:t>
      </w:r>
    </w:p>
    <w:p>
      <w:pPr>
        <w:pStyle w:val="ListBullet"/>
        <w:numPr>
          <w:ilvl w:val="0"/>
          <w:numId w:val="1"/>
        </w:numPr>
        <w:ind w:hanging="271" w:start="540"/>
        <w:rPr/>
      </w:pPr>
      <w:r>
        <w:rPr/>
        <w:t>Google Basic v2 has no context or glossary request field. Context is used locally for terminology, memory matching, and ambiguity warnings but is not sent to Google.</w:t>
      </w:r>
    </w:p>
    <w:p>
      <w:pPr>
        <w:pStyle w:val="ListBullet"/>
        <w:numPr>
          <w:ilvl w:val="0"/>
          <w:numId w:val="1"/>
        </w:numPr>
        <w:ind w:hanging="271" w:start="540"/>
        <w:rPr/>
      </w:pPr>
      <w:r>
        <w:rPr/>
        <w:t>HTTP 429 and 5xx responses receive three bounded attempts with short backoff.</w:t>
      </w:r>
    </w:p>
    <w:p>
      <w:pPr>
        <w:pStyle w:val="ListBullet"/>
        <w:numPr>
          <w:ilvl w:val="0"/>
          <w:numId w:val="1"/>
        </w:numPr>
        <w:ind w:hanging="271" w:start="540"/>
        <w:rPr/>
      </w:pPr>
      <w:r>
        <w:rPr/>
        <w:t>Other non-2xx statuses fail immediately with provider, status, and corrective categories.</w:t>
      </w:r>
    </w:p>
    <w:p>
      <w:pPr>
        <w:pStyle w:val="ListBullet"/>
        <w:numPr>
          <w:ilvl w:val="0"/>
          <w:numId w:val="1"/>
        </w:numPr>
        <w:ind w:hanging="271" w:start="540"/>
        <w:rPr/>
      </w:pPr>
      <w:r>
        <w:rPr/>
        <w:t>A cancellation callback is checked between batches.</w:t>
      </w:r>
    </w:p>
    <w:p>
      <w:pPr>
        <w:pStyle w:val="ListBullet"/>
        <w:numPr>
          <w:ilvl w:val="0"/>
          <w:numId w:val="1"/>
        </w:numPr>
        <w:ind w:hanging="271" w:start="540"/>
        <w:rPr/>
      </w:pPr>
      <w:r>
        <w:rPr/>
        <w:t>Test Connection translates one harmless English phrase to Italian.</w:t>
      </w:r>
    </w:p>
    <w:p>
      <w:pPr>
        <w:pStyle w:val="Heading2"/>
        <w:rPr/>
      </w:pPr>
      <w:bookmarkStart w:id="15" w:name="__RefHeading___Toc2850_1381656115"/>
      <w:bookmarkEnd w:id="15"/>
      <w:r>
        <w:rPr/>
        <w:t>8.2 Official protocol references</w:t>
      </w:r>
    </w:p>
    <w:p>
      <w:pPr>
        <w:pStyle w:val="ListBullet"/>
        <w:numPr>
          <w:ilvl w:val="0"/>
          <w:numId w:val="1"/>
        </w:numPr>
        <w:ind w:hanging="271" w:start="540"/>
        <w:rPr/>
      </w:pPr>
      <w:r>
        <w:rPr/>
        <w:t>DeepL authentication: https://developers.deepl.com/docs/getting-started/auth</w:t>
      </w:r>
    </w:p>
    <w:p>
      <w:pPr>
        <w:pStyle w:val="ListBullet"/>
        <w:numPr>
          <w:ilvl w:val="0"/>
          <w:numId w:val="1"/>
        </w:numPr>
        <w:ind w:hanging="271" w:start="540"/>
        <w:rPr/>
      </w:pPr>
      <w:r>
        <w:rPr/>
        <w:t>DeepL quickstart: https://developers.deepl.com/docs/getting-started/quickstart</w:t>
      </w:r>
    </w:p>
    <w:p>
      <w:pPr>
        <w:pStyle w:val="ListBullet"/>
        <w:numPr>
          <w:ilvl w:val="0"/>
          <w:numId w:val="1"/>
        </w:numPr>
        <w:ind w:hanging="271" w:start="540"/>
        <w:rPr/>
      </w:pPr>
      <w:r>
        <w:rPr/>
        <w:t>Google Basic translate method: https://docs.cloud.google.com/translate/docs/reference/rest/v2/translate</w:t>
      </w:r>
    </w:p>
    <w:p>
      <w:pPr>
        <w:pStyle w:val="ListBullet"/>
        <w:numPr>
          <w:ilvl w:val="0"/>
          <w:numId w:val="1"/>
        </w:numPr>
        <w:ind w:hanging="271" w:start="540"/>
        <w:rPr/>
      </w:pPr>
      <w:r>
        <w:rPr/>
        <w:t>Google Cloud Translation authentication: https://docs.cloud.google.com/translate/docs/authentication</w:t>
      </w:r>
    </w:p>
    <w:p>
      <w:pPr>
        <w:pStyle w:val="ListBullet"/>
        <w:numPr>
          <w:ilvl w:val="0"/>
          <w:numId w:val="1"/>
        </w:numPr>
        <w:ind w:hanging="271" w:start="540"/>
        <w:rPr/>
      </w:pPr>
      <w:r>
        <w:rPr/>
        <w:t>Google API-key best practices: https://docs.cloud.google.com/docs/authentication/api-keys-best-practices</w:t>
      </w:r>
    </w:p>
    <w:p>
      <w:pPr>
        <w:pStyle w:val="Heading1"/>
        <w:rPr/>
      </w:pPr>
      <w:bookmarkStart w:id="16" w:name="__RefHeading___Toc2852_1381656115"/>
      <w:bookmarkEnd w:id="16"/>
      <w:r>
        <w:rPr/>
        <w:t>9. Automatic Provider Translation and Review</w:t>
      </w:r>
    </w:p>
    <w:p>
      <w:pPr>
        <w:pStyle w:val="Normal"/>
        <w:rPr/>
      </w:pPr>
      <w:r>
        <w:rPr/>
        <w:t>Translate Automatically is the canonical machine-translation path. It validates the selected catalog language, loads the selected provider settings and effective key, counts eligible unresolved entries, and shows the provider and count before any network request.</w:t>
      </w:r>
    </w:p>
    <w:p>
      <w:pPr>
        <w:pStyle w:val="Normal"/>
        <w:rPr/>
      </w:pPr>
      <w:r>
        <w:rP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pPr>
        <w:pStyle w:val="Normal"/>
        <w:rPr/>
      </w:pPr>
      <w:r>
        <w:rP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pPr>
        <w:pStyle w:val="Normal"/>
        <w:rPr/>
      </w:pPr>
      <w:r>
        <w:rPr/>
        <w:t>If no key is available, the workflow opens Provider Settings and gives a specific corrective message. HTTP or parsing failures leave the catalog entries unchanged for the failed operation and report a redacted summary in the status card.</w:t>
      </w:r>
    </w:p>
    <w:p>
      <w:pPr>
        <w:pStyle w:val="Normal"/>
        <w:rPr/>
      </w:pPr>
      <w:r>
        <w:rPr/>
        <w:t>CSV interchange and manual editing remain optional alternatives for translation-company collaboration or specialized review, not prerequisites for automatic translation.</w:t>
      </w:r>
    </w:p>
    <w:p>
      <w:pPr>
        <w:pStyle w:val="Normal"/>
        <w:rPr/>
      </w:pPr>
      <w:r>
        <w:rP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numPr>
          <w:ilvl w:val="0"/>
          <w:numId w:val="1"/>
        </w:numPr>
        <w:ind w:hanging="271" w:start="540"/>
        <w:rPr/>
      </w:pPr>
      <w:r>
        <w:rPr/>
        <w:t>Mark Reviewed requires nonblank translated text.</w:t>
      </w:r>
    </w:p>
    <w:p>
      <w:pPr>
        <w:pStyle w:val="ListBullet"/>
        <w:numPr>
          <w:ilvl w:val="0"/>
          <w:numId w:val="1"/>
        </w:numPr>
        <w:ind w:hanging="271" w:start="540"/>
        <w:rPr/>
      </w:pPr>
      <w:r>
        <w:rPr/>
        <w:t>Approve requires the entry to have reached Reviewed first.</w:t>
      </w:r>
    </w:p>
    <w:p>
      <w:pPr>
        <w:pStyle w:val="ListBullet"/>
        <w:numPr>
          <w:ilvl w:val="0"/>
          <w:numId w:val="1"/>
        </w:numPr>
        <w:ind w:hanging="271" w:start="540"/>
        <w:rPr/>
      </w:pPr>
      <w:r>
        <w:rP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numPr>
          <w:ilvl w:val="0"/>
          <w:numId w:val="1"/>
        </w:numPr>
        <w:ind w:hanging="271" w:start="540"/>
        <w:rPr/>
      </w:pPr>
      <w:r>
        <w:rPr/>
        <w:t>Translation origin is independent of linguistic status.</w:t>
      </w:r>
    </w:p>
    <w:p>
      <w:pPr>
        <w:pStyle w:val="ListBullet"/>
        <w:numPr>
          <w:ilvl w:val="0"/>
          <w:numId w:val="1"/>
        </w:numPr>
        <w:ind w:hanging="271" w:start="540"/>
        <w:rPr/>
      </w:pPr>
      <w:r>
        <w:rPr/>
        <w:t>Inconsistent repeated terms and structural defects form the focused exception queue; a valid machine-translated draft is not itself an error.</w:t>
      </w:r>
    </w:p>
    <w:p>
      <w:pPr>
        <w:pStyle w:val="ListBullet"/>
        <w:numPr>
          <w:ilvl w:val="0"/>
          <w:numId w:val="1"/>
        </w:numPr>
        <w:ind w:hanging="271" w:start="540"/>
        <w:rPr/>
      </w:pPr>
      <w:r>
        <w:rPr/>
        <w:t>Structural validity, linguistic status, automatic runtime coverage, and manual wiring readiness are separate measures.</w:t>
      </w:r>
    </w:p>
    <w:p>
      <w:pPr>
        <w:pStyle w:val="ListBullet"/>
        <w:numPr>
          <w:ilvl w:val="0"/>
          <w:numId w:val="1"/>
        </w:numPr>
        <w:ind w:hanging="271" w:start="540"/>
        <w:rPr/>
      </w:pPr>
      <w:r>
        <w:rPr/>
        <w:t>A Pascal resourcestring remains manual wiring until the developer confirms the generated TranslateText call site.</w:t>
      </w:r>
    </w:p>
    <w:p>
      <w:pPr>
        <w:pStyle w:val="Heading1"/>
        <w:rPr/>
      </w:pPr>
      <w:bookmarkStart w:id="17" w:name="__RefHeading___Toc2854_1381656115"/>
      <w:bookmarkEnd w:id="17"/>
      <w:r>
        <w:rPr/>
        <w:t>10. Validation and Runtime Pack Export</w:t>
      </w:r>
    </w:p>
    <w:p>
      <w:pPr>
        <w:pStyle w:val="Normal"/>
        <w:rPr/>
      </w:pPr>
      <w:r>
        <w:rP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pPr>
        <w:pStyle w:val="Normal"/>
        <w:rPr/>
      </w:pPr>
      <w:r>
        <w:rPr/>
        <w:t>Locale data is retained in the runtime pack so DAT.Runtime.Manager can expose a pack-specific TFormatSettings without globally mutating the developer's source code.</w:t>
      </w:r>
    </w:p>
    <w:p>
      <w:pPr>
        <w:pStyle w:val="Heading1"/>
        <w:rPr/>
      </w:pPr>
      <w:bookmarkStart w:id="18" w:name="__RefHeading___Toc2856_1381656115"/>
      <w:bookmarkEnd w:id="18"/>
      <w:r>
        <w:rPr/>
        <w:t>11. Runtime Engine</w:t>
      </w:r>
    </w:p>
    <w:p>
      <w:pPr>
        <w:pStyle w:val="Normal"/>
        <w:rPr/>
      </w:pPr>
      <w:r>
        <w:rP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pPr>
        <w:pStyle w:val="Normal"/>
        <w:rPr/>
      </w:pPr>
      <w:r>
        <w:rP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Normal"/>
        <w:rPr/>
      </w:pPr>
      <w:r>
        <w:rPr/>
        <w:t>Direction changes are reversible state transitions rather than one-way coordinate edits. Each applicator snapshots source geometry and designed menu/grid order, restores that baseline before every language application, and mirrors the live parent client area for RTL packs. This supports forms whose actual runtime size differs from the designer resource and prevents Arabic geometry from surviving a switch back to an LTR language.</w:t>
      </w:r>
    </w:p>
    <w:p>
      <w:pPr>
        <w:pStyle w:val="Normal"/>
        <w:rPr/>
      </w:pPr>
      <w:r>
        <w:rPr/>
        <w:t>Fitting contracts are shared between VCL and FMX: preserve a minimum text inset in composite buttons, keep centered headings centered, reduce grid/table header font only within the approved minimum, balance columns against the available live width, and keep technical LTR values readable inside RTL forms. Layout repair is framework-specific only at the adapter seam.</w:t>
      </w:r>
    </w:p>
    <w:p>
      <w:pPr>
        <w:pStyle w:val="Heading2"/>
        <w:rPr/>
      </w:pPr>
      <w:bookmarkStart w:id="19" w:name="__RefHeading___Toc2858_1381656115"/>
      <w:bookmarkEnd w:id="19"/>
      <w:r>
        <w:rPr/>
        <w:t>11.1 Component manager core</w:t>
      </w:r>
    </w:p>
    <w:p>
      <w:pPr>
        <w:pStyle w:val="Normal"/>
        <w:rPr/>
      </w:pPr>
      <w:r>
        <w:rP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pPr>
        <w:pStyle w:val="Normal"/>
        <w:rPr/>
      </w:pPr>
      <w:r>
        <w:rPr/>
        <w:t>TDATFMXLanguageManager subscribes additively to TFormBeforeShownMessage and TFormReleasedMessage. It translates after streaming but before OnShow/first paint and never replaces a global handler. Its designer-visible AutoRefreshDynamicText and DynamicRefreshInterval properties refresh application-generated text without reapplying layout, mirror transforms, menus, or grids. Browser translation retries are bounded and owned by one retry component per browser operation, preventing the overlapping timer trees that previously consumed a CPU core and delayed language switching or shutdown.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pPr>
        <w:pStyle w:val="Normal"/>
        <w:rPr/>
      </w:pPr>
      <w:r>
        <w:rPr/>
        <w:t>The FMX manager installs a translating proxy for the available legacy, synchronous, and asynchronous IFMXDialogService interfaces. ShowMessage, MessageDialog, and InputQuery text is passed through the active runtime translation and then delegated to the original platform service. Uninstallation restores the original service instances and does not replace unrelated application services.</w:t>
      </w:r>
    </w:p>
    <w:p>
      <w:pPr>
        <w:pStyle w:val="Normal"/>
        <w:rPr/>
      </w:pPr>
      <w:r>
        <w:rPr/>
        <w:t>PreserveControlState protects writable edit/memo data, focus, selection ranges, and list/combo ItemIndex. Collection replacement temporarily suppresses and then restores OnChange. Read-only instructional memo content remains translatable.</w:t>
      </w:r>
    </w:p>
    <w:p>
      <w:pPr>
        <w:pStyle w:val="Heading2"/>
        <w:rPr/>
      </w:pPr>
      <w:bookmarkStart w:id="20" w:name="__RefHeading___Toc2860_1381656115"/>
      <w:bookmarkEnd w:id="20"/>
      <w:r>
        <w:rPr/>
        <w:t>11.2 Required language-selection UI</w:t>
      </w:r>
    </w:p>
    <w:p>
      <w:pPr>
        <w:pStyle w:val="Normal"/>
        <w:rPr/>
      </w:pPr>
      <w:r>
        <w:rP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rPr/>
      </w:pPr>
      <w:bookmarkStart w:id="21" w:name="__RefHeading___Toc2862_1381656115"/>
      <w:bookmarkEnd w:id="21"/>
      <w:r>
        <w:rPr/>
        <w:t>11.3 Deployment paths</w:t>
      </w:r>
    </w:p>
    <w:p>
      <w:pPr>
        <w:pStyle w:val="ListBullet"/>
        <w:numPr>
          <w:ilvl w:val="0"/>
          <w:numId w:val="1"/>
        </w:numPr>
        <w:ind w:hanging="271" w:start="540"/>
        <w:rPr/>
      </w:pPr>
      <w:r>
        <w:rPr/>
        <w:t>Packs: &lt;ExecutableDirectory&gt;\Localization\Languages\&lt;locale&gt;.json.</w:t>
      </w:r>
    </w:p>
    <w:p>
      <w:pPr>
        <w:pStyle w:val="ListBullet"/>
        <w:numPr>
          <w:ilvl w:val="0"/>
          <w:numId w:val="1"/>
        </w:numPr>
        <w:ind w:hanging="271" w:start="540"/>
        <w:rPr/>
      </w:pPr>
      <w:r>
        <w:rPr/>
        <w:t>Preference: %LOCALAPPDATA%\&lt;ApplicationId&gt;\language.ini.</w:t>
      </w:r>
    </w:p>
    <w:p>
      <w:pPr>
        <w:pStyle w:val="ListBullet"/>
        <w:numPr>
          <w:ilvl w:val="0"/>
          <w:numId w:val="1"/>
        </w:numPr>
        <w:ind w:hanging="271" w:start="540"/>
        <w:rPr/>
      </w:pPr>
      <w:r>
        <w:rPr/>
        <w:t>Studio preference: %LOCALAPPDATA%\DelphiAppTranslationStudio\language.ini.</w:t>
      </w:r>
    </w:p>
    <w:p>
      <w:pPr>
        <w:pStyle w:val="ListBullet"/>
        <w:numPr>
          <w:ilvl w:val="0"/>
          <w:numId w:val="1"/>
        </w:numPr>
        <w:ind w:hanging="271" w:start="540"/>
        <w:rPr/>
      </w:pPr>
      <w:r>
        <w:rPr/>
        <w:t>Developer catalogs remain in the target source tree under Localization\Development.</w:t>
      </w:r>
    </w:p>
    <w:p>
      <w:pPr>
        <w:pStyle w:val="Heading1"/>
        <w:rPr/>
      </w:pPr>
      <w:bookmarkStart w:id="22" w:name="__RefHeading___Toc2864_1381656115"/>
      <w:bookmarkEnd w:id="22"/>
      <w:r>
        <w:rPr/>
        <w:t>12. Component Packages and Integration Modes</w:t>
      </w:r>
    </w:p>
    <w:p>
      <w:pPr>
        <w:pStyle w:val="Normal"/>
        <w:rPr/>
      </w:pPr>
      <w:r>
        <w:rP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pPr>
        <w:pStyle w:val="Normal"/>
        <w:rPr/>
      </w:pPr>
      <w:r>
        <w:rP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pPr>
        <w:pStyle w:val="Normal"/>
        <w:rPr/>
      </w:pPr>
      <w:r>
        <w:rP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pPr>
        <w:pStyle w:val="Normal"/>
        <w:rPr/>
      </w:pPr>
      <w:r>
        <w:rPr/>
        <w:t>Wizard-initiated builds pass ComponentSource through DCC_UnitSearchPath on the MSBuild command line and do not persist that path in the target DPROJ. DAT.Integration.BuildDeploy refreshes any already-existing generated DAT.*.pas copies beside the DPR or in DAT_Runtime before compiling so Delphi cannot silently choose an obsolete local unit ahead of the new kit. Manual RAD Studio builds remain explicit: use the generated ComponentSource folder in the project Search Path or an approved common source location, and deploy Localization\Languages beside the resulting executable.</w:t>
      </w:r>
    </w:p>
    <w:p>
      <w:pPr>
        <w:pStyle w:val="Normal"/>
        <w:rPr/>
      </w:pPr>
      <w:r>
        <w:rP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rPr/>
      </w:pPr>
      <w:bookmarkStart w:id="23" w:name="__RefHeading___Toc2866_1381656115"/>
      <w:bookmarkEnd w:id="23"/>
      <w:r>
        <w:rPr/>
        <w:t>12.1 Component startup contract</w:t>
      </w:r>
    </w:p>
    <w:p>
      <w:pPr>
        <w:pStyle w:val="ListBullet"/>
        <w:numPr>
          <w:ilvl w:val="0"/>
          <w:numId w:val="1"/>
        </w:numPr>
        <w:ind w:hanging="271" w:start="540"/>
        <w:rPr/>
      </w:pPr>
      <w:r>
        <w:rPr/>
        <w:t>The primary form streams one manager through ordinary Delphi designer mechanics.</w:t>
      </w:r>
    </w:p>
    <w:p>
      <w:pPr>
        <w:pStyle w:val="ListBullet"/>
        <w:numPr>
          <w:ilvl w:val="0"/>
          <w:numId w:val="1"/>
        </w:numPr>
        <w:ind w:hanging="271" w:start="540"/>
        <w:rPr/>
      </w:pPr>
      <w:r>
        <w:rPr/>
        <w:t>Loaded initializes the runtime, loads the preferred/source language, and applies the owner.</w:t>
      </w:r>
    </w:p>
    <w:p>
      <w:pPr>
        <w:pStyle w:val="ListBullet"/>
        <w:numPr>
          <w:ilvl w:val="0"/>
          <w:numId w:val="1"/>
        </w:numPr>
        <w:ind w:hanging="271" w:start="540"/>
        <w:rPr/>
      </w:pPr>
      <w:r>
        <w:rPr/>
        <w:t>FMX before-show messages cover later normal, inherited, and popup forms.</w:t>
      </w:r>
    </w:p>
    <w:p>
      <w:pPr>
        <w:pStyle w:val="ListBullet"/>
        <w:numPr>
          <w:ilvl w:val="0"/>
          <w:numId w:val="1"/>
        </w:numPr>
        <w:ind w:hanging="271" w:start="540"/>
        <w:rPr/>
      </w:pPr>
      <w:r>
        <w:rPr/>
        <w:t>VCL idle/modal discovery covers ordinary forms; strict modeless pre-display callers use ApplyToForm.</w:t>
      </w:r>
    </w:p>
    <w:p>
      <w:pPr>
        <w:pStyle w:val="ListBullet"/>
        <w:numPr>
          <w:ilvl w:val="0"/>
          <w:numId w:val="1"/>
        </w:numPr>
        <w:ind w:hanging="271" w:start="540"/>
        <w:rPr/>
      </w:pPr>
      <w:r>
        <w:rPr/>
        <w:t>SelectLanguage applies the pack to currently open forms immediately and persists the locale.</w:t>
      </w:r>
    </w:p>
    <w:p>
      <w:pPr>
        <w:pStyle w:val="ListBullet"/>
        <w:numPr>
          <w:ilvl w:val="0"/>
          <w:numId w:val="1"/>
        </w:numPr>
        <w:ind w:hanging="271" w:start="540"/>
        <w:rPr/>
      </w:pPr>
      <w:r>
        <w:rPr/>
        <w:t>The generated en-US pack makes switching back to source text deterministic.</w:t>
      </w:r>
    </w:p>
    <w:p>
      <w:pPr>
        <w:pStyle w:val="ListBullet"/>
        <w:numPr>
          <w:ilvl w:val="0"/>
          <w:numId w:val="1"/>
        </w:numPr>
        <w:ind w:hanging="271" w:start="540"/>
        <w:rPr/>
      </w:pPr>
      <w:r>
        <w:rPr/>
        <w:t>Manager and lifecycle subscriptions are released deterministically.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Original code preservation. </w:t>
            </w:r>
            <w:r>
              <w:rP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rPr/>
      </w:pPr>
      <w:bookmarkStart w:id="24" w:name="__RefHeading___Toc2868_1381656115"/>
      <w:bookmarkEnd w:id="24"/>
      <w:r>
        <w:rPr/>
        <w:t>13. Self-Localization</w:t>
      </w:r>
    </w:p>
    <w:p>
      <w:pPr>
        <w:pStyle w:val="Normal"/>
        <w:rPr/>
      </w:pPr>
      <w:r>
        <w:rP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rPr/>
      </w:pPr>
      <w:bookmarkStart w:id="25" w:name="__RefHeading___Toc2870_1381656115"/>
      <w:bookmarkEnd w:id="25"/>
      <w:r>
        <w:rPr/>
        <w:t>14. Error Handling and Diagnostics</w:t>
      </w:r>
    </w:p>
    <w:p>
      <w:pPr>
        <w:pStyle w:val="ListBullet"/>
        <w:numPr>
          <w:ilvl w:val="0"/>
          <w:numId w:val="1"/>
        </w:numPr>
        <w:ind w:hanging="271" w:start="540"/>
        <w:rPr/>
      </w:pPr>
      <w:r>
        <w:rPr/>
        <w:t>Project, scan, catalog, validation, export, integration, credential, and provider errors are caught at Studio event boundaries and summarized in the status card.</w:t>
      </w:r>
    </w:p>
    <w:p>
      <w:pPr>
        <w:pStyle w:val="ListBullet"/>
        <w:numPr>
          <w:ilvl w:val="0"/>
          <w:numId w:val="1"/>
        </w:numPr>
        <w:ind w:hanging="271" w:start="540"/>
        <w:rPr/>
      </w:pPr>
      <w:r>
        <w:rPr/>
        <w:t>Provider exceptions carry an optional HTTP status but not response bodies.</w:t>
      </w:r>
    </w:p>
    <w:p>
      <w:pPr>
        <w:pStyle w:val="ListBullet"/>
        <w:numPr>
          <w:ilvl w:val="0"/>
          <w:numId w:val="1"/>
        </w:numPr>
        <w:ind w:hanging="271" w:start="540"/>
        <w:rPr/>
      </w:pPr>
      <w:r>
        <w:rPr/>
        <w:t>Form scanners return file/line diagnostics without instantiating target UI.</w:t>
      </w:r>
    </w:p>
    <w:p>
      <w:pPr>
        <w:pStyle w:val="ListBullet"/>
        <w:numPr>
          <w:ilvl w:val="0"/>
          <w:numId w:val="1"/>
        </w:numPr>
        <w:ind w:hanging="271" w:start="540"/>
        <w:rPr/>
      </w:pPr>
      <w:r>
        <w:rPr/>
        <w:t>Integration previews show a complete line-numbered exact diff for every affected file before mutation.</w:t>
      </w:r>
    </w:p>
    <w:p>
      <w:pPr>
        <w:pStyle w:val="ListBullet"/>
        <w:numPr>
          <w:ilvl w:val="0"/>
          <w:numId w:val="1"/>
        </w:numPr>
        <w:ind w:hanging="271" w:start="540"/>
        <w:rPr/>
      </w:pPr>
      <w:r>
        <w:rPr/>
        <w:t>Transaction errors trigger rollback and retain backup evidence.</w:t>
      </w:r>
    </w:p>
    <w:p>
      <w:pPr>
        <w:pStyle w:val="ListBullet"/>
        <w:numPr>
          <w:ilvl w:val="0"/>
          <w:numId w:val="1"/>
        </w:numPr>
        <w:ind w:hanging="271" w:start="540"/>
        <w:rPr/>
      </w:pPr>
      <w:r>
        <w:rPr/>
        <w:t>Provider keys must never be added to troubleshooting logs.</w:t>
      </w:r>
    </w:p>
    <w:p>
      <w:pPr>
        <w:pStyle w:val="Heading1"/>
        <w:rPr/>
      </w:pPr>
      <w:bookmarkStart w:id="26" w:name="__RefHeading___Toc2872_1381656115"/>
      <w:bookmarkEnd w:id="26"/>
      <w:r>
        <w:rPr/>
        <w:t>15. Test Strategy and Verified Matrix</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Test</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Coverage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FoundationSmokeTests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scan-to-catalog, schema/provenance round-trip, provider contracts, review/approval, validation, runtime pack, preference, advanced integration, component-kit contents, and SHA-256 non-mutation proof.</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manager suites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guards/generations, FMX before-show lifecycle, VCL discovery/modal boundary, stable identities, instant switching, state preservation, and deterministic cleanup on Win32/Win64.</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Package/selector suites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Debug and Release runtime/design packages, DFM/FMX streaming, typed manager references, pack discovery, and selector language propagation on Win32/Win64.</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VCLRuntimeSmokeTests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 controls, menu items, locale, generated unit.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FMXRuntimeSmokeTests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All representative FMX form properties, menu items, locale, generated unit.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RTL and layout suites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VCL/FMX geometry restoration, live-parent mirroring, menu/grid order, input reading order, heading centering, balanced headers, side-label alignment, and composite-button padding.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FMXDialogTranslationSmokeTests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Legacy, synchronous, and asynchronous FMX dialog service proxying, translated messages/prompts, and restoration of the original platform services.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Scanner and stable-key suites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Unicode text repair, protected Delphi tokens, duplicate-key handling, runtime dialog/list templates, explicit stable generated-content keys, and stale generated scan-path prevention.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StudioFormSmokeTests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Direct FMX stream/create, maximized client-aligned pages, provider-only automatic-translation controls, exact-review controls, linguistic action wiring, and Provider Settings activation.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RunRuntimeSmokeTests.ps1</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Both compilers, scanner/catalog/provider contracts, disposable integrated VCL/FMX builds, deployed Italian pack, and required Italian launch title.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RunStudioLaunchSmokeTests.ps1</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Debug/Release Win32/Win64 real main-window title.</w:t>
            </w:r>
          </w:p>
        </w:tc>
      </w:tr>
      <w:tr>
        <w:trPr>
          <w:cantSplit/>
        </w:trPr>
        <w:tc>
          <w:tcPr>
            <w:tcW w:w="2700"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RunStudioSelfLocalizationSmokeTest.ps1</w:t>
            </w:r>
          </w:p>
        </w:tc>
        <w:tc>
          <w:tcPr>
            <w:tcW w:w="6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Italian Studio title in all four configurations with state restoration.</w:t>
            </w:r>
          </w:p>
        </w:tc>
      </w:tr>
    </w:tbl>
    <w:p>
      <w:pPr>
        <w:pStyle w:val="Normal"/>
        <w:rPr/>
      </w:pPr>
      <w:r>
        <w:rPr/>
        <w:t>The alpha regression matrix is maintained across Debug/Release and Win32/Win64. Its current contracts cover packages, language-manager lifecycle, scanner/catalog/provider behavior, non-mutating component integration, runtime dialogs, reversible RTL/LTR transitions, generated HTML/reference content, bounded browser refresh, and reusable VCL/FMX layout fitting. Real-application pilots include Carillon (VCL) and a disposable VCL2FMXConverter v5 test copy; the public V5/V6 converter repositories are not test targets and are not modified by this project.</w:t>
      </w:r>
    </w:p>
    <w:p>
      <w:pPr>
        <w:pStyle w:val="Heading2"/>
        <w:rPr/>
      </w:pPr>
      <w:bookmarkStart w:id="27" w:name="__RefHeading___Toc2874_1381656115"/>
      <w:bookmarkEnd w:id="27"/>
      <w:r>
        <w:rPr/>
        <w:t>15.1 Optional live provider testing</w:t>
      </w:r>
    </w:p>
    <w:p>
      <w:pPr>
        <w:pStyle w:val="Normal"/>
        <w:rPr/>
      </w:pPr>
      <w:r>
        <w:rP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rPr/>
      </w:pPr>
      <w:bookmarkStart w:id="28" w:name="__RefHeading___Toc2876_1381656115"/>
      <w:bookmarkEnd w:id="28"/>
      <w:r>
        <w:rPr/>
        <w:t>16. Security Review</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Threat</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Control</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Key committed to Git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 key field in settings JSON/catalogs; Credential Manager or memory only; release secret scan.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Key leaked through URL/log</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Authentication headers, redacted errors, no body/header logging.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Wrong target changed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Recommended component kit has no target-write path; advanced mode uses profile display, preview, and explicit Apply.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Unrecoverable source mutation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Verified G-drive project backup by workflow policy plus transaction backup/manifest/restore.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Installed-folder write failure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Per-user language preference; packs are read-only deployment assets.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Machine mistranslation shipped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Machine-translated status, validation, required human review.</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 for wrong application</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applicationId validation in pack discovery/loading.</w:t>
            </w:r>
          </w:p>
        </w:tc>
      </w:tr>
    </w:tbl>
    <w:p>
      <w:pPr>
        <w:pStyle w:val="Normal"/>
        <w:rPr/>
      </w:pPr>
      <w:r>
        <w:rP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rPr/>
      </w:pPr>
      <w:bookmarkStart w:id="29" w:name="__RefHeading___Toc2878_1381656115"/>
      <w:bookmarkEnd w:id="29"/>
      <w:r>
        <w:rPr/>
        <w:t>17. Release and Contribution Workflow</w:t>
      </w:r>
    </w:p>
    <w:p>
      <w:pPr>
        <w:pStyle w:val="ListNumber"/>
        <w:numPr>
          <w:ilvl w:val="0"/>
          <w:numId w:val="11"/>
        </w:numPr>
        <w:rPr/>
      </w:pPr>
      <w:r>
        <w:rPr/>
        <w:t>Read global and repository directives.</w:t>
      </w:r>
    </w:p>
    <w:p>
      <w:pPr>
        <w:pStyle w:val="ListNumber"/>
        <w:numPr>
          <w:ilvl w:val="0"/>
          <w:numId w:val="7"/>
        </w:numPr>
        <w:rPr/>
      </w:pPr>
      <w:r>
        <w:rPr/>
        <w:t>Confirm the exact requested scope and make a pre-change backup when changes are approved.</w:t>
      </w:r>
    </w:p>
    <w:p>
      <w:pPr>
        <w:pStyle w:val="ListNumber"/>
        <w:numPr>
          <w:ilvl w:val="0"/>
          <w:numId w:val="7"/>
        </w:numPr>
        <w:rPr/>
      </w:pPr>
      <w:r>
        <w:rPr/>
        <w:t>Keep UI edits in the FMX designer resource and source event logic separate.</w:t>
      </w:r>
    </w:p>
    <w:p>
      <w:pPr>
        <w:pStyle w:val="ListNumber"/>
        <w:numPr>
          <w:ilvl w:val="0"/>
          <w:numId w:val="7"/>
        </w:numPr>
        <w:rPr/>
      </w:pPr>
      <w:r>
        <w:rPr/>
        <w:t>Add deterministic tests without credentials.</w:t>
      </w:r>
    </w:p>
    <w:p>
      <w:pPr>
        <w:pStyle w:val="ListNumber"/>
        <w:numPr>
          <w:ilvl w:val="0"/>
          <w:numId w:val="7"/>
        </w:numPr>
        <w:rPr/>
      </w:pPr>
      <w:r>
        <w:rPr/>
        <w:t>Run Win32/Win64 Debug/Release builds elevated.</w:t>
      </w:r>
    </w:p>
    <w:p>
      <w:pPr>
        <w:pStyle w:val="ListNumber"/>
        <w:numPr>
          <w:ilvl w:val="0"/>
          <w:numId w:val="7"/>
        </w:numPr>
        <w:rPr/>
      </w:pPr>
      <w:r>
        <w:rPr/>
        <w:t>Run runtime, form-streaming, launch, and self-localization suites.</w:t>
      </w:r>
    </w:p>
    <w:p>
      <w:pPr>
        <w:pStyle w:val="ListNumber"/>
        <w:numPr>
          <w:ilvl w:val="0"/>
          <w:numId w:val="7"/>
        </w:numPr>
        <w:rPr/>
      </w:pPr>
      <w:r>
        <w:rPr/>
        <w:t>Update phase notes, help, User Guide, Engineering Guide, real TOCs, PDFs, and visual QA.</w:t>
      </w:r>
    </w:p>
    <w:p>
      <w:pPr>
        <w:pStyle w:val="ListNumber"/>
        <w:numPr>
          <w:ilvl w:val="0"/>
          <w:numId w:val="7"/>
        </w:numPr>
        <w:rPr/>
      </w:pPr>
      <w:r>
        <w:rPr/>
        <w:t>Check for a stale zero-byte .git\index.lock with no Git process.</w:t>
      </w:r>
    </w:p>
    <w:p>
      <w:pPr>
        <w:pStyle w:val="ListNumber"/>
        <w:numPr>
          <w:ilvl w:val="0"/>
          <w:numId w:val="7"/>
        </w:numPr>
        <w:rPr/>
      </w:pPr>
      <w:r>
        <w:rPr/>
        <w:t>Review status, stage only intended files, commit clearly, and push every configured remote.</w:t>
      </w:r>
    </w:p>
    <w:p>
      <w:pPr>
        <w:pStyle w:val="Heading1"/>
        <w:rPr/>
      </w:pPr>
      <w:bookmarkStart w:id="30" w:name="__RefHeading___Toc2880_1381656115"/>
      <w:bookmarkEnd w:id="30"/>
      <w:r>
        <w:rPr/>
        <w:t>18. Known Boundaries and Future-Compatible Design</w:t>
      </w:r>
    </w:p>
    <w:p>
      <w:pPr>
        <w:pStyle w:val="ListBullet"/>
        <w:numPr>
          <w:ilvl w:val="0"/>
          <w:numId w:val="1"/>
        </w:numPr>
        <w:ind w:hanging="271" w:start="540"/>
        <w:rPr/>
      </w:pPr>
      <w:r>
        <w:rPr/>
        <w:t>Only Windows Win32/Win64 Delphi applications are supported.</w:t>
      </w:r>
    </w:p>
    <w:p>
      <w:pPr>
        <w:pStyle w:val="ListBullet"/>
        <w:numPr>
          <w:ilvl w:val="0"/>
          <w:numId w:val="1"/>
        </w:numPr>
        <w:ind w:hanging="271" w:start="540"/>
        <w:rPr/>
      </w:pPr>
      <w:r>
        <w:rPr/>
        <w:t>Google Advanced v3, OAuth/service-account workflows, and other providers are not implemented.</w:t>
      </w:r>
    </w:p>
    <w:p>
      <w:pPr>
        <w:pStyle w:val="ListBullet"/>
        <w:numPr>
          <w:ilvl w:val="0"/>
          <w:numId w:val="1"/>
        </w:numPr>
        <w:ind w:hanging="271" w:start="540"/>
        <w:rPr/>
      </w:pPr>
      <w:r>
        <w:rPr/>
        <w:t>Provider operations are explicit Studio actions; target runtime remains offline.</w:t>
      </w:r>
    </w:p>
    <w:p>
      <w:pPr>
        <w:pStyle w:val="ListBullet"/>
        <w:numPr>
          <w:ilvl w:val="0"/>
          <w:numId w:val="1"/>
        </w:numPr>
        <w:ind w:hanging="271" w:start="540"/>
        <w:rPr/>
      </w:pPr>
      <w:r>
        <w:rPr/>
        <w:t>Automatic fitting is limited to recorded safe layout contracts. Arbitrary application-specific redesign, business-data layout, charts, owner drawing, and controls with unrecognized geometry still require developer review.</w:t>
      </w:r>
    </w:p>
    <w:p>
      <w:pPr>
        <w:pStyle w:val="ListBullet"/>
        <w:numPr>
          <w:ilvl w:val="0"/>
          <w:numId w:val="1"/>
        </w:numPr>
        <w:ind w:hanging="271" w:start="540"/>
        <w:rPr/>
      </w:pPr>
      <w:r>
        <w:rPr/>
        <w:t>Binary DFM conversion is outside the scanner.</w:t>
      </w:r>
    </w:p>
    <w:p>
      <w:pPr>
        <w:pStyle w:val="ListBullet"/>
        <w:numPr>
          <w:ilvl w:val="0"/>
          <w:numId w:val="1"/>
        </w:numPr>
        <w:ind w:hanging="271" w:start="540"/>
        <w:rPr/>
      </w:pPr>
      <w:r>
        <w:rPr/>
        <w:t>Automatic runtime application covers scanned designer properties. Application-specific strings still require the documented TranslateText wiring.</w:t>
      </w:r>
    </w:p>
    <w:p>
      <w:pPr>
        <w:pStyle w:val="ListBullet"/>
        <w:numPr>
          <w:ilvl w:val="0"/>
          <w:numId w:val="1"/>
        </w:numPr>
        <w:ind w:hanging="271" w:start="540"/>
        <w:rPr/>
      </w:pPr>
      <w:r>
        <w:rPr/>
        <w:t>VCL dynamic modeless forms may paint once in source language before idle discovery; call ApplyToForm before Show when a no-flicker first display is mandatory.</w:t>
      </w:r>
    </w:p>
    <w:p>
      <w:pPr>
        <w:pStyle w:val="ListBullet"/>
        <w:numPr>
          <w:ilvl w:val="0"/>
          <w:numId w:val="1"/>
        </w:numPr>
        <w:ind w:hanging="271" w:start="540"/>
        <w:rPr/>
      </w:pPr>
      <w:r>
        <w:rPr/>
        <w:t>Provider account terms and language support are external and must be rechecked for each release.</w:t>
      </w:r>
    </w:p>
    <w:p>
      <w:pPr>
        <w:pStyle w:val="Heading1"/>
        <w:rPr/>
      </w:pPr>
      <w:bookmarkStart w:id="31" w:name="__RefHeading___Toc2882_1381656115"/>
      <w:bookmarkEnd w:id="31"/>
      <w:r>
        <w:rPr/>
        <w:t>19. Documentation Generation</w:t>
      </w:r>
    </w:p>
    <w:p>
      <w:pPr>
        <w:pStyle w:val="Normal"/>
        <w:rPr/>
      </w:pPr>
      <w:r>
        <w:rP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rPr/>
      </w:pPr>
      <w:bookmarkStart w:id="32" w:name="__RefHeading___Toc2884_1381656115"/>
      <w:bookmarkEnd w:id="32"/>
      <w:r>
        <w:rPr/>
        <w:t>20. Source References</w:t>
      </w:r>
    </w:p>
    <w:p>
      <w:pPr>
        <w:pStyle w:val="ListBullet"/>
        <w:numPr>
          <w:ilvl w:val="0"/>
          <w:numId w:val="1"/>
        </w:numPr>
        <w:ind w:hanging="271" w:start="540"/>
        <w:rPr/>
      </w:pPr>
      <w:r>
        <w:rPr/>
        <w:t>Repository source, forms, project metadata, schemas, contracts, and smoke tests as of August 26, 2026.</w:t>
      </w:r>
    </w:p>
    <w:p>
      <w:pPr>
        <w:pStyle w:val="ListBullet"/>
        <w:numPr>
          <w:ilvl w:val="0"/>
          <w:numId w:val="1"/>
        </w:numPr>
        <w:ind w:hanging="271" w:start="540"/>
        <w:rPr/>
      </w:pPr>
      <w:r>
        <w:rPr/>
        <w:t>Microsoft credential handling: https://learn.microsoft.com/en-us/windows/win32/secbp/handling-passwords</w:t>
      </w:r>
    </w:p>
    <w:p>
      <w:pPr>
        <w:pStyle w:val="ListBullet"/>
        <w:numPr>
          <w:ilvl w:val="0"/>
          <w:numId w:val="1"/>
        </w:numPr>
        <w:ind w:hanging="271" w:start="540"/>
        <w:rPr/>
      </w:pPr>
      <w:r>
        <w:rPr/>
        <w:t>Windows CREDENTIAL structure: https://learn.microsoft.com/en-us/windows/win32/api/wincred/ns-wincred-credentialw</w:t>
      </w:r>
    </w:p>
    <w:p>
      <w:pPr>
        <w:pStyle w:val="ListBullet"/>
        <w:numPr>
          <w:ilvl w:val="0"/>
          <w:numId w:val="1"/>
        </w:numPr>
        <w:ind w:hanging="271" w:start="540"/>
        <w:rPr/>
      </w:pPr>
      <w:r>
        <w:rPr/>
        <w:t>DeepL developer documentation: https://developers.deepl.com/docs/getting-started/auth</w:t>
      </w:r>
    </w:p>
    <w:p>
      <w:pPr>
        <w:pStyle w:val="ListBullet"/>
        <w:numPr>
          <w:ilvl w:val="0"/>
          <w:numId w:val="1"/>
        </w:numPr>
        <w:ind w:hanging="271" w:start="540"/>
        <w:rPr/>
      </w:pPr>
      <w:r>
        <w:rPr/>
        <w:t>Google Cloud Translation documentation: https://docs.cloud.google.com/translate/docs/authentication</w:t>
      </w:r>
    </w:p>
    <w:p>
      <w:pPr>
        <w:pStyle w:val="ListBullet"/>
        <w:numPr>
          <w:ilvl w:val="0"/>
          <w:numId w:val="1"/>
        </w:numPr>
        <w:spacing w:before="0" w:after="80"/>
        <w:ind w:hanging="271" w:start="540"/>
        <w:contextualSpacing/>
        <w:rPr/>
      </w:pPr>
      <w:r>
        <w:rPr/>
        <w:t>Google API-key guidance: https://docs.cloud.google.com/docs/authentication/api-keys-best-practices</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16</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Engineering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2026-08-26T20:59:09Z</dcterms:modified>
  <cp:revision>2</cp:revision>
  <dc:subject>Delphi App Translation Studio documentation</dc:subject>
  <dc:title>Delphi App Translation Studio Engineering Guide</dc:title>
</cp:coreProperties>
</file>

<file path=docProps/custom.xml><?xml version="1.0" encoding="utf-8"?>
<Properties xmlns="http://schemas.openxmlformats.org/officeDocument/2006/custom-properties" xmlns:vt="http://schemas.openxmlformats.org/officeDocument/2006/docPropsVTypes"/>
</file>