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23. Appendix A - License Information</w:t>
            </w:r>
          </w:p>
        </w:tc>
        <w:tc>
          <w:tcPr>
            <w:tcW w:type="dxa" w:w="1160"/>
          </w:tcPr>
          <w:p>
            <w:pPr>
              <w:spacing w:after="20"/>
              <w:jc w:val="right"/>
            </w:pPr>
            <w:r>
              <w:rPr>
                <w:rFonts w:ascii="Aptos" w:hAnsi="Aptos"/>
                <w:b/>
                <w:color w:val="5D7693"/>
                <w:sz w:val="18"/>
              </w:rPr>
              <w:t>30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atomically installs one project-local dependency, builds Win32 Release with a temporary Search Path, and directly deploys packs to the folders you approved. It does not rewrite target Pascal, DPR, DPROJ, DFM, or FMX files.</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C:\DelphiProjects\Delphi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Choose File &gt; Save All and close the running target application before Wizard final processing. The Wizard verifies this explicitly at Review and Authorize; the RAD Studio project may remain open because its files are read-only to the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spacing w:before="120" w:after="60"/>
        <w:jc w:val="center"/>
      </w:pPr>
      <w:r>
        <w:drawing>
          <wp:inline xmlns:a="http://schemas.openxmlformats.org/drawingml/2006/main" xmlns:pic="http://schemas.openxmlformats.org/drawingml/2006/picture">
            <wp:extent cx="5349240" cy="3532517"/>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32517"/>
                    </a:xfrm>
                    <a:prstGeom prst="rect"/>
                  </pic:spPr>
                </pic:pic>
              </a:graphicData>
            </a:graphic>
          </wp:inline>
        </w:drawing>
      </w:r>
    </w:p>
    <w:p>
      <w:pPr>
        <w:keepLines/>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saved-files/running-application check and authorization check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spacing w:before="120" w:after="60"/>
        <w:jc w:val="center"/>
      </w:pPr>
      <w:r>
        <w:drawing>
          <wp:inline xmlns:a="http://schemas.openxmlformats.org/drawingml/2006/main" xmlns:pic="http://schemas.openxmlformats.org/drawingml/2006/picture">
            <wp:extent cx="5349240" cy="3532517"/>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32517"/>
                    </a:xfrm>
                    <a:prstGeom prst="rect"/>
                  </pic:spPr>
                </pic:pic>
              </a:graphicData>
            </a:graphic>
          </wp:inline>
        </w:drawing>
      </w:r>
    </w:p>
    <w:p>
      <w:pPr>
        <w:keepLines/>
        <w:spacing w:after="200"/>
        <w:jc w:val="center"/>
      </w:pPr>
      <w:r>
        <w:rPr>
          <w:rFonts w:ascii="Aptos" w:hAnsi="Aptos"/>
          <w:i/>
          <w:color w:val="5D7693"/>
          <w:sz w:val="18"/>
        </w:rPr>
        <w:t>Figure 4-1. Step 1 - Welcome.</w:t>
      </w:r>
    </w:p>
    <w:p>
      <w:pPr>
        <w:keepNext/>
        <w:spacing w:before="120" w:after="60"/>
        <w:jc w:val="center"/>
      </w:pPr>
      <w:r>
        <w:drawing>
          <wp:inline xmlns:a="http://schemas.openxmlformats.org/drawingml/2006/main" xmlns:pic="http://schemas.openxmlformats.org/drawingml/2006/picture">
            <wp:extent cx="4937760" cy="1785998"/>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tmp632ww961.png"/>
                    <pic:cNvPicPr/>
                  </pic:nvPicPr>
                  <pic:blipFill>
                    <a:blip r:embed="rId17"/>
                    <a:stretch>
                      <a:fillRect/>
                    </a:stretch>
                  </pic:blipFill>
                  <pic:spPr>
                    <a:xfrm>
                      <a:off x="0" y="0"/>
                      <a:ext cx="4937760" cy="1785998"/>
                    </a:xfrm>
                    <a:prstGeom prst="rect"/>
                  </pic:spPr>
                </pic:pic>
              </a:graphicData>
            </a:graphic>
          </wp:inline>
        </w:drawing>
      </w:r>
    </w:p>
    <w:p>
      <w:pPr>
        <w:keepLines/>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The header carries the genuine App Translate product icon from the project Images folder, the Delphi App Translation Studio name, and the Vanguard Software family identity. The icon is embedded in a designer-owned TImage so the same approved branding appears on every Wizard page without depending on an external file at runtime.</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spacing w:before="120" w:after="60"/>
        <w:jc w:val="center"/>
      </w:pPr>
      <w:r>
        <w:drawing>
          <wp:inline xmlns:a="http://schemas.openxmlformats.org/drawingml/2006/main" xmlns:pic="http://schemas.openxmlformats.org/drawingml/2006/picture">
            <wp:extent cx="5349240" cy="3527471"/>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8"/>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5-1. Step 2 - Delphi Project.</w:t>
      </w:r>
    </w:p>
    <w:p>
      <w:pPr>
        <w:keepNext/>
        <w:spacing w:before="120" w:after="60"/>
        <w:jc w:val="center"/>
      </w:pPr>
      <w:r>
        <w:drawing>
          <wp:inline xmlns:a="http://schemas.openxmlformats.org/drawingml/2006/main" xmlns:pic="http://schemas.openxmlformats.org/drawingml/2006/picture">
            <wp:extent cx="4937760" cy="1866838"/>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tmpxe1a714m.png"/>
                    <pic:cNvPicPr/>
                  </pic:nvPicPr>
                  <pic:blipFill>
                    <a:blip r:embed="rId19"/>
                    <a:stretch>
                      <a:fillRect/>
                    </a:stretch>
                  </pic:blipFill>
                  <pic:spPr>
                    <a:xfrm>
                      <a:off x="0" y="0"/>
                      <a:ext cx="4937760" cy="1866838"/>
                    </a:xfrm>
                    <a:prstGeom prst="rect"/>
                  </pic:spPr>
                </pic:pic>
              </a:graphicData>
            </a:graphic>
          </wp:inline>
        </w:drawing>
      </w:r>
    </w:p>
    <w:p>
      <w:pPr>
        <w:keepLines/>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spacing w:before="120" w:after="60"/>
        <w:jc w:val="center"/>
      </w:pPr>
      <w:r>
        <w:drawing>
          <wp:inline xmlns:a="http://schemas.openxmlformats.org/drawingml/2006/main" xmlns:pic="http://schemas.openxmlformats.org/drawingml/2006/picture">
            <wp:extent cx="5349240" cy="3527471"/>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2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6-1. Step 3 - Deployment.</w:t>
      </w:r>
    </w:p>
    <w:p>
      <w:pPr>
        <w:keepNext/>
        <w:spacing w:before="120" w:after="60"/>
        <w:jc w:val="center"/>
      </w:pPr>
      <w:r>
        <w:drawing>
          <wp:inline xmlns:a="http://schemas.openxmlformats.org/drawingml/2006/main" xmlns:pic="http://schemas.openxmlformats.org/drawingml/2006/picture">
            <wp:extent cx="4937760" cy="241423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tmpixp5ilaw.png"/>
                    <pic:cNvPicPr/>
                  </pic:nvPicPr>
                  <pic:blipFill>
                    <a:blip r:embed="rId21"/>
                    <a:stretch>
                      <a:fillRect/>
                    </a:stretch>
                  </pic:blipFill>
                  <pic:spPr>
                    <a:xfrm>
                      <a:off x="0" y="0"/>
                      <a:ext cx="4937760" cy="2414237"/>
                    </a:xfrm>
                    <a:prstGeom prst="rect"/>
                  </pic:spPr>
                </pic:pic>
              </a:graphicData>
            </a:graphic>
          </wp:inline>
        </w:drawing>
      </w:r>
    </w:p>
    <w:p>
      <w:pPr>
        <w:keepLines/>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spacing w:before="120" w:after="60"/>
        <w:jc w:val="center"/>
      </w:pPr>
      <w:r>
        <w:drawing>
          <wp:inline xmlns:a="http://schemas.openxmlformats.org/drawingml/2006/main" xmlns:pic="http://schemas.openxmlformats.org/drawingml/2006/picture">
            <wp:extent cx="5349240" cy="3527471"/>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22"/>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7-1. Step 4 - Languages.</w:t>
      </w:r>
    </w:p>
    <w:p>
      <w:pPr>
        <w:keepNext/>
        <w:spacing w:before="120" w:after="60"/>
        <w:jc w:val="center"/>
      </w:pPr>
      <w:r>
        <w:drawing>
          <wp:inline xmlns:a="http://schemas.openxmlformats.org/drawingml/2006/main" xmlns:pic="http://schemas.openxmlformats.org/drawingml/2006/picture">
            <wp:extent cx="4937760" cy="1593126"/>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tmpneocoqo8.png"/>
                    <pic:cNvPicPr/>
                  </pic:nvPicPr>
                  <pic:blipFill>
                    <a:blip r:embed="rId23"/>
                    <a:stretch>
                      <a:fillRect/>
                    </a:stretch>
                  </pic:blipFill>
                  <pic:spPr>
                    <a:xfrm>
                      <a:off x="0" y="0"/>
                      <a:ext cx="4937760" cy="1593126"/>
                    </a:xfrm>
                    <a:prstGeom prst="rect"/>
                  </pic:spPr>
                </pic:pic>
              </a:graphicData>
            </a:graphic>
          </wp:inline>
        </w:drawing>
      </w:r>
    </w:p>
    <w:p>
      <w:pPr>
        <w:keepLines/>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spacing w:before="120" w:after="60"/>
        <w:jc w:val="center"/>
      </w:pPr>
      <w:r>
        <w:drawing>
          <wp:inline xmlns:a="http://schemas.openxmlformats.org/drawingml/2006/main" xmlns:pic="http://schemas.openxmlformats.org/drawingml/2006/picture">
            <wp:extent cx="5349240" cy="3527471"/>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4"/>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8-1. Step 5 - Translation Service.</w:t>
      </w:r>
    </w:p>
    <w:p>
      <w:pPr>
        <w:keepNext/>
        <w:spacing w:before="120" w:after="60"/>
        <w:jc w:val="center"/>
      </w:pPr>
      <w:r>
        <w:drawing>
          <wp:inline xmlns:a="http://schemas.openxmlformats.org/drawingml/2006/main" xmlns:pic="http://schemas.openxmlformats.org/drawingml/2006/picture">
            <wp:extent cx="4937760" cy="243161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tmpvmvb3ijw.png"/>
                    <pic:cNvPicPr/>
                  </pic:nvPicPr>
                  <pic:blipFill>
                    <a:blip r:embed="rId25"/>
                    <a:stretch>
                      <a:fillRect/>
                    </a:stretch>
                  </pic:blipFill>
                  <pic:spPr>
                    <a:xfrm>
                      <a:off x="0" y="0"/>
                      <a:ext cx="4937760" cy="2431614"/>
                    </a:xfrm>
                    <a:prstGeom prst="rect"/>
                  </pic:spPr>
                </pic:pic>
              </a:graphicData>
            </a:graphic>
          </wp:inline>
        </w:drawing>
      </w:r>
    </w:p>
    <w:p>
      <w:pPr>
        <w:keepLines/>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spacing w:before="120" w:after="60"/>
        <w:jc w:val="center"/>
      </w:pPr>
      <w:r>
        <w:drawing>
          <wp:inline xmlns:a="http://schemas.openxmlformats.org/drawingml/2006/main" xmlns:pic="http://schemas.openxmlformats.org/drawingml/2006/picture">
            <wp:extent cx="5349240" cy="3527471"/>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6"/>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9-1. Step 6 - Scan Project.</w:t>
      </w:r>
    </w:p>
    <w:p>
      <w:pPr>
        <w:keepNext/>
        <w:spacing w:before="120" w:after="60"/>
        <w:jc w:val="center"/>
      </w:pPr>
      <w:r>
        <w:drawing>
          <wp:inline xmlns:a="http://schemas.openxmlformats.org/drawingml/2006/main" xmlns:pic="http://schemas.openxmlformats.org/drawingml/2006/picture">
            <wp:extent cx="4937760" cy="2180068"/>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tmpqh59ud1t.png"/>
                    <pic:cNvPicPr/>
                  </pic:nvPicPr>
                  <pic:blipFill>
                    <a:blip r:embed="rId27"/>
                    <a:stretch>
                      <a:fillRect/>
                    </a:stretch>
                  </pic:blipFill>
                  <pic:spPr>
                    <a:xfrm>
                      <a:off x="0" y="0"/>
                      <a:ext cx="4937760" cy="2180068"/>
                    </a:xfrm>
                    <a:prstGeom prst="rect"/>
                  </pic:spPr>
                </pic:pic>
              </a:graphicData>
            </a:graphic>
          </wp:inline>
        </w:drawing>
      </w:r>
    </w:p>
    <w:p>
      <w:pPr>
        <w:keepLines/>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spacing w:before="120" w:after="60"/>
        <w:jc w:val="center"/>
      </w:pPr>
      <w:r>
        <w:drawing>
          <wp:inline xmlns:a="http://schemas.openxmlformats.org/drawingml/2006/main" xmlns:pic="http://schemas.openxmlformats.org/drawingml/2006/picture">
            <wp:extent cx="5349240" cy="3610562"/>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8"/>
                    <a:stretch>
                      <a:fillRect/>
                    </a:stretch>
                  </pic:blipFill>
                  <pic:spPr>
                    <a:xfrm>
                      <a:off x="0" y="0"/>
                      <a:ext cx="5349240" cy="3610562"/>
                    </a:xfrm>
                    <a:prstGeom prst="rect"/>
                  </pic:spPr>
                </pic:pic>
              </a:graphicData>
            </a:graphic>
          </wp:inline>
        </w:drawing>
      </w:r>
    </w:p>
    <w:p>
      <w:pPr>
        <w:keepLines/>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Choose File &gt; Save All in RAD Studio and close the running target application before you authorize the run. The project itself may remain open because the Wizard does not write its DPROJ or form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Target files saved; application closed</w:t>
            </w:r>
          </w:p>
        </w:tc>
        <w:tc>
          <w:tcPr>
            <w:tcW w:type="dxa" w:w="3900"/>
            <w:vAlign w:val="center"/>
          </w:tcPr>
          <w:p>
            <w:r>
              <w:t>Confirms the target files are saved and the running target executable will not lock a rebuild.</w:t>
            </w:r>
          </w:p>
        </w:tc>
        <w:tc>
          <w:tcPr>
            <w:tcW w:type="dxa" w:w="3660"/>
            <w:vAlign w:val="center"/>
          </w:tcPr>
          <w:p>
            <w:r>
              <w:t>Choose File &gt; Save All, close the running target application, then select it. The RAD Studio project may remain open.</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2"/>
      </w:pPr>
      <w:r>
        <w:t>11.1 Maintain the glossary later without rerunning the Wizard</w:t>
      </w:r>
    </w:p>
    <w:p>
      <w:r>
        <w:t>Localization Review is the right place to make terminology decisions while a Wizard run is already in progress. It is no longer the only way to maintain those decisions. After the run, open Maintenance Studio and select Glossary directly below Translate on the left rail. The standalone page opens the same authoritative per-project, per-language glossary and does not rerun setup, scanning, or provider translation.</w:t>
      </w:r>
    </w:p>
    <w:p>
      <w:r>
        <w:t>The saved file is %LOCALAPPDATA%\DelphiAppTranslationStudio\Workspaces\&lt;ApplicationId&gt;\Glossaries\&lt;ApplicationId&gt;.&lt;locale&gt;.glossary.json. Select the target language, add or revise the source term and preferred translation, record optional semantic-concept and developer-note information, choose case sensitivity and approval deliberately, then choose Add / Update Term followed by Save Glossary.</w:t>
      </w:r>
    </w:p>
    <w:p>
      <w:r>
        <w:t>Choose Apply and Deploy after saving terminology. Maintenance Studio loads the matching development catalog automatically, applies approved matches only to entries that are not already Reviewed or Approved, validates and saves the catalog, regenerates the affected external JSON runtime pack, refreshes the managed dependency pack, and deploys the complete verified pack set to existing build outputs and remembered destinations. It does not call a provider, rebuild or replace an executable, or edit Delphi source/forms/project files. A completed Wizard run for this application and target language is required once so the matching catalog and managed dependency exist.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Cancel Edits</w:t>
            </w:r>
          </w:p>
        </w:tc>
        <w:tc>
          <w:tcPr>
            <w:tcW w:type="dxa" w:w="3900"/>
            <w:vAlign w:val="center"/>
          </w:tcPr>
          <w:p>
            <w:r>
              <w:t>Reloads the last saved glossary after a confirmation.</w:t>
            </w:r>
          </w:p>
        </w:tc>
        <w:tc>
          <w:tcPr>
            <w:tcW w:type="dxa" w:w="3660"/>
            <w:vAlign w:val="center"/>
          </w:tcPr>
          <w:p>
            <w:r>
              <w:t>Use only to discard every pending change for the selected target language.</w:t>
            </w:r>
          </w:p>
        </w:tc>
      </w:tr>
      <w:tr>
        <w:trPr>
          <w:cantSplit/>
        </w:trPr>
        <w:tc>
          <w:tcPr>
            <w:tcW w:type="dxa" w:w="1800"/>
            <w:vAlign w:val="center"/>
          </w:tcPr>
          <w:p>
            <w:r>
              <w:t>Apply and Deploy</w:t>
            </w:r>
          </w:p>
        </w:tc>
        <w:tc>
          <w:tcPr>
            <w:tcW w:type="dxa" w:w="3900"/>
            <w:vAlign w:val="center"/>
          </w:tcPr>
          <w:p>
            <w:r>
              <w:t>Publishes saved approved terminology without rerunning the Wizard.</w:t>
            </w:r>
          </w:p>
        </w:tc>
        <w:tc>
          <w:tcPr>
            <w:tcW w:type="dxa" w:w="3660"/>
            <w:vAlign w:val="center"/>
          </w:tcPr>
          <w:p>
            <w:r>
              <w:t>Read the resulting catalog/pack/destination report, then restart the target application so it reloads the changed external pack.</w:t>
            </w:r>
          </w:p>
        </w:tc>
      </w:tr>
      <w:tr>
        <w:trPr>
          <w:cantSplit/>
        </w:trPr>
        <w:tc>
          <w:tcPr>
            <w:tcW w:type="dxa" w:w="1800"/>
            <w:vAlign w:val="center"/>
          </w:tcPr>
          <w:p>
            <w:r>
              <w:t>Maintenance Cancel / Esc</w:t>
            </w:r>
          </w:p>
        </w:tc>
        <w:tc>
          <w:tcPr>
            <w:tcW w:type="dxa" w:w="3900"/>
            <w:vAlign w:val="center"/>
          </w:tcPr>
          <w:p>
            <w:r>
              <w:t>Requests the normal safe exit from Maintenance Studio.</w:t>
            </w:r>
          </w:p>
        </w:tc>
        <w:tc>
          <w:tcPr>
            <w:tcW w:type="dxa" w:w="3660"/>
            <w:vAlign w:val="center"/>
          </w:tcPr>
          <w:p>
            <w:r>
              <w:t>Unsaved glossary work receives Save, Discard, or Cancel; active scans/provider requests first reach a safe cancellation boundary.</w:t>
            </w:r>
          </w:p>
        </w:tc>
      </w:tr>
    </w:tbl>
    <w:p>
      <w:pPr>
        <w:pStyle w:val="Heading1"/>
      </w:pPr>
      <w:r>
        <w:t>12. Step 8 - Process and Finish</w:t>
      </w:r>
    </w:p>
    <w:p>
      <w:pPr>
        <w:keepNext/>
        <w:spacing w:before="120" w:after="60"/>
        <w:jc w:val="center"/>
      </w:pPr>
      <w:r>
        <w:drawing>
          <wp:inline xmlns:a="http://schemas.openxmlformats.org/drawingml/2006/main" xmlns:pic="http://schemas.openxmlformats.org/drawingml/2006/picture">
            <wp:extent cx="5349240" cy="3542676"/>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9"/>
                    <a:stretch>
                      <a:fillRect/>
                    </a:stretch>
                  </pic:blipFill>
                  <pic:spPr>
                    <a:xfrm>
                      <a:off x="0" y="0"/>
                      <a:ext cx="5349240" cy="3542676"/>
                    </a:xfrm>
                    <a:prstGeom prst="rect"/>
                  </pic:spPr>
                </pic:pic>
              </a:graphicData>
            </a:graphic>
          </wp:inline>
        </w:drawing>
      </w:r>
    </w:p>
    <w:p>
      <w:pPr>
        <w:keepLines/>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verified kit under &lt;Studio&gt;\export\component-integration\&lt;ApplicationId&gt;, then automatically installs the compatible source set under &lt;Target Project&gt;\dependencies\DelphiAppTranslation\source. This project-local copy makes ordinary IDE and command-line builds independent of the Studio repository path.</w:t>
      </w:r>
    </w:p>
    <w:p>
      <w:r>
        <w:t>The same transaction installs deployment\Languages, the Apache license, and machine-readable manifests. It stages and hash-checks the complete set before promotion and records the replaced managed dependency in a dated snapshot. It records and verifies the selected project-file hash without writing that file.</w:t>
      </w:r>
    </w:p>
    <w:p>
      <w:pPr>
        <w:pStyle w:val="ListNumber"/>
        <w:numPr>
          <w:ilvl w:val="0"/>
          <w:numId w:val="12"/>
        </w:numPr>
      </w:pPr>
      <w:r>
        <w:t>Authorize final processing after the required project ZIP backup has completed.</w:t>
      </w:r>
    </w:p>
    <w:p>
      <w:pPr>
        <w:pStyle w:val="ListNumber"/>
        <w:numPr>
          <w:ilvl w:val="0"/>
          <w:numId w:val="12"/>
        </w:numPr>
      </w:pPr>
      <w:r>
        <w:t>The Wizard generates the kit and copies the exact VCL or FMX source closure into a staging folder.</w:t>
      </w:r>
    </w:p>
    <w:p>
      <w:pPr>
        <w:pStyle w:val="ListNumber"/>
        <w:numPr>
          <w:ilvl w:val="0"/>
          <w:numId w:val="12"/>
        </w:numPr>
      </w:pPr>
      <w:r>
        <w:t>It verifies hashes and application/framework identity, then atomically promotes the managed dependency folder.</w:t>
      </w:r>
    </w:p>
    <w:p>
      <w:pPr>
        <w:pStyle w:val="ListNumber"/>
        <w:numPr>
          <w:ilvl w:val="0"/>
          <w:numId w:val="12"/>
        </w:numPr>
      </w:pPr>
      <w:r>
        <w:t>It verifies that the selected project-file hash is unchanged; a repeated run refreshes the same managed dependency folder rather than creating duplicates.</w:t>
      </w:r>
    </w:p>
    <w:p>
      <w:pPr>
        <w:pStyle w:val="ListNumber"/>
        <w:numPr>
          <w:ilvl w:val="0"/>
          <w:numId w:val="12"/>
        </w:numPr>
      </w:pPr>
      <w:r>
        <w:t>It performs the baseline Win32 Release build with a process-local Search Path and deploys the exact current pack set. Commit the managed dependency when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compiler Search Path to enter </w:t>
            </w:r>
            <w:r>
              <w:t>$(PROJECTDIR)\dependencies\DelphiAppTranslation\source</w:t>
            </w:r>
          </w:p>
        </w:tc>
      </w:tr>
    </w:tbl>
    <w:p>
      <w:pPr>
        <w:pStyle w:val="ListNumber"/>
        <w:numPr>
          <w:ilvl w:val="0"/>
          <w:numId w:val="13"/>
        </w:numPr>
      </w:pPr>
      <w:r>
        <w:t>Open the target project in RAD Studio and choose Project &gt; Options &gt; Building &gt; Delphi Compiler.</w:t>
      </w:r>
    </w:p>
    <w:p>
      <w:pPr>
        <w:pStyle w:val="ListNumber"/>
        <w:numPr>
          <w:ilvl w:val="0"/>
          <w:numId w:val="13"/>
        </w:numPr>
      </w:pPr>
      <w:r>
        <w:t>Select All configurations and All platforms at the top of Project Options.</w:t>
      </w:r>
    </w:p>
    <w:p>
      <w:pPr>
        <w:pStyle w:val="ListNumber"/>
        <w:numPr>
          <w:ilvl w:val="0"/>
          <w:numId w:val="13"/>
        </w:numPr>
      </w:pPr>
      <w:r>
        <w:t>Locate Search path, preserve every existing entry, and add the exact relative path shown above as one additional entry. Use a semicolon between entries when necessary.</w:t>
      </w:r>
    </w:p>
    <w:p>
      <w:pPr>
        <w:pStyle w:val="ListNumber"/>
        <w:numPr>
          <w:ilvl w:val="0"/>
          <w:numId w:val="13"/>
        </w:numPr>
      </w:pPr>
      <w:r>
        <w:t>Save Project Options. This is a one-time setting for the target project; later Wizard or Maintenance runs refresh the same dependency folder and do not require another entry.</w:t>
      </w:r>
    </w:p>
    <w:p>
      <w:r>
        <w:t>The path is relative to the target project file and points to the PAS dependency units prepared by the Studio. Do not use the Studio repository, the generated component-kit folder, or deployment\Languages as the compiler Search Path.</w:t>
      </w:r>
    </w:p>
    <w:p>
      <w:r>
        <w:t>The Wizard never edits the DPROJ. Wizard-initiated builds temporarily prepend &lt;Target&gt;\dependencies\DelphiAppTranslation\source to DCC_UnitSearchPath for that process only. The Project Options value above is the developer-owned persistent setting for ordinary IDE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developer-owned Project Options entry. </w:t>
            </w:r>
            <w:r>
              <w:t>Add the dependency source path once. If preparation is repeated, the Studio refreshes the same folder and never adds or duplicates a DPROJ entry. The completion report gives the exact path and prior-dependency snapshot location.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...\Glossaries\&lt;ApplicationId&gt;.&lt;locale&gt;.glossary.json</w:t>
            </w:r>
          </w:p>
        </w:tc>
        <w:tc>
          <w:tcPr>
            <w:tcW w:type="dxa" w:w="5760"/>
            <w:vAlign w:val="center"/>
          </w:tcPr>
          <w:p>
            <w:r>
              <w:t>Contains the authoritative project/locale terminology JSON used by both Wizard review and Maintenance Studio &gt; Glossary. It preserves approved product wording across runs and can be created without a Wizard run.</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Localization, LICENSE, manifests, README, deployment fallback, completion report, and DesignPackages\Win32\Release with the exact design/runtime BPL bundle.</w:t>
            </w:r>
          </w:p>
        </w:tc>
      </w:tr>
      <w:tr>
        <w:trPr>
          <w:cantSplit/>
        </w:trPr>
        <w:tc>
          <w:tcPr>
            <w:tcW w:type="dxa" w:w="3600"/>
            <w:vAlign w:val="center"/>
          </w:tcPr>
          <w:p>
            <w:r>
              <w:t>&lt;Target&gt;\dependencies\DelphiAppTranslation</w:t>
            </w:r>
          </w:p>
        </w:tc>
        <w:tc>
          <w:tcPr>
            <w:tcW w:type="dxa" w:w="5760"/>
            <w:vAlign w:val="center"/>
          </w:tcPr>
          <w:p>
            <w:r>
              <w:t>Contains the automatically managed source, deployment pack source/target, license, and integration manifests used by normal builds.</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completion report names the installed dependency folder, exact developer-owned Search Path, unchanged project-file boundary, and previous-dependency snapshot.</w:t>
      </w:r>
    </w:p>
    <w:p>
      <w:pPr>
        <w:pStyle w:val="ListNumber"/>
        <w:numPr>
          <w:ilvl w:val="0"/>
          <w:numId w:val="14"/>
        </w:numPr>
      </w:pPr>
      <w:r>
        <w:t>The Wizard builds Win32 Release even when no output folder existed. It also refreshes supported configurations whose output folders show they are in use; build Win64 only when the target will ship it.</w:t>
      </w:r>
    </w:p>
    <w:p>
      <w:pPr>
        <w:pStyle w:val="ListNumber"/>
        <w:numPr>
          <w:ilvl w:val="0"/>
          <w:numId w:val="14"/>
        </w:numPr>
      </w:pPr>
      <w:r>
        <w:t>Confirm the build log reports automatic deployment of the canonical source pack and translated packs to each executable's Localization\Languages folder.</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 For terminology-only corrections afterward, use Maintenance Studio &gt; Glossary &gt; Apply and Deploy instead of rerunning the entire Wizard. It automatically loads the matching catalog, regenerates the affected external JSON pack, refreshes the managed dependency copy, and deploys the complete pack set without rebuilding the EXE.</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The managed dependency is missing, its developer-owned Search Path is absent, or an older DAT unit shadows the managed set.</w:t>
            </w:r>
          </w:p>
        </w:tc>
        <w:tc>
          <w:tcPr>
            <w:tcW w:type="dxa" w:w="3660"/>
            <w:vAlign w:val="center"/>
          </w:tcPr>
          <w:p>
            <w:r>
              <w:t>Run Prepare / Update Dependencies again, verify $(PROJECTDIR)\dependencies\DelphiAppTranslation\source in Project Options, and remove only confirmed stale duplicate DAT source.</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saved-files/application-closed check, and authorization confirmed.</w:t>
      </w:r>
    </w:p>
    <w:p>
      <w:pPr>
        <w:pStyle w:val="ListBullet"/>
      </w:pPr>
      <w:r>
        <w:t>[ ] Localization Review findings, glossary, suggestions, and layout decisions completed; later terminology-only corrections use Maintenance Studio &gt; Glossary &gt; Apply and Deploy and the destination report is reviewed.</w:t>
      </w:r>
    </w:p>
    <w:p>
      <w:pPr>
        <w:pStyle w:val="ListBullet"/>
      </w:pPr>
      <w:r>
        <w:t>[ ] Progress ends successfully; completion report and component kit exist.</w:t>
      </w:r>
    </w:p>
    <w:p>
      <w:pPr>
        <w:pStyle w:val="ListBullet"/>
      </w:pPr>
      <w:r>
        <w:t>[ ] Managed dependencies\DelphiAppTranslation folder installed automatically; target DPROJ hash unchanged.</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pPr>
      <w:r>
        <w:t>23.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