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Maintenance Page 4 - Glossary</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24. Maintenance Page 5 - Validation</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25. Maintenance Page 6 - Export</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26. Maintenance Page 7 - Integration</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27. Maintenance Page 8 - Provider Settings</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DeepL and Google Setup</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29. Runtime Integration in VCL and FMX</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30. Build, Deploy, and Verify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31. RTL, Layout, HTML, and Dynamic Text</w:t>
            </w:r>
          </w:p>
        </w:tc>
        <w:tc>
          <w:tcPr>
            <w:tcW w:type="dxa" w:w="1160"/>
          </w:tcPr>
          <w:p>
            <w:pPr>
              <w:keepLines/>
              <w:spacing w:after="20"/>
              <w:jc w:val="right"/>
            </w:pPr>
            <w:r>
              <w:rPr>
                <w:rFonts w:ascii="Aptos" w:hAnsi="Aptos"/>
                <w:b/>
                <w:color w:val="5D7693"/>
                <w:sz w:val="18"/>
              </w:rPr>
              <w:t>38</w:t>
            </w:r>
          </w:p>
        </w:tc>
      </w:tr>
      <w:tr>
        <w:tc>
          <w:tcPr>
            <w:tcW w:type="dxa" w:w="8200"/>
          </w:tcPr>
          <w:p>
            <w:pPr>
              <w:keepLines/>
              <w:spacing w:after="20"/>
            </w:pPr>
            <w:r>
              <w:rPr>
                <w:rFonts w:ascii="Aptos" w:hAnsi="Aptos"/>
                <w:color w:val="234C80"/>
                <w:sz w:val="18"/>
              </w:rPr>
              <w:t>32. Security, Privacy, and Recovery</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33. Troubleshooting</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Complete First-Time Checklist</w:t>
            </w:r>
          </w:p>
        </w:tc>
        <w:tc>
          <w:tcPr>
            <w:tcW w:type="dxa" w:w="1160"/>
          </w:tcPr>
          <w:p>
            <w:pPr>
              <w:keepLines/>
              <w:spacing w:after="20"/>
              <w:jc w:val="right"/>
            </w:pPr>
            <w:r>
              <w:rPr>
                <w:rFonts w:ascii="Aptos" w:hAnsi="Aptos"/>
                <w:b/>
                <w:color w:val="5D7693"/>
                <w:sz w:val="18"/>
              </w:rPr>
              <w:t>41</w:t>
            </w:r>
          </w:p>
        </w:tc>
      </w:tr>
      <w:tr>
        <w:tc>
          <w:tcPr>
            <w:tcW w:type="dxa" w:w="8200"/>
          </w:tcPr>
          <w:p>
            <w:pPr>
              <w:keepLines/>
              <w:spacing w:after="20"/>
            </w:pPr>
            <w:r>
              <w:rPr>
                <w:rFonts w:ascii="Aptos" w:hAnsi="Aptos"/>
                <w:color w:val="234C80"/>
                <w:sz w:val="18"/>
              </w:rPr>
              <w:t>35. Quick Path Reference</w:t>
            </w:r>
          </w:p>
        </w:tc>
        <w:tc>
          <w:tcPr>
            <w:tcW w:type="dxa" w:w="1160"/>
          </w:tcPr>
          <w:p>
            <w:pPr>
              <w:keepLines/>
              <w:spacing w:after="20"/>
              <w:jc w:val="right"/>
            </w:pPr>
            <w:r>
              <w:rPr>
                <w:rFonts w:ascii="Aptos" w:hAnsi="Aptos"/>
                <w:b/>
                <w:color w:val="5D7693"/>
                <w:sz w:val="18"/>
              </w:rPr>
              <w:t>43</w:t>
            </w:r>
          </w:p>
        </w:tc>
      </w:tr>
      <w:tr>
        <w:tc>
          <w:tcPr>
            <w:tcW w:type="dxa" w:w="8200"/>
          </w:tcPr>
          <w:p>
            <w:pPr>
              <w:keepLines/>
              <w:spacing w:after="20"/>
            </w:pPr>
            <w:r>
              <w:rPr>
                <w:rFonts w:ascii="Aptos" w:hAnsi="Aptos"/>
                <w:color w:val="234C80"/>
                <w:sz w:val="18"/>
              </w:rPr>
              <w:t>36. Appendix A - License Information</w:t>
            </w:r>
          </w:p>
        </w:tc>
        <w:tc>
          <w:tcPr>
            <w:tcW w:type="dxa" w:w="1160"/>
          </w:tcPr>
          <w:p>
            <w:pPr>
              <w:keepLines/>
              <w:spacing w:after="20"/>
              <w:jc w:val="right"/>
            </w:pPr>
            <w:r>
              <w:rPr>
                <w:rFonts w:ascii="Aptos" w:hAnsi="Aptos"/>
                <w:b/>
                <w:color w:val="5D7693"/>
                <w:sz w:val="18"/>
              </w:rPr>
              <w:t>44</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September 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19-28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33, then use the path and file reference in Chapter 35.</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32- or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12 Athens or RAD Studio 13 Florence. The verified RAD Studio 13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 Obtaining a provider key is outside this guide; consult the provider's current account and API documentation.</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 Git and GitHub are essential to this workflow because they provide the authoritative recoverable backup source.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 or release branch specified on the repository page. If a signed release is available, prefer its release tag; otherwise use the public beta branch or main branch identified by the project owner.</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 All examples that follow use RAD Studio 13 Florence.</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Studio-initiated target builds pass the project-local DAT Search Path temporarily; the developer adds the same stable dependency path once through RAD Studio Project Options for normal IDE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Choose File &gt; Save All and close the running target application before the Setup Wizard's final-processing step. The RAD Studio project may remain open because the Studio never writes its project files.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Wizard and Maintenance Studio now prepare this dependency automatically. They stage and verify the complete framework-specific ComponentSource set, then install it as one versioned unit under dependencies\DelphiAppTranslation\source in the target project. You do not create the folder or copy individual PAS files.</w:t>
      </w:r>
    </w:p>
    <w:p>
      <w:r>
        <w:t>The dependency transaction stages and hash-checks the complete set, writes an integration manifest, and atomically promotes only dependencies\DelphiAppTranslation. Repeating Prepare / Update Dependencies replaces that one managed set cleanly instead of mixing files from different Studio builds. Target Pascal, form, DPR, and DPROJ files remain read-only.</w:t>
      </w:r>
    </w:p>
    <w:p>
      <w:pPr>
        <w:pStyle w:val="Heading2"/>
      </w:pPr>
      <w:r>
        <w:t>6.1 The recommended folder layout</w:t>
      </w:r>
    </w:p>
    <w:p>
      <w:pPr>
        <w:pStyle w:val="CodeBlock"/>
      </w:pPr>
      <w:r>
        <w:t>&lt;Target Project&gt;\dependencies\DelphiAppTranslation\source</w:t>
      </w:r>
    </w:p>
    <w:p>
      <w:pPr>
        <w:pStyle w:val="CodeBlock"/>
      </w:pPr>
      <w:r>
        <w:t>&lt;Target Project&gt;\dependencies\DelphiAppTranslation\deployment\Languages</w:t>
      </w:r>
    </w:p>
    <w:p>
      <w:pPr>
        <w:pStyle w:val="ListNumber"/>
        <w:numPr>
          <w:ilvl w:val="0"/>
          <w:numId w:val="13"/>
        </w:numPr>
      </w:pPr>
      <w:r>
        <w:t>Complete the Setup Wizard, or choose Prepare / Update Dependencies on Maintenance Studio &gt; Integration.</w:t>
      </w:r>
    </w:p>
    <w:p>
      <w:pPr>
        <w:pStyle w:val="ListNumber"/>
        <w:numPr>
          <w:ilvl w:val="0"/>
          <w:numId w:val="13"/>
        </w:numPr>
      </w:pPr>
      <w:r>
        <w:t>The Studio creates a dated previous-dependency snapshot before replacing the managed dependency folder. It does not write the DPROJ.</w:t>
      </w:r>
    </w:p>
    <w:p>
      <w:pPr>
        <w:pStyle w:val="ListNumber"/>
        <w:numPr>
          <w:ilvl w:val="0"/>
          <w:numId w:val="13"/>
        </w:numPr>
      </w:pPr>
      <w:r>
        <w:t>The Studio stages and hash-checks ComponentSource, language packs, Apache license, manifest, and deployment target before promoting dependencies\DelphiAppTranslation.</w:t>
      </w:r>
    </w:p>
    <w:p>
      <w:pPr>
        <w:pStyle w:val="ListNumber"/>
        <w:numPr>
          <w:ilvl w:val="0"/>
          <w:numId w:val="13"/>
        </w:numPr>
      </w:pPr>
      <w:r>
        <w:t>The Studio performs the baseline Release build with a temporary compiler Search Path and directly deploys the current pack set. Later Studio-initiated builds repeat this safely; ordinary RAD Studio builds do not invoke the Studio.</w:t>
      </w:r>
    </w:p>
    <w:p>
      <w:pPr>
        <w:pStyle w:val="ListNumber"/>
        <w:numPr>
          <w:ilvl w:val="0"/>
          <w:numId w:val="13"/>
        </w:numPr>
      </w:pPr>
      <w:r>
        <w:t>Commit the managed dependency folder with the target project when the project's licensing/distribution policy permits vendoring Apache-2.0 source.</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compiler Search Path to enter </w:t>
            </w:r>
            <w:r>
              <w:t>$(PROJECTDIR)\dependencies\DelphiAppTranslation\source</w:t>
            </w:r>
          </w:p>
        </w:tc>
      </w:tr>
    </w:tbl>
    <w:p>
      <w:pPr>
        <w:pStyle w:val="ListNumber"/>
        <w:numPr>
          <w:ilvl w:val="0"/>
          <w:numId w:val="14"/>
        </w:numPr>
      </w:pPr>
      <w:r>
        <w:t>Open the target project in RAD Studio, then choose Project &gt; Options &gt; Building &gt; Delphi Compiler.</w:t>
      </w:r>
    </w:p>
    <w:p>
      <w:pPr>
        <w:pStyle w:val="ListNumber"/>
        <w:numPr>
          <w:ilvl w:val="0"/>
          <w:numId w:val="14"/>
        </w:numPr>
      </w:pPr>
      <w:r>
        <w:t>At the top of Project Options, select All configurations and All platforms so the setting applies to every normal IDE build of this project.</w:t>
      </w:r>
    </w:p>
    <w:p>
      <w:pPr>
        <w:pStyle w:val="ListNumber"/>
        <w:numPr>
          <w:ilvl w:val="0"/>
          <w:numId w:val="14"/>
        </w:numPr>
      </w:pPr>
      <w:r>
        <w:t>Locate Search path. Keep every existing entry and add the exact relative path shown above as one additional entry, separated from other entries by a semicolon when necessary.</w:t>
      </w:r>
    </w:p>
    <w:p>
      <w:pPr>
        <w:pStyle w:val="ListNumber"/>
        <w:numPr>
          <w:ilvl w:val="0"/>
          <w:numId w:val="14"/>
        </w:numPr>
      </w:pPr>
      <w:r>
        <w:t>Save Project Options. Enter this path once per target project; do not add it again when the Studio refreshes the managed dependency folder.</w:t>
      </w:r>
    </w:p>
    <w:p>
      <w:r>
        <w:t>The path is relative to the folder containing the target project file. It points to the PAS units automatically maintained under the target project's dependencies folder. Do not substitute the Studio repository path, the export\component-integration path, or the deployment\Languages path.</w:t>
      </w:r>
    </w:p>
    <w:p>
      <w:r>
        <w:t>The Studio never writes the DPROJ. Studio-initiated builds pass the same dependency directory to MSBuild temporarily for that build process only. The persistent Project Options value above is the developer-owned setting used by ordinary RAD Studio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remains manual? </w:t>
            </w:r>
            <w:r>
              <w:t>RAD Studio package registration remains deliberate: choose Component &gt; Install Packages &gt; Add and select the exact design BPL shown by the Studio. The verified bundle is in &lt;Kit&gt;\DesignPackages\Win32\Release; the required core and framework runtime BPLs are beside it. Component placement, Object Inspector values, and the one developer-owned Project Options Search path remain deliberate IDE actions. Folder creation, dependency refresh, Studio builds, and pack deployment are automatic.</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spacing w:before="120" w:after="60"/>
        <w:jc w:val="center"/>
      </w:pPr>
      <w:r>
        <w:drawing>
          <wp:inline xmlns:a="http://schemas.openxmlformats.org/drawingml/2006/main" xmlns:pic="http://schemas.openxmlformats.org/drawingml/2006/picture">
            <wp:extent cx="5349240" cy="3457963"/>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eight-page direct workflow.</w:t>
            </w:r>
          </w:p>
        </w:tc>
        <w:tc>
          <w:tcPr>
            <w:tcW w:type="dxa" w:w="3660"/>
            <w:vAlign w:val="center"/>
          </w:tcPr>
          <w:p>
            <w:r>
              <w:t>Use for existing catalogs, manual review, glossary work,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spacing w:before="120" w:after="60"/>
        <w:jc w:val="center"/>
      </w:pPr>
      <w:r>
        <w:drawing>
          <wp:inline xmlns:a="http://schemas.openxmlformats.org/drawingml/2006/main" xmlns:pic="http://schemas.openxmlformats.org/drawingml/2006/picture">
            <wp:extent cx="5394960" cy="1199853"/>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tmprk5_v2yd.png"/>
                    <pic:cNvPicPr/>
                  </pic:nvPicPr>
                  <pic:blipFill>
                    <a:blip r:embed="rId17"/>
                    <a:stretch>
                      <a:fillRect/>
                    </a:stretch>
                  </pic:blipFill>
                  <pic:spPr>
                    <a:xfrm>
                      <a:off x="0" y="0"/>
                      <a:ext cx="5394960" cy="1199853"/>
                    </a:xfrm>
                    <a:prstGeom prst="rect"/>
                  </pic:spPr>
                </pic:pic>
              </a:graphicData>
            </a:graphic>
          </wp:inline>
        </w:drawing>
      </w:r>
    </w:p>
    <w:p>
      <w:pPr>
        <w:keepLines/>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spacing w:before="120" w:after="60"/>
        <w:jc w:val="center"/>
      </w:pPr>
      <w:r>
        <w:drawing>
          <wp:inline xmlns:a="http://schemas.openxmlformats.org/drawingml/2006/main" xmlns:pic="http://schemas.openxmlformats.org/drawingml/2006/picture">
            <wp:extent cx="5349240" cy="3532517"/>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8"/>
                    <a:stretch>
                      <a:fillRect/>
                    </a:stretch>
                  </pic:blipFill>
                  <pic:spPr>
                    <a:xfrm>
                      <a:off x="0" y="0"/>
                      <a:ext cx="5349240" cy="3532517"/>
                    </a:xfrm>
                    <a:prstGeom prst="rect"/>
                  </pic:spPr>
                </pic:pic>
              </a:graphicData>
            </a:graphic>
          </wp:inline>
        </w:drawing>
      </w:r>
    </w:p>
    <w:p>
      <w:pPr>
        <w:keepLines/>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spacing w:before="120" w:after="60"/>
        <w:jc w:val="center"/>
      </w:pPr>
      <w:r>
        <w:drawing>
          <wp:inline xmlns:a="http://schemas.openxmlformats.org/drawingml/2006/main" xmlns:pic="http://schemas.openxmlformats.org/drawingml/2006/picture">
            <wp:extent cx="5349240" cy="4145280"/>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tmpf8tb0ayu.png"/>
                    <pic:cNvPicPr/>
                  </pic:nvPicPr>
                  <pic:blipFill>
                    <a:blip r:embed="rId19"/>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spacing w:before="120" w:after="60"/>
        <w:jc w:val="center"/>
      </w:pPr>
      <w:r>
        <w:drawing>
          <wp:inline xmlns:a="http://schemas.openxmlformats.org/drawingml/2006/main" xmlns:pic="http://schemas.openxmlformats.org/drawingml/2006/picture">
            <wp:extent cx="5349240" cy="4145280"/>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tmpgotif_s0.png"/>
                    <pic:cNvPicPr/>
                  </pic:nvPicPr>
                  <pic:blipFill>
                    <a:blip r:embed="rId20"/>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spacing w:before="120" w:after="60"/>
        <w:jc w:val="center"/>
      </w:pPr>
      <w:r>
        <w:drawing>
          <wp:inline xmlns:a="http://schemas.openxmlformats.org/drawingml/2006/main" xmlns:pic="http://schemas.openxmlformats.org/drawingml/2006/picture">
            <wp:extent cx="5349240" cy="4145280"/>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tmprh8mrrf0.png"/>
                    <pic:cNvPicPr/>
                  </pic:nvPicPr>
                  <pic:blipFill>
                    <a:blip r:embed="rId21"/>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spacing w:before="120" w:after="60"/>
        <w:jc w:val="center"/>
      </w:pPr>
      <w:r>
        <w:drawing>
          <wp:inline xmlns:a="http://schemas.openxmlformats.org/drawingml/2006/main" xmlns:pic="http://schemas.openxmlformats.org/drawingml/2006/picture">
            <wp:extent cx="5349240" cy="4145280"/>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tmp4ylfe0yd.png"/>
                    <pic:cNvPicPr/>
                  </pic:nvPicPr>
                  <pic:blipFill>
                    <a:blip r:embed="rId22"/>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spacing w:before="120" w:after="60"/>
        <w:jc w:val="center"/>
      </w:pPr>
      <w:r>
        <w:drawing>
          <wp:inline xmlns:a="http://schemas.openxmlformats.org/drawingml/2006/main" xmlns:pic="http://schemas.openxmlformats.org/drawingml/2006/picture">
            <wp:extent cx="5349240" cy="4145280"/>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tmphxt6v0m8.png"/>
                    <pic:cNvPicPr/>
                  </pic:nvPicPr>
                  <pic:blipFill>
                    <a:blip r:embed="rId23"/>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spacing w:before="120" w:after="60"/>
        <w:jc w:val="center"/>
      </w:pPr>
      <w:r>
        <w:drawing>
          <wp:inline xmlns:a="http://schemas.openxmlformats.org/drawingml/2006/main" xmlns:pic="http://schemas.openxmlformats.org/drawingml/2006/picture">
            <wp:extent cx="5349240" cy="2967997"/>
            <wp:docPr id="10" name="Picture 10" descr="Review and Authorize page showing project summary and required backup, saved-files/application-closed, and authorization confirmations" title="Review and Authorize page showing project summary and required backup, saved-files/application-closed, and authorization confirmations"/>
            <wp:cNvGraphicFramePr>
              <a:graphicFrameLocks noChangeAspect="1"/>
            </wp:cNvGraphicFramePr>
            <a:graphic>
              <a:graphicData uri="http://schemas.openxmlformats.org/drawingml/2006/picture">
                <pic:pic>
                  <pic:nvPicPr>
                    <pic:cNvPr id="0" name="tmpfric7qt5.png"/>
                    <pic:cNvPicPr/>
                  </pic:nvPicPr>
                  <pic:blipFill>
                    <a:blip r:embed="rId24"/>
                    <a:stretch>
                      <a:fillRect/>
                    </a:stretch>
                  </pic:blipFill>
                  <pic:spPr>
                    <a:xfrm>
                      <a:off x="0" y="0"/>
                      <a:ext cx="5349240" cy="2967997"/>
                    </a:xfrm>
                    <a:prstGeom prst="rect"/>
                  </pic:spPr>
                </pic:pic>
              </a:graphicData>
            </a:graphic>
          </wp:inline>
        </w:drawing>
      </w:r>
    </w:p>
    <w:p>
      <w:pPr>
        <w:keepLines/>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files saved; application closed</w:t>
            </w:r>
          </w:p>
        </w:tc>
        <w:tc>
          <w:tcPr>
            <w:tcW w:type="dxa" w:w="3900"/>
            <w:vAlign w:val="center"/>
          </w:tcPr>
          <w:p>
            <w:r>
              <w:t>Confirms the scanner sees the saved project and the executable is not locking a rebuild.</w:t>
            </w:r>
          </w:p>
        </w:tc>
        <w:tc>
          <w:tcPr>
            <w:tcW w:type="dxa" w:w="3660"/>
            <w:vAlign w:val="center"/>
          </w:tcPr>
          <w:p>
            <w:r>
              <w:t>Choose File &gt; Save All, close the running target application,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 during this review pass.</w:t>
            </w:r>
          </w:p>
        </w:tc>
        <w:tc>
          <w:tcPr>
            <w:tcW w:type="dxa" w:w="3660"/>
            <w:vAlign w:val="center"/>
          </w:tcPr>
          <w:p>
            <w:r>
              <w:t>New Term; Add Term; Delete Term; Save Project Glossary. For later corrections without rerunning the Wizard, use Maintenance Studio &gt; Glossary (Chapter 23).</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spacing w:before="120" w:after="60"/>
        <w:jc w:val="center"/>
      </w:pPr>
      <w:r>
        <w:drawing>
          <wp:inline xmlns:a="http://schemas.openxmlformats.org/drawingml/2006/main" xmlns:pic="http://schemas.openxmlformats.org/drawingml/2006/picture">
            <wp:extent cx="5349240" cy="188963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tmppyhif8uf.png"/>
                    <pic:cNvPicPr/>
                  </pic:nvPicPr>
                  <pic:blipFill>
                    <a:blip r:embed="rId25"/>
                    <a:stretch>
                      <a:fillRect/>
                    </a:stretch>
                  </pic:blipFill>
                  <pic:spPr>
                    <a:xfrm>
                      <a:off x="0" y="0"/>
                      <a:ext cx="5349240" cy="1889639"/>
                    </a:xfrm>
                    <a:prstGeom prst="rect"/>
                  </pic:spPr>
                </pic:pic>
              </a:graphicData>
            </a:graphic>
          </wp:inline>
        </w:drawing>
      </w:r>
    </w:p>
    <w:p>
      <w:pPr>
        <w:keepLines/>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Pascal, DPR, DPROJ, DFM, and FMX files were not edited. It also identifies the previous-dependency snapshot and the managed project-local dependency. Back and Cancel disappear; choose Finish when you are ready to return to the Studio. Win32 Release, existing target outputs, and available destinations have already been built or deployed automatically.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eight pages - Project, Scan, Translate, Glossary,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r>
        <w:t>A persistent Cancel button is available throughout Maintenance Studio. It is the normal way to leave the Maintenance workflow; pressing Esc invokes the same action. If a scan or provider request is active, the Studio requests cancellation and waits for that operation to reach a safe boundary before closing. If a glossary has unsaved changes, you are offered Save, Discard, or Cancel so closing cannot silently lose terminology work.</w:t>
      </w:r>
    </w:p>
    <w:p>
      <w:pPr>
        <w:keepNext/>
        <w:spacing w:before="120" w:after="60"/>
        <w:jc w:val="center"/>
      </w:pPr>
      <w:r>
        <w:drawing>
          <wp:inline xmlns:a="http://schemas.openxmlformats.org/drawingml/2006/main" xmlns:pic="http://schemas.openxmlformats.org/drawingml/2006/picture">
            <wp:extent cx="5349240" cy="4461423"/>
            <wp:docPr id="12" name="Picture 12" descr="Maintenance Studio Project workspace showing project details; the rail is omitted because the current rail now contains eight pages including Glossary" title="Maintenance Studio Project workspace showing project details; the rail is omitted because the current rail now contains eight pages including Glossary"/>
            <wp:cNvGraphicFramePr>
              <a:graphicFrameLocks noChangeAspect="1"/>
            </wp:cNvGraphicFramePr>
            <a:graphic>
              <a:graphicData uri="http://schemas.openxmlformats.org/drawingml/2006/picture">
                <pic:pic>
                  <pic:nvPicPr>
                    <pic:cNvPr id="0" name="tmp9_rxih1t.png"/>
                    <pic:cNvPicPr/>
                  </pic:nvPicPr>
                  <pic:blipFill>
                    <a:blip r:embed="rId26"/>
                    <a:stretch>
                      <a:fillRect/>
                    </a:stretch>
                  </pic:blipFill>
                  <pic:spPr>
                    <a:xfrm>
                      <a:off x="0" y="0"/>
                      <a:ext cx="5349240" cy="4461423"/>
                    </a:xfrm>
                    <a:prstGeom prst="rect"/>
                  </pic:spPr>
                </pic:pic>
              </a:graphicData>
            </a:graphic>
          </wp:inline>
        </w:drawing>
      </w:r>
    </w:p>
    <w:p>
      <w:pPr>
        <w:keepLines/>
        <w:spacing w:after="200"/>
        <w:jc w:val="center"/>
      </w:pPr>
      <w:r>
        <w:rPr>
          <w:rFonts w:ascii="Aptos" w:hAnsi="Aptos"/>
          <w:i/>
          <w:color w:val="5D7693"/>
          <w:sz w:val="18"/>
        </w:rPr>
        <w:t>Figure 19-1. Maintenance Studio project workspace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spacing w:before="120" w:after="60"/>
        <w:jc w:val="center"/>
      </w:pPr>
      <w:r>
        <w:drawing>
          <wp:inline xmlns:a="http://schemas.openxmlformats.org/drawingml/2006/main" xmlns:pic="http://schemas.openxmlformats.org/drawingml/2006/picture">
            <wp:extent cx="5349240" cy="3552681"/>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7"/>
                    <a:stretch>
                      <a:fillRect/>
                    </a:stretch>
                  </pic:blipFill>
                  <pic:spPr>
                    <a:xfrm>
                      <a:off x="0" y="0"/>
                      <a:ext cx="5349240" cy="3552681"/>
                    </a:xfrm>
                    <a:prstGeom prst="rect"/>
                  </pic:spPr>
                </pic:pic>
              </a:graphicData>
            </a:graphic>
          </wp:inline>
        </w:drawing>
      </w:r>
    </w:p>
    <w:p>
      <w:pPr>
        <w:keepLines/>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spacing w:before="120" w:after="60"/>
        <w:jc w:val="center"/>
      </w:pPr>
      <w:r>
        <w:drawing>
          <wp:inline xmlns:a="http://schemas.openxmlformats.org/drawingml/2006/main" xmlns:pic="http://schemas.openxmlformats.org/drawingml/2006/picture">
            <wp:extent cx="5349240" cy="3457963"/>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8"/>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Glossary</w:t>
      </w:r>
    </w:p>
    <w:p>
      <w:r>
        <w:t>Glossary is the direct terminology workspace requested for day-to-day development. It sits immediately below Translate on the left rail and lets you create, correct, approve, save, publish, and deploy project terminology without rerunning the Setup Wizard. A glossary belongs to one opened Delphi application and one target language. You may create and save it before a development catalog exists. Publishing requires that the Setup Wizard has completed at least once for that project and language, because the Studio must have a matching development catalog and managed dependency pack folder to update safely.</w:t>
      </w:r>
    </w:p>
    <w:p>
      <w:r>
        <w:t>The authoritative file is %LOCALAPPDATA%\DelphiAppTranslationStudio\Workspaces\&lt;ApplicationId&gt;\Glossaries\&lt;ApplicationId&gt;.&lt;locale&gt;.glossary.json. The Studio displays the resolved path on the page. Saving is atomic: the new JSON is validated before it replaces the active file, and the normal .previous/.tmp/.corrupt recovery contract protects the last usable copy.</w:t>
      </w:r>
    </w:p>
    <w:p>
      <w:r>
        <w:t>Runtime language packs are external JSON files beside the executable; glossary terms are not compiled into the EXE. Apply and Deploy updates those pack files directly. No target rebuild is required for a terminology-only correction, although you must restart a running target application or otherwise cause it to reload the updated pack before judging the result.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Target language</w:t>
            </w:r>
          </w:p>
        </w:tc>
        <w:tc>
          <w:tcPr>
            <w:tcW w:type="dxa" w:w="3900"/>
            <w:vAlign w:val="center"/>
          </w:tcPr>
          <w:p>
            <w:r>
              <w:t>Chooses the application/locale glossary to open or create.</w:t>
            </w:r>
          </w:p>
        </w:tc>
        <w:tc>
          <w:tcPr>
            <w:tcW w:type="dxa" w:w="3660"/>
            <w:vAlign w:val="center"/>
          </w:tcPr>
          <w:p>
            <w:r>
              <w:t>Changing language first offers Save, Discard, or Cancel when the current glossary has unsaved changes.</w:t>
            </w:r>
          </w:p>
        </w:tc>
      </w:tr>
      <w:tr>
        <w:trPr>
          <w:cantSplit/>
        </w:trPr>
        <w:tc>
          <w:tcPr>
            <w:tcW w:type="dxa" w:w="1800"/>
            <w:vAlign w:val="center"/>
          </w:tcPr>
          <w:p>
            <w:r>
              <w:t>Glossary file</w:t>
            </w:r>
          </w:p>
        </w:tc>
        <w:tc>
          <w:tcPr>
            <w:tcW w:type="dxa" w:w="3900"/>
            <w:vAlign w:val="center"/>
          </w:tcPr>
          <w:p>
            <w:r>
              <w:t>Shows the exact authoritative workspace JSON path.</w:t>
            </w:r>
          </w:p>
        </w:tc>
        <w:tc>
          <w:tcPr>
            <w:tcW w:type="dxa" w:w="3660"/>
            <w:vAlign w:val="center"/>
          </w:tcPr>
          <w:p>
            <w:r>
              <w:t>Use it to confirm the application identity and locale before editing.</w:t>
            </w:r>
          </w:p>
        </w:tc>
      </w:tr>
      <w:tr>
        <w:trPr>
          <w:cantSplit/>
        </w:trPr>
        <w:tc>
          <w:tcPr>
            <w:tcW w:type="dxa" w:w="1800"/>
            <w:vAlign w:val="center"/>
          </w:tcPr>
          <w:p>
            <w:r>
              <w:t>Saved and pending terms</w:t>
            </w:r>
          </w:p>
        </w:tc>
        <w:tc>
          <w:tcPr>
            <w:tcW w:type="dxa" w:w="3900"/>
            <w:vAlign w:val="center"/>
          </w:tcPr>
          <w:p>
            <w:r>
              <w:t>Lists each source term and preferred translation.</w:t>
            </w:r>
          </w:p>
        </w:tc>
        <w:tc>
          <w:tcPr>
            <w:tcW w:type="dxa" w:w="3660"/>
            <w:vAlign w:val="center"/>
          </w:tcPr>
          <w:p>
            <w:r>
              <w:t>Select a row to load it into the editor; saved and unsaved terms are shown together until you save or cancel edits.</w:t>
            </w:r>
          </w:p>
        </w:tc>
      </w:tr>
      <w:tr>
        <w:trPr>
          <w:cantSplit/>
        </w:trPr>
        <w:tc>
          <w:tcPr>
            <w:tcW w:type="dxa" w:w="1800"/>
            <w:vAlign w:val="center"/>
          </w:tcPr>
          <w:p>
            <w:r>
              <w:t>Source term</w:t>
            </w:r>
          </w:p>
        </w:tc>
        <w:tc>
          <w:tcPr>
            <w:tcW w:type="dxa" w:w="3900"/>
            <w:vAlign w:val="center"/>
          </w:tcPr>
          <w:p>
            <w:r>
              <w:t>The exact wording in the authored application.</w:t>
            </w:r>
          </w:p>
        </w:tc>
        <w:tc>
          <w:tcPr>
            <w:tcW w:type="dxa" w:w="3660"/>
            <w:vAlign w:val="center"/>
          </w:tcPr>
          <w:p>
            <w:r>
              <w:t>Enter the full source wording. Matching ignores surrounding whitespace; case is controlled separately.</w:t>
            </w:r>
          </w:p>
        </w:tc>
      </w:tr>
      <w:tr>
        <w:trPr>
          <w:cantSplit/>
        </w:trPr>
        <w:tc>
          <w:tcPr>
            <w:tcW w:type="dxa" w:w="1800"/>
            <w:vAlign w:val="center"/>
          </w:tcPr>
          <w:p>
            <w:r>
              <w:t>Preferred translation</w:t>
            </w:r>
          </w:p>
        </w:tc>
        <w:tc>
          <w:tcPr>
            <w:tcW w:type="dxa" w:w="3900"/>
            <w:vAlign w:val="center"/>
          </w:tcPr>
          <w:p>
            <w:r>
              <w:t>The approved target-language wording.</w:t>
            </w:r>
          </w:p>
        </w:tc>
        <w:tc>
          <w:tcPr>
            <w:tcW w:type="dxa" w:w="3660"/>
            <w:vAlign w:val="center"/>
          </w:tcPr>
          <w:p>
            <w:r>
              <w:t>Both source and target are required before Add / Update Term can accept the record.</w:t>
            </w:r>
          </w:p>
        </w:tc>
      </w:tr>
      <w:tr>
        <w:trPr>
          <w:cantSplit/>
        </w:trPr>
        <w:tc>
          <w:tcPr>
            <w:tcW w:type="dxa" w:w="1800"/>
            <w:vAlign w:val="center"/>
          </w:tcPr>
          <w:p>
            <w:r>
              <w:t>Semantic concept</w:t>
            </w:r>
          </w:p>
        </w:tc>
        <w:tc>
          <w:tcPr>
            <w:tcW w:type="dxa" w:w="3900"/>
            <w:vAlign w:val="center"/>
          </w:tcPr>
          <w:p>
            <w:r>
              <w:t>Optional meaning label such as close-window or play-media.</w:t>
            </w:r>
          </w:p>
        </w:tc>
        <w:tc>
          <w:tcPr>
            <w:tcW w:type="dxa" w:w="3660"/>
            <w:vAlign w:val="center"/>
          </w:tcPr>
          <w:p>
            <w:r>
              <w:t>Use it to prefer the most context-appropriate term when identical source wording has more than one approved meaning.</w:t>
            </w:r>
          </w:p>
        </w:tc>
      </w:tr>
      <w:tr>
        <w:trPr>
          <w:cantSplit/>
        </w:trPr>
        <w:tc>
          <w:tcPr>
            <w:tcW w:type="dxa" w:w="1800"/>
            <w:vAlign w:val="center"/>
          </w:tcPr>
          <w:p>
            <w:r>
              <w:t>Developer note</w:t>
            </w:r>
          </w:p>
        </w:tc>
        <w:tc>
          <w:tcPr>
            <w:tcW w:type="dxa" w:w="3900"/>
            <w:vAlign w:val="center"/>
          </w:tcPr>
          <w:p>
            <w:r>
              <w:t>Optional reason or usage guidance for the term.</w:t>
            </w:r>
          </w:p>
        </w:tc>
        <w:tc>
          <w:tcPr>
            <w:tcW w:type="dxa" w:w="3660"/>
            <w:vAlign w:val="center"/>
          </w:tcPr>
          <w:p>
            <w:r>
              <w:t>Explain product wording, capitalization, or domain restrictions for the next reviewer.</w:t>
            </w:r>
          </w:p>
        </w:tc>
      </w:tr>
      <w:tr>
        <w:trPr>
          <w:cantSplit/>
        </w:trPr>
        <w:tc>
          <w:tcPr>
            <w:tcW w:type="dxa" w:w="1800"/>
            <w:vAlign w:val="center"/>
          </w:tcPr>
          <w:p>
            <w:r>
              <w:t>Case-sensitive match</w:t>
            </w:r>
          </w:p>
        </w:tc>
        <w:tc>
          <w:tcPr>
            <w:tcW w:type="dxa" w:w="3900"/>
            <w:vAlign w:val="center"/>
          </w:tcPr>
          <w:p>
            <w:r>
              <w:t>Requires exact source capitalization.</w:t>
            </w:r>
          </w:p>
        </w:tc>
        <w:tc>
          <w:tcPr>
            <w:tcW w:type="dxa" w:w="3660"/>
            <w:vAlign w:val="center"/>
          </w:tcPr>
          <w:p>
            <w:r>
              <w:t>Leave clear for normal case-insensitive UI matching; select only when capitalization changes meaning.</w:t>
            </w:r>
          </w:p>
        </w:tc>
      </w:tr>
      <w:tr>
        <w:trPr>
          <w:cantSplit/>
        </w:trPr>
        <w:tc>
          <w:tcPr>
            <w:tcW w:type="dxa" w:w="1800"/>
            <w:vAlign w:val="center"/>
          </w:tcPr>
          <w:p>
            <w:r>
              <w:t>Approved terminology</w:t>
            </w:r>
          </w:p>
        </w:tc>
        <w:tc>
          <w:tcPr>
            <w:tcW w:type="dxa" w:w="3900"/>
            <w:vAlign w:val="center"/>
          </w:tcPr>
          <w:p>
            <w:r>
              <w:t>Makes the term eligible to change unresolved catalog entries.</w:t>
            </w:r>
          </w:p>
        </w:tc>
        <w:tc>
          <w:tcPr>
            <w:tcW w:type="dxa" w:w="3660"/>
            <w:vAlign w:val="center"/>
          </w:tcPr>
          <w:p>
            <w:r>
              <w:t>Clear it to keep a draft/reference term without applying it.</w:t>
            </w:r>
          </w:p>
        </w:tc>
      </w:tr>
      <w:tr>
        <w:trPr>
          <w:cantSplit/>
        </w:trPr>
        <w:tc>
          <w:tcPr>
            <w:tcW w:type="dxa" w:w="1800"/>
            <w:vAlign w:val="center"/>
          </w:tcPr>
          <w:p>
            <w:r>
              <w:t>New</w:t>
            </w:r>
          </w:p>
        </w:tc>
        <w:tc>
          <w:tcPr>
            <w:tcW w:type="dxa" w:w="3900"/>
            <w:vAlign w:val="center"/>
          </w:tcPr>
          <w:p>
            <w:r>
              <w:t>Clears the editor for another record.</w:t>
            </w:r>
          </w:p>
        </w:tc>
        <w:tc>
          <w:tcPr>
            <w:tcW w:type="dxa" w:w="3660"/>
            <w:vAlign w:val="center"/>
          </w:tcPr>
          <w:p>
            <w:r>
              <w:t>It does not erase the glossary or save anything.</w:t>
            </w:r>
          </w:p>
        </w:tc>
      </w:tr>
      <w:tr>
        <w:trPr>
          <w:cantSplit/>
        </w:trPr>
        <w:tc>
          <w:tcPr>
            <w:tcW w:type="dxa" w:w="1800"/>
            <w:vAlign w:val="center"/>
          </w:tcPr>
          <w:p>
            <w:r>
              <w:t>Add / Update Term</w:t>
            </w:r>
          </w:p>
        </w:tc>
        <w:tc>
          <w:tcPr>
            <w:tcW w:type="dxa" w:w="3900"/>
            <w:vAlign w:val="center"/>
          </w:tcPr>
          <w:p>
            <w:r>
              <w:t>Adds a new term or updates the selected term in memory.</w:t>
            </w:r>
          </w:p>
        </w:tc>
        <w:tc>
          <w:tcPr>
            <w:tcW w:type="dxa" w:w="3660"/>
            <w:vAlign w:val="center"/>
          </w:tcPr>
          <w:p>
            <w:r>
              <w:t>Choose Save Glossary afterward; the status line reports that the change is still pending.</w:t>
            </w:r>
          </w:p>
        </w:tc>
      </w:tr>
      <w:tr>
        <w:trPr>
          <w:cantSplit/>
        </w:trPr>
        <w:tc>
          <w:tcPr>
            <w:tcW w:type="dxa" w:w="1800"/>
            <w:vAlign w:val="center"/>
          </w:tcPr>
          <w:p>
            <w:r>
              <w:t>Delete</w:t>
            </w:r>
          </w:p>
        </w:tc>
        <w:tc>
          <w:tcPr>
            <w:tcW w:type="dxa" w:w="3900"/>
            <w:vAlign w:val="center"/>
          </w:tcPr>
          <w:p>
            <w:r>
              <w:t>Removes the selected term after confirmation.</w:t>
            </w:r>
          </w:p>
        </w:tc>
        <w:tc>
          <w:tcPr>
            <w:tcW w:type="dxa" w:w="3660"/>
            <w:vAlign w:val="center"/>
          </w:tcPr>
          <w:p>
            <w:r>
              <w:t>The deletion remains pending until Save Glossary; Cancel Edits restores the saved file.</w:t>
            </w:r>
          </w:p>
        </w:tc>
      </w:tr>
      <w:tr>
        <w:trPr>
          <w:cantSplit/>
        </w:trPr>
        <w:tc>
          <w:tcPr>
            <w:tcW w:type="dxa" w:w="1800"/>
            <w:vAlign w:val="center"/>
          </w:tcPr>
          <w:p>
            <w:r>
              <w:t>Cancel Edits</w:t>
            </w:r>
          </w:p>
        </w:tc>
        <w:tc>
          <w:tcPr>
            <w:tcW w:type="dxa" w:w="3900"/>
            <w:vAlign w:val="center"/>
          </w:tcPr>
          <w:p>
            <w:r>
              <w:t>Discards every unsaved change to the selected language glossary after confirmation.</w:t>
            </w:r>
          </w:p>
        </w:tc>
        <w:tc>
          <w:tcPr>
            <w:tcW w:type="dxa" w:w="3660"/>
            <w:vAlign w:val="center"/>
          </w:tcPr>
          <w:p>
            <w:r>
              <w:t>Use it to reload the last saved file. It does not close Maintenance Studio or cancel a scan/provider operation.</w:t>
            </w:r>
          </w:p>
        </w:tc>
      </w:tr>
      <w:tr>
        <w:trPr>
          <w:cantSplit/>
        </w:trPr>
        <w:tc>
          <w:tcPr>
            <w:tcW w:type="dxa" w:w="1800"/>
            <w:vAlign w:val="center"/>
          </w:tcPr>
          <w:p>
            <w:r>
              <w:t>Save Glossary</w:t>
            </w:r>
          </w:p>
        </w:tc>
        <w:tc>
          <w:tcPr>
            <w:tcW w:type="dxa" w:w="3900"/>
            <w:vAlign w:val="center"/>
          </w:tcPr>
          <w:p>
            <w:r>
              <w:t>Atomically writes the complete glossary JSON.</w:t>
            </w:r>
          </w:p>
        </w:tc>
        <w:tc>
          <w:tcPr>
            <w:tcW w:type="dxa" w:w="3660"/>
            <w:vAlign w:val="center"/>
          </w:tcPr>
          <w:p>
            <w:r>
              <w:t>Save before leaving the page or applying terms. Closing, opening another project, or changing glossary language also protects dirty work with a prompt.</w:t>
            </w:r>
          </w:p>
        </w:tc>
      </w:tr>
      <w:tr>
        <w:trPr>
          <w:cantSplit/>
        </w:trPr>
        <w:tc>
          <w:tcPr>
            <w:tcW w:type="dxa" w:w="1800"/>
            <w:vAlign w:val="center"/>
          </w:tcPr>
          <w:p>
            <w:r>
              <w:t>Apply and Deploy</w:t>
            </w:r>
          </w:p>
        </w:tc>
        <w:tc>
          <w:tcPr>
            <w:tcW w:type="dxa" w:w="3900"/>
            <w:vAlign w:val="center"/>
          </w:tcPr>
          <w:p>
            <w:r>
              <w:t>Publishes approved matching terms through the matching development catalog and current runtime pack, then deploys the verified pack set.</w:t>
            </w:r>
          </w:p>
        </w:tc>
        <w:tc>
          <w:tcPr>
            <w:tcW w:type="dxa" w:w="3660"/>
            <w:vAlign w:val="center"/>
          </w:tcPr>
          <w:p>
            <w:r>
              <w:t>The Studio saves dirty work, loads the matching catalog automatically, skips protected Reviewed and Approved entries, validates the result, atomically refreshes the canonical and managed dependency packs, and deploys the complete pack set to every detected existing build output and remembered destination. It reports every updated, unavailable, or failed destination.</w:t>
            </w:r>
          </w:p>
        </w:tc>
      </w:tr>
    </w:tbl>
    <w:p>
      <w:pPr>
        <w:pStyle w:val="ListNumber"/>
        <w:numPr>
          <w:ilvl w:val="0"/>
          <w:numId w:val="15"/>
        </w:numPr>
      </w:pPr>
      <w:r>
        <w:t>Open Maintenance Studio, open the Delphi project, and select Glossary on the left rail.</w:t>
      </w:r>
    </w:p>
    <w:p>
      <w:pPr>
        <w:pStyle w:val="ListNumber"/>
        <w:numPr>
          <w:ilvl w:val="0"/>
          <w:numId w:val="15"/>
        </w:numPr>
      </w:pPr>
      <w:r>
        <w:t>Choose the target language. An existing glossary loads automatically; otherwise a new in-memory glossary is ready immediately and no Wizard run is required.</w:t>
      </w:r>
    </w:p>
    <w:p>
      <w:pPr>
        <w:pStyle w:val="ListNumber"/>
        <w:numPr>
          <w:ilvl w:val="0"/>
          <w:numId w:val="15"/>
        </w:numPr>
      </w:pPr>
      <w:r>
        <w:t>Choose New, enter the required source term and preferred translation, add optional concept/note information, set Case-sensitive and Approved deliberately, then choose Add / Update Term.</w:t>
      </w:r>
    </w:p>
    <w:p>
      <w:pPr>
        <w:pStyle w:val="ListNumber"/>
        <w:numPr>
          <w:ilvl w:val="0"/>
          <w:numId w:val="15"/>
        </w:numPr>
      </w:pPr>
      <w:r>
        <w:t>Repeat for additional terms and choose Save Glossary. To revise a term later, select it in the list, edit the fields, choose Add / Update Term, and save again.</w:t>
      </w:r>
    </w:p>
    <w:p>
      <w:pPr>
        <w:pStyle w:val="ListNumber"/>
        <w:numPr>
          <w:ilvl w:val="0"/>
          <w:numId w:val="15"/>
        </w:numPr>
      </w:pPr>
      <w:r>
        <w:t>Choose Apply and Deploy. The matching catalog is loaded automatically; it does not have to be open on Translate. Read the completion report and confirm that the intended existing Win32/Win64 Debug/Release output folders and remembered application destinations were updated.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Safe terminology-only publication. </w:t>
            </w:r>
            <w:r>
              <w:t>Apply and Deploy does not call DeepL or Google, rerun the Wizard, rescan source, approve entries, rebuild an executable, replace an executable, or edit Pascal/DFM/FMX/DPR/DPROJ. It updates only eligible unprotected catalog records, validates and exports the affected external JSON pack, refreshes the managed dependency copy, and atomically deploys the complete pack set to destinations that already exist.</w:t>
            </w:r>
          </w:p>
        </w:tc>
      </w:tr>
    </w:tbl>
    <w:p>
      <w:pPr>
        <w:pStyle w:val="Heading1"/>
      </w:pPr>
      <w:r>
        <w:t>24. Maintenance Page 5 -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25. Maintenance Page 6 -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26. Maintenance Page 7 - Integration</w:t>
      </w:r>
    </w:p>
    <w:p>
      <w:pPr>
        <w:keepNext/>
        <w:spacing w:before="120" w:after="60"/>
        <w:jc w:val="center"/>
      </w:pPr>
      <w:r>
        <w:drawing>
          <wp:inline xmlns:a="http://schemas.openxmlformats.org/drawingml/2006/main" xmlns:pic="http://schemas.openxmlformats.org/drawingml/2006/picture">
            <wp:extent cx="5349240" cy="3457963"/>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9"/>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26-1.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Prepare / Update Dependencies</w:t>
            </w:r>
          </w:p>
        </w:tc>
        <w:tc>
          <w:tcPr>
            <w:tcW w:type="dxa" w:w="3900"/>
            <w:vAlign w:val="center"/>
          </w:tcPr>
          <w:p>
            <w:r>
              <w:t>Publishes the verified kit, snapshots the previous managed dependency, installs the complete project-local dependency, builds Release with a temporary Search Path, and deploys packs without editing project files.</w:t>
            </w:r>
          </w:p>
        </w:tc>
        <w:tc>
          <w:tcPr>
            <w:tcW w:type="dxa" w:w="3660"/>
            <w:vAlign w:val="center"/>
          </w:tcPr>
          <w:p>
            <w:r>
              <w:t>This is repeatable and is the recommended action for normal projects.</w:t>
            </w:r>
          </w:p>
        </w:tc>
      </w:tr>
      <w:tr>
        <w:trPr>
          <w:cantSplit/>
        </w:trPr>
        <w:tc>
          <w:tcPr>
            <w:tcW w:type="dxa" w:w="1800"/>
            <w:vAlign w:val="center"/>
          </w:tcPr>
          <w:p>
            <w:r>
              <w:t>Show Design BPL</w:t>
            </w:r>
          </w:p>
        </w:tc>
        <w:tc>
          <w:tcPr>
            <w:tcW w:type="dxa" w:w="3900"/>
            <w:vAlign w:val="center"/>
          </w:tcPr>
          <w:p>
            <w:r>
              <w:t>Selects &lt;Kit&gt;\DesignPackages\Win32\Release\&lt;framework design package&gt;; its required runtime BPLs are beside it.</w:t>
            </w:r>
          </w:p>
        </w:tc>
        <w:tc>
          <w:tcPr>
            <w:tcW w:type="dxa" w:w="3660"/>
            <w:vAlign w:val="center"/>
          </w:tcPr>
          <w:p>
            <w:r>
              <w:t>Use RAD Studio Component &gt; Install Packages &gt; Add. The Studio does not register IDE packages automatically.</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inspect ComponentSource, DesignPackages, README, license, manifests, and completion report; copying is not required.</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27. Maintenance Page 8 -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spacing w:before="120" w:after="60"/>
        <w:jc w:val="center"/>
      </w:pPr>
      <w:r>
        <w:drawing>
          <wp:inline xmlns:a="http://schemas.openxmlformats.org/drawingml/2006/main" xmlns:pic="http://schemas.openxmlformats.org/drawingml/2006/picture">
            <wp:extent cx="5349240" cy="352747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3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27-1.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28.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28.1 DeepL</w:t>
      </w:r>
    </w:p>
    <w:p>
      <w:pPr>
        <w:pStyle w:val="ListNumber"/>
        <w:numPr>
          <w:ilvl w:val="0"/>
          <w:numId w:val="16"/>
        </w:numPr>
      </w:pPr>
      <w:r>
        <w:t>Create or sign in to a DeepL developer account at https://www.deepl.com/pro-api.</w:t>
      </w:r>
    </w:p>
    <w:p>
      <w:pPr>
        <w:pStyle w:val="ListNumber"/>
        <w:numPr>
          <w:ilvl w:val="0"/>
          <w:numId w:val="16"/>
        </w:numPr>
      </w:pPr>
      <w:r>
        <w:t>Choose API Free or API Pro. The normal consumer translator subscription is not automatically an API plan.</w:t>
      </w:r>
    </w:p>
    <w:p>
      <w:pPr>
        <w:pStyle w:val="ListNumber"/>
        <w:numPr>
          <w:ilvl w:val="0"/>
          <w:numId w:val="16"/>
        </w:numPr>
      </w:pPr>
      <w:r>
        <w:t>Copy the authentication key from the account's API Keys area.</w:t>
      </w:r>
    </w:p>
    <w:p>
      <w:pPr>
        <w:pStyle w:val="ListNumber"/>
        <w:numPr>
          <w:ilvl w:val="0"/>
          <w:numId w:val="16"/>
        </w:numPr>
      </w:pPr>
      <w:r>
        <w:t>In the Studio select DeepL and the matching plan, paste the key, choose the Remember policy, and Save / Replace Key.</w:t>
      </w:r>
    </w:p>
    <w:p>
      <w:pPr>
        <w:pStyle w:val="ListNumber"/>
        <w:numPr>
          <w:ilvl w:val="0"/>
          <w:numId w:val="16"/>
        </w:numPr>
      </w:pPr>
      <w:r>
        <w:t>Choose Test Connection. If the endpoint plan is wrong, switch Free/Pro and test again.</w:t>
      </w:r>
    </w:p>
    <w:p>
      <w:pPr>
        <w:pStyle w:val="ListNumber"/>
        <w:numPr>
          <w:ilvl w:val="0"/>
          <w:numId w:val="16"/>
        </w:numPr>
      </w:pPr>
      <w:r>
        <w:t>Review character usage and billing/quota in the DeepL account. A new key does not erase provider usage limits tied to the account/plan.</w:t>
      </w:r>
    </w:p>
    <w:p>
      <w:pPr>
        <w:pStyle w:val="Heading2"/>
      </w:pPr>
      <w:r>
        <w:t>28.2 Google Cloud Translation</w:t>
      </w:r>
    </w:p>
    <w:p>
      <w:pPr>
        <w:pStyle w:val="ListNumber"/>
        <w:numPr>
          <w:ilvl w:val="0"/>
          <w:numId w:val="17"/>
        </w:numPr>
      </w:pPr>
      <w:r>
        <w:t>Create or select a Google Cloud project.</w:t>
      </w:r>
    </w:p>
    <w:p>
      <w:pPr>
        <w:pStyle w:val="ListNumber"/>
        <w:numPr>
          <w:ilvl w:val="0"/>
          <w:numId w:val="17"/>
        </w:numPr>
      </w:pPr>
      <w:r>
        <w:t>Enable Cloud Translation API Basic v2 and configure billing/quota as required by Google.</w:t>
      </w:r>
    </w:p>
    <w:p>
      <w:pPr>
        <w:pStyle w:val="ListNumber"/>
        <w:numPr>
          <w:ilvl w:val="0"/>
          <w:numId w:val="17"/>
        </w:numPr>
      </w:pPr>
      <w:r>
        <w:t>Create a dedicated API key.</w:t>
      </w:r>
    </w:p>
    <w:p>
      <w:pPr>
        <w:pStyle w:val="ListNumber"/>
        <w:numPr>
          <w:ilvl w:val="0"/>
          <w:numId w:val="17"/>
        </w:numPr>
      </w:pPr>
      <w:r>
        <w:t>Restrict the key to the Cloud Translation API and apply appropriate application/network restrictions that still permit this developer computer.</w:t>
      </w:r>
    </w:p>
    <w:p>
      <w:pPr>
        <w:pStyle w:val="ListNumber"/>
        <w:numPr>
          <w:ilvl w:val="0"/>
          <w:numId w:val="17"/>
        </w:numPr>
      </w:pPr>
      <w:r>
        <w:t>In the Studio select Google Cloud Translation, paste the key, save it according to the Remember choice, and Test Connection.</w:t>
      </w:r>
    </w:p>
    <w:p>
      <w:pPr>
        <w:pStyle w:val="ListNumber"/>
        <w:numPr>
          <w:ilvl w:val="0"/>
          <w:numId w:val="17"/>
        </w:numPr>
      </w:pPr>
      <w:r>
        <w:t>Monitor quota and costs in Google Cloud. A 401/403 usually indicates key, API enablement, billing, or restriction problems; 429 indicates quota/rate limits.</w:t>
      </w:r>
    </w:p>
    <w:p>
      <w:pPr>
        <w:pStyle w:val="Heading1"/>
      </w:pPr>
      <w:r>
        <w:t>29.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30.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8"/>
        </w:numPr>
      </w:pPr>
      <w:r>
        <w:t>Confirm the matching design package is installed and the target primary form contains one manager plus a connected selector.</w:t>
      </w:r>
    </w:p>
    <w:p>
      <w:pPr>
        <w:pStyle w:val="ListNumber"/>
        <w:numPr>
          <w:ilvl w:val="0"/>
          <w:numId w:val="18"/>
        </w:numPr>
      </w:pPr>
      <w:r>
        <w:t>Confirm ApplicationId, LanguagesFolder, SourceLanguage, and any FormIdentityMappings in Object Inspector.</w:t>
      </w:r>
    </w:p>
    <w:p>
      <w:pPr>
        <w:pStyle w:val="ListNumber"/>
        <w:numPr>
          <w:ilvl w:val="0"/>
          <w:numId w:val="18"/>
        </w:numPr>
      </w:pPr>
      <w:r>
        <w:t>Confirm the Studio reports the managed dependency at &lt;Target&gt;\dependencies\DelphiAppTranslation and the dated transaction backup.</w:t>
      </w:r>
    </w:p>
    <w:p>
      <w:pPr>
        <w:pStyle w:val="ListNumber"/>
        <w:numPr>
          <w:ilvl w:val="0"/>
          <w:numId w:val="18"/>
        </w:numPr>
      </w:pPr>
      <w:r>
        <w:t>Confirm Project Options contains $(PROJECTDIR)\dependencies\DelphiAppTranslation\source exactly once in the Delphi Compiler Search path, and confirm the DPROJ remains unchanged by the Studio.</w:t>
      </w:r>
    </w:p>
    <w:p>
      <w:pPr>
        <w:pStyle w:val="ListNumber"/>
        <w:numPr>
          <w:ilvl w:val="0"/>
          <w:numId w:val="18"/>
        </w:numPr>
      </w:pPr>
      <w:r>
        <w:t>Confirm the automatic build log reports language-pack deployment to &lt;Executable Folder&gt;\Localization\Languages.</w:t>
      </w:r>
    </w:p>
    <w:p>
      <w:pPr>
        <w:pStyle w:val="ListNumber"/>
        <w:numPr>
          <w:ilvl w:val="0"/>
          <w:numId w:val="18"/>
        </w:numPr>
      </w:pPr>
      <w:r>
        <w:t>Clean and build Win32 Debug and Release. Build Win64 only when the application will ship it and the dependency/toolchain path is valid.</w:t>
      </w:r>
    </w:p>
    <w:p>
      <w:pPr>
        <w:pStyle w:val="ListNumber"/>
        <w:numPr>
          <w:ilvl w:val="0"/>
          <w:numId w:val="18"/>
        </w:numPr>
      </w:pPr>
      <w:r>
        <w:t>Run the executable from the actual output folder. If Windows has another copy elsewhere, close it so you do not accidentally test stale code or stale packs.</w:t>
      </w:r>
    </w:p>
    <w:p>
      <w:pPr>
        <w:pStyle w:val="ListNumber"/>
        <w:numPr>
          <w:ilvl w:val="0"/>
          <w:numId w:val="18"/>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8"/>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8"/>
        </w:numPr>
      </w:pPr>
      <w:r>
        <w:t>Repeat the matrix for each shipped platform/configuration and record defects by locale, screen, source key, expected text, actual text, and screenshot.</w:t>
      </w:r>
    </w:p>
    <w:p>
      <w:pPr>
        <w:pStyle w:val="Heading1"/>
      </w:pPr>
      <w:r>
        <w:t>31.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32.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33.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The managed dependency is missing, damaged, not present in the developer-owned Search path, or shadowed by an old DAT unit beside the DPR.</w:t>
            </w:r>
          </w:p>
        </w:tc>
        <w:tc>
          <w:tcPr>
            <w:tcW w:type="dxa" w:w="3660"/>
            <w:vAlign w:val="center"/>
          </w:tcPr>
          <w:p>
            <w:r>
              <w:t>Run Prepare / Update Dependencies again, verify $(PROJECTDIR)\dependencies\DelphiAppTranslation\source in Project Options, and remove only confirmed stale duplicate DAT copies.</w:t>
            </w:r>
          </w:p>
        </w:tc>
      </w:tr>
      <w:tr>
        <w:trPr>
          <w:cantSplit/>
        </w:trPr>
        <w:tc>
          <w:tcPr>
            <w:tcW w:type="dxa" w:w="1800"/>
            <w:vAlign w:val="center"/>
          </w:tcPr>
          <w:p>
            <w:r>
              <w:t>Design package will not install</w:t>
            </w:r>
          </w:p>
        </w:tc>
        <w:tc>
          <w:tcPr>
            <w:tcW w:type="dxa" w:w="3900"/>
            <w:vAlign w:val="center"/>
          </w:tcPr>
          <w:p>
            <w:r>
              <w:t>Wrong RAD Studio version, wrong framework bundle, stale BPL, or DPK selected through the wrong dialog.</w:t>
            </w:r>
          </w:p>
        </w:tc>
        <w:tc>
          <w:tcPr>
            <w:tcW w:type="dxa" w:w="3660"/>
            <w:vAlign w:val="center"/>
          </w:tcPr>
          <w:p>
            <w:r>
              <w:t>Use Show Design BPL, keep its adjacent runtime BPLs in place, then use Component &gt; Install Packages &gt; Add on the selected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r>
        <w:trPr>
          <w:cantSplit/>
        </w:trPr>
        <w:tc>
          <w:tcPr>
            <w:tcW w:type="dxa" w:w="1800"/>
            <w:vAlign w:val="center"/>
          </w:tcPr>
          <w:p>
            <w:r>
              <w:t>A saved glossary correction is absent at runtime</w:t>
            </w:r>
          </w:p>
        </w:tc>
        <w:tc>
          <w:tcPr>
            <w:tcW w:type="dxa" w:w="3900"/>
            <w:vAlign w:val="center"/>
          </w:tcPr>
          <w:p>
            <w:r>
              <w:t>Save Glossary persisted the terminology JSON but did not publish it, the matching Wizard catalog/dependency does not exist yet, or the running application has not reloaded its pack.</w:t>
            </w:r>
          </w:p>
        </w:tc>
        <w:tc>
          <w:tcPr>
            <w:tcW w:type="dxa" w:w="3660"/>
            <w:vAlign w:val="center"/>
          </w:tcPr>
          <w:p>
            <w:r>
              <w:t>Choose Glossary &gt; Apply and Deploy, read the destination report, then restart the target from the reported output folder and select the corrected language.</w:t>
            </w:r>
          </w:p>
        </w:tc>
      </w:tr>
    </w:tbl>
    <w:p>
      <w:pPr>
        <w:pStyle w:val="Heading1"/>
      </w:pPr>
      <w:r>
        <w:t>34.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files saved and running target application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saved-project/application-closed confirmation, and authorization reviewed.</w:t>
      </w:r>
    </w:p>
    <w:p>
      <w:pPr>
        <w:pStyle w:val="ListBullet"/>
      </w:pPr>
      <w:r>
        <w:t>[ ] Localization Review completed; glossary and layout decisions saved.</w:t>
      </w:r>
    </w:p>
    <w:p>
      <w:pPr>
        <w:pStyle w:val="ListBullet"/>
      </w:pPr>
      <w:r>
        <w:t>[ ] Any later terminology-only correction was published with Glossary &gt; Apply and Deploy; the destination report names the intended outputs.</w:t>
      </w:r>
    </w:p>
    <w:p>
      <w:pPr>
        <w:pStyle w:val="ListBullet"/>
      </w:pPr>
      <w:r>
        <w:t>[ ] Validation has no blocking errors; runtime packs exported.</w:t>
      </w:r>
    </w:p>
    <w:p>
      <w:pPr>
        <w:pStyle w:val="ListBullet"/>
      </w:pPr>
      <w:r>
        <w:t>[ ] Prepare / Update Dependencies completed; dated previous-dependency snapshot recorded.</w:t>
      </w:r>
    </w:p>
    <w:p>
      <w:pPr>
        <w:pStyle w:val="ListBullet"/>
      </w:pPr>
      <w:r>
        <w:t>[ ] Complete dependency installed under dependencies\DelphiAppTranslation; target DPROJ hash unchanged.</w:t>
      </w:r>
    </w:p>
    <w:p>
      <w:pPr>
        <w:pStyle w:val="ListBullet"/>
      </w:pPr>
      <w:r>
        <w:t>[ ] Baseline Release build passed; canonical source and translated packs deployed automatically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35.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Managed target dependency</w:t>
            </w:r>
          </w:p>
        </w:tc>
        <w:tc>
          <w:tcPr>
            <w:tcW w:type="dxa" w:w="6660"/>
            <w:vAlign w:val="center"/>
          </w:tcPr>
          <w:p>
            <w:r>
              <w:t>&lt;Target Project&gt;\dependencies\DelphiAppTranslation</w:t>
            </w:r>
          </w:p>
        </w:tc>
      </w:tr>
      <w:tr>
        <w:trPr>
          <w:cantSplit/>
        </w:trPr>
        <w:tc>
          <w:tcPr>
            <w:tcW w:type="dxa" w:w="2700"/>
            <w:vAlign w:val="center"/>
          </w:tcPr>
          <w:p>
            <w:r>
              <w:t>Verified BPL bundle</w:t>
            </w:r>
          </w:p>
        </w:tc>
        <w:tc>
          <w:tcPr>
            <w:tcW w:type="dxa" w:w="6660"/>
            <w:vAlign w:val="center"/>
          </w:tcPr>
          <w:p>
            <w:r>
              <w:t>&lt;Studio&gt;\export\component-integration\&lt;ApplicationId&gt;\DesignPackages\Win32\Release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p>
      <w:r>
        <w:br w:type="page"/>
      </w:r>
    </w:p>
    <w:p>
      <w:pPr>
        <w:pStyle w:val="Heading1"/>
      </w:pPr>
      <w:r>
        <w:t>36.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