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Formats, Integration, Security, and Validation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27,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Product Scope and Invariants</w:t>
      </w:r>
      <w:r>
        <w:rPr>
          <w:rFonts w:ascii="Aptos" w:hAnsi="Aptos"/>
          <w:color w:val="5D7693"/>
          <w:sz w:val="18"/>
        </w:rPr>
        <w:t xml:space="preserve"> ......................................... 1</w:t>
      </w:r>
      <w:r>
        <w:br/>
      </w:r>
      <w:r>
        <w:rPr>
          <w:rFonts w:ascii="Aptos" w:hAnsi="Aptos"/>
          <w:color w:val="163A63"/>
          <w:sz w:val="18"/>
        </w:rPr>
        <w:t>2. Repository and Build Layout</w:t>
      </w:r>
      <w:r>
        <w:rPr>
          <w:rFonts w:ascii="Aptos" w:hAnsi="Aptos"/>
          <w:color w:val="5D7693"/>
          <w:sz w:val="18"/>
        </w:rPr>
        <w:t xml:space="preserve"> .......................................... 1</w:t>
      </w:r>
      <w:r>
        <w:br/>
      </w:r>
      <w:r>
        <w:rPr>
          <w:rFonts w:ascii="Aptos" w:hAnsi="Aptos"/>
          <w:color w:val="163A63"/>
          <w:sz w:val="18"/>
        </w:rPr>
        <w:t>3. System Architecture</w:t>
      </w:r>
      <w:r>
        <w:rPr>
          <w:rFonts w:ascii="Aptos" w:hAnsi="Aptos"/>
          <w:color w:val="5D7693"/>
          <w:sz w:val="18"/>
        </w:rPr>
        <w:t xml:space="preserve"> .................................................. 2</w:t>
      </w:r>
      <w:r>
        <w:br/>
      </w:r>
      <w:r>
        <w:rPr>
          <w:rFonts w:ascii="Aptos" w:hAnsi="Aptos"/>
          <w:color w:val="163A63"/>
          <w:sz w:val="18"/>
        </w:rPr>
        <w:t>4. Core Data Model and JSON</w:t>
      </w:r>
      <w:r>
        <w:rPr>
          <w:rFonts w:ascii="Aptos" w:hAnsi="Aptos"/>
          <w:color w:val="5D7693"/>
          <w:sz w:val="18"/>
        </w:rPr>
        <w:t xml:space="preserve"> ............................................. 3</w:t>
      </w:r>
      <w:r>
        <w:br/>
      </w:r>
      <w:r>
        <w:rPr>
          <w:rFonts w:ascii="Aptos" w:hAnsi="Aptos"/>
          <w:color w:val="163A63"/>
          <w:sz w:val="18"/>
        </w:rPr>
        <w:t>5. Project Detection and Scanning</w:t>
      </w:r>
      <w:r>
        <w:rPr>
          <w:rFonts w:ascii="Aptos" w:hAnsi="Aptos"/>
          <w:color w:val="5D7693"/>
          <w:sz w:val="18"/>
        </w:rPr>
        <w:t xml:space="preserve"> ....................................... 4</w:t>
      </w:r>
      <w:r>
        <w:br/>
      </w:r>
      <w:r>
        <w:rPr>
          <w:rFonts w:ascii="Aptos" w:hAnsi="Aptos"/>
          <w:color w:val="163A63"/>
          <w:sz w:val="18"/>
        </w:rPr>
        <w:t>6. Studio UI and Workflow State</w:t>
      </w:r>
      <w:r>
        <w:rPr>
          <w:rFonts w:ascii="Aptos" w:hAnsi="Aptos"/>
          <w:color w:val="5D7693"/>
          <w:sz w:val="18"/>
        </w:rPr>
        <w:t xml:space="preserve"> ......................................... 5</w:t>
      </w:r>
      <w:r>
        <w:br/>
      </w:r>
      <w:r>
        <w:rPr>
          <w:rFonts w:ascii="Aptos" w:hAnsi="Aptos"/>
          <w:color w:val="163A63"/>
          <w:sz w:val="18"/>
        </w:rPr>
        <w:t>7. Provider Settings and Secret Storage</w:t>
      </w:r>
      <w:r>
        <w:rPr>
          <w:rFonts w:ascii="Aptos" w:hAnsi="Aptos"/>
          <w:color w:val="5D7693"/>
          <w:sz w:val="18"/>
        </w:rPr>
        <w:t xml:space="preserve"> ................................. 6</w:t>
      </w:r>
      <w:r>
        <w:br/>
      </w:r>
      <w:r>
        <w:rPr>
          <w:rFonts w:ascii="Aptos" w:hAnsi="Aptos"/>
          <w:color w:val="163A63"/>
          <w:sz w:val="18"/>
        </w:rPr>
        <w:t>8. Provider HTTP Clients</w:t>
      </w:r>
      <w:r>
        <w:rPr>
          <w:rFonts w:ascii="Aptos" w:hAnsi="Aptos"/>
          <w:color w:val="5D7693"/>
          <w:sz w:val="18"/>
        </w:rPr>
        <w:t xml:space="preserve"> ................................................ 7</w:t>
      </w:r>
      <w:r>
        <w:br/>
      </w:r>
      <w:r>
        <w:rPr>
          <w:rFonts w:ascii="Aptos" w:hAnsi="Aptos"/>
          <w:color w:val="163A63"/>
          <w:sz w:val="18"/>
        </w:rPr>
        <w:t>9. Automatic Provider Translation and Review</w:t>
      </w:r>
      <w:r>
        <w:rPr>
          <w:rFonts w:ascii="Aptos" w:hAnsi="Aptos"/>
          <w:color w:val="5D7693"/>
          <w:sz w:val="18"/>
        </w:rPr>
        <w:t xml:space="preserve"> ............................ 8</w:t>
      </w:r>
      <w:r>
        <w:br/>
      </w:r>
      <w:r>
        <w:rPr>
          <w:rFonts w:ascii="Aptos" w:hAnsi="Aptos"/>
          <w:color w:val="163A63"/>
          <w:sz w:val="18"/>
        </w:rPr>
        <w:t>10. Validation and Runtime Pack Export</w:t>
      </w:r>
      <w:r>
        <w:rPr>
          <w:rFonts w:ascii="Aptos" w:hAnsi="Aptos"/>
          <w:color w:val="5D7693"/>
          <w:sz w:val="18"/>
        </w:rPr>
        <w:t xml:space="preserve"> .................................. 9</w:t>
      </w:r>
      <w:r>
        <w:br/>
      </w:r>
      <w:r>
        <w:rPr>
          <w:rFonts w:ascii="Aptos" w:hAnsi="Aptos"/>
          <w:color w:val="163A63"/>
          <w:sz w:val="18"/>
        </w:rPr>
        <w:t>11. Runtime Engine</w:t>
      </w:r>
      <w:r>
        <w:rPr>
          <w:rFonts w:ascii="Aptos" w:hAnsi="Aptos"/>
          <w:color w:val="5D7693"/>
          <w:sz w:val="18"/>
        </w:rPr>
        <w:t xml:space="preserve"> ...................................................... 9</w:t>
      </w:r>
      <w:r>
        <w:br/>
      </w:r>
      <w:r>
        <w:rPr>
          <w:rFonts w:ascii="Aptos" w:hAnsi="Aptos"/>
          <w:color w:val="163A63"/>
          <w:sz w:val="18"/>
        </w:rPr>
        <w:t>12. Component Packages and Integration Modes</w:t>
      </w:r>
      <w:r>
        <w:rPr>
          <w:rFonts w:ascii="Aptos" w:hAnsi="Aptos"/>
          <w:color w:val="5D7693"/>
          <w:sz w:val="18"/>
        </w:rPr>
        <w:t xml:space="preserve"> ............................ 10</w:t>
      </w:r>
      <w:r>
        <w:br/>
      </w:r>
      <w:r>
        <w:rPr>
          <w:rFonts w:ascii="Aptos" w:hAnsi="Aptos"/>
          <w:color w:val="163A63"/>
          <w:sz w:val="18"/>
        </w:rPr>
        <w:t>13. Self-Localization</w:t>
      </w:r>
      <w:r>
        <w:rPr>
          <w:rFonts w:ascii="Aptos" w:hAnsi="Aptos"/>
          <w:color w:val="5D7693"/>
          <w:sz w:val="18"/>
        </w:rPr>
        <w:t xml:space="preserve"> ................................................... 12</w:t>
      </w:r>
      <w:r>
        <w:br/>
      </w:r>
      <w:r>
        <w:rPr>
          <w:rFonts w:ascii="Aptos" w:hAnsi="Aptos"/>
          <w:color w:val="163A63"/>
          <w:sz w:val="18"/>
        </w:rPr>
        <w:t>14. Error Handling and Diagnostics</w:t>
      </w:r>
      <w:r>
        <w:rPr>
          <w:rFonts w:ascii="Aptos" w:hAnsi="Aptos"/>
          <w:color w:val="5D7693"/>
          <w:sz w:val="18"/>
        </w:rPr>
        <w:t xml:space="preserve"> ...................................... 12</w:t>
      </w:r>
      <w:r>
        <w:br/>
      </w:r>
      <w:r>
        <w:rPr>
          <w:rFonts w:ascii="Aptos" w:hAnsi="Aptos"/>
          <w:color w:val="163A63"/>
          <w:sz w:val="18"/>
        </w:rPr>
        <w:t>15. Test Strategy and Verified Matrix</w:t>
      </w:r>
      <w:r>
        <w:rPr>
          <w:rFonts w:ascii="Aptos" w:hAnsi="Aptos"/>
          <w:color w:val="5D7693"/>
          <w:sz w:val="18"/>
        </w:rPr>
        <w:t xml:space="preserve"> ................................... 12</w:t>
      </w:r>
      <w:r>
        <w:br/>
      </w:r>
      <w:r>
        <w:rPr>
          <w:rFonts w:ascii="Aptos" w:hAnsi="Aptos"/>
          <w:color w:val="163A63"/>
          <w:sz w:val="18"/>
        </w:rPr>
        <w:t>16. Security Review</w:t>
      </w:r>
      <w:r>
        <w:rPr>
          <w:rFonts w:ascii="Aptos" w:hAnsi="Aptos"/>
          <w:color w:val="5D7693"/>
          <w:sz w:val="18"/>
        </w:rPr>
        <w:t xml:space="preserve"> ..................................................... 14</w:t>
      </w:r>
      <w:r>
        <w:br/>
      </w:r>
      <w:r>
        <w:rPr>
          <w:rFonts w:ascii="Aptos" w:hAnsi="Aptos"/>
          <w:color w:val="163A63"/>
          <w:sz w:val="18"/>
        </w:rPr>
        <w:t>17. Release and Contribution Workflow</w:t>
      </w:r>
      <w:r>
        <w:rPr>
          <w:rFonts w:ascii="Aptos" w:hAnsi="Aptos"/>
          <w:color w:val="5D7693"/>
          <w:sz w:val="18"/>
        </w:rPr>
        <w:t xml:space="preserve"> ................................... 14</w:t>
      </w:r>
      <w:r>
        <w:br/>
      </w:r>
      <w:r>
        <w:rPr>
          <w:rFonts w:ascii="Aptos" w:hAnsi="Aptos"/>
          <w:color w:val="163A63"/>
          <w:sz w:val="18"/>
        </w:rPr>
        <w:t>18. Known Boundaries and Future-Compatible Design</w:t>
      </w:r>
      <w:r>
        <w:rPr>
          <w:rFonts w:ascii="Aptos" w:hAnsi="Aptos"/>
          <w:color w:val="5D7693"/>
          <w:sz w:val="18"/>
        </w:rPr>
        <w:t xml:space="preserve"> ....................... 15</w:t>
      </w:r>
      <w:r>
        <w:br/>
      </w:r>
      <w:r>
        <w:rPr>
          <w:rFonts w:ascii="Aptos" w:hAnsi="Aptos"/>
          <w:color w:val="163A63"/>
          <w:sz w:val="18"/>
        </w:rPr>
        <w:t>19. Documentation Generation</w:t>
      </w:r>
      <w:r>
        <w:rPr>
          <w:rFonts w:ascii="Aptos" w:hAnsi="Aptos"/>
          <w:color w:val="5D7693"/>
          <w:sz w:val="18"/>
        </w:rPr>
        <w:t xml:space="preserve"> ............................................ 15</w:t>
      </w:r>
      <w:r>
        <w:br/>
      </w:r>
      <w:r>
        <w:rPr>
          <w:rFonts w:ascii="Aptos" w:hAnsi="Aptos"/>
          <w:color w:val="163A63"/>
          <w:sz w:val="18"/>
        </w:rPr>
        <w:t>20. Source References</w:t>
      </w:r>
      <w:r>
        <w:rPr>
          <w:rFonts w:ascii="Aptos" w:hAnsi="Aptos"/>
          <w:color w:val="5D7693"/>
          <w:sz w:val="18"/>
        </w:rPr>
        <w:t xml:space="preserve"> ................................................... 15</w:t>
      </w:r>
      <w:r>
        <w:br/>
      </w:r>
      <w:r>
        <w:rPr>
          <w:rFonts w:ascii="Aptos" w:hAnsi="Aptos"/>
          <w:color w:val="163A63"/>
          <w:sz w:val="18"/>
        </w:rPr>
        <w:t>21. Total Stabilization Contracts</w:t>
      </w:r>
      <w:r>
        <w:rPr>
          <w:rFonts w:ascii="Aptos" w:hAnsi="Aptos"/>
          <w:color w:val="5D7693"/>
          <w:sz w:val="18"/>
        </w:rPr>
        <w:t xml:space="preserve"> ....................................... 16</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Product Scope and Invariants</w:t>
      </w:r>
    </w:p>
    <w:p>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pPr>
        <w:pStyle w:val="ListBullet"/>
      </w:pPr>
      <w:r>
        <w:t>All user interface controls are persisted in DAT.Studio.MainForm.fmx and remain editable in the RAD Studio designer.</w:t>
      </w:r>
    </w:p>
    <w:p>
      <w:pPr>
        <w:pStyle w:val="ListBullet"/>
      </w:pPr>
      <w:r>
        <w:t>No UI is constructed at runtime.</w:t>
      </w:r>
    </w:p>
    <w:p>
      <w:pPr>
        <w:pStyle w:val="ListBullet"/>
      </w:pPr>
      <w:r>
        <w:t>Stable keys, not source text alone, identify translated properties.</w:t>
      </w:r>
    </w:p>
    <w:p>
      <w:pPr>
        <w:pStyle w:val="ListBullet"/>
      </w:pPr>
      <w:r>
        <w:t>Original designer text remains the runtime fallback.</w:t>
      </w:r>
    </w:p>
    <w:p>
      <w:pPr>
        <w:pStyle w:val="ListBullet"/>
      </w:pPr>
      <w:r>
        <w:t>API keys never enter project artifacts.</w:t>
      </w:r>
    </w:p>
    <w:p>
      <w:pPr>
        <w:pStyle w:val="ListBullet"/>
      </w:pPr>
      <w:r>
        <w:t>One designer-persisted manager supervises the application; ordinary forms require no component.</w:t>
      </w:r>
    </w:p>
    <w:p>
      <w:pPr>
        <w:pStyle w:val="Heading1"/>
      </w:pPr>
      <w:r>
        <w:t>2. Repository and Build Layout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Path</w:t>
            </w:r>
          </w:p>
        </w:tc>
        <w:tc>
          <w:tcPr>
            <w:tcW w:type="dxa" w:w="6660"/>
            <w:shd w:fill="234C80"/>
          </w:tcPr>
          <w:p>
            <w:r>
              <w:rPr>
                <w:b/>
                <w:color w:val="FFFFFF"/>
              </w:rPr>
              <w:t>Responsibility</w:t>
            </w:r>
          </w:p>
        </w:tc>
      </w:tr>
      <w:tr>
        <w:trPr>
          <w:cantSplit/>
        </w:trPr>
        <w:tc>
          <w:tcPr>
            <w:tcW w:type="dxa" w:w="2700"/>
            <w:vAlign w:val="center"/>
          </w:tcPr>
          <w:p>
            <w:r>
              <w:t>source\core</w:t>
            </w:r>
          </w:p>
        </w:tc>
        <w:tc>
          <w:tcPr>
            <w:tcW w:type="dxa" w:w="6660"/>
            <w:vAlign w:val="center"/>
          </w:tcPr>
          <w:p>
            <w:r>
              <w:t>Catalog types, JSON persistence, project detection, workspace paths, runtime pack generation.</w:t>
            </w:r>
          </w:p>
        </w:tc>
      </w:tr>
      <w:tr>
        <w:trPr>
          <w:cantSplit/>
        </w:trPr>
        <w:tc>
          <w:tcPr>
            <w:tcW w:type="dxa" w:w="2700"/>
            <w:vAlign w:val="center"/>
          </w:tcPr>
          <w:p>
            <w:r>
              <w:t>source\scan</w:t>
            </w:r>
          </w:p>
        </w:tc>
        <w:tc>
          <w:tcPr>
            <w:tcW w:type="dxa" w:w="6660"/>
            <w:vAlign w:val="center"/>
          </w:tcPr>
          <w:p>
            <w:r>
              <w:t>VCL/FMX form text, Pascal resourcestrings, extraction rules, diagnostics, incremental merge.</w:t>
            </w:r>
          </w:p>
        </w:tc>
      </w:tr>
      <w:tr>
        <w:trPr>
          <w:cantSplit/>
        </w:trPr>
        <w:tc>
          <w:tcPr>
            <w:tcW w:type="dxa" w:w="2700"/>
            <w:vAlign w:val="center"/>
          </w:tcPr>
          <w:p>
            <w:r>
              <w:t>source\validation</w:t>
            </w:r>
          </w:p>
        </w:tc>
        <w:tc>
          <w:tcPr>
            <w:tcW w:type="dxa" w:w="6660"/>
            <w:vAlign w:val="center"/>
          </w:tcPr>
          <w:p>
            <w:r>
              <w:t>Catalog safety and completeness checks.</w:t>
            </w:r>
          </w:p>
        </w:tc>
      </w:tr>
      <w:tr>
        <w:trPr>
          <w:cantSplit/>
        </w:trPr>
        <w:tc>
          <w:tcPr>
            <w:tcW w:type="dxa" w:w="2700"/>
            <w:vAlign w:val="center"/>
          </w:tcPr>
          <w:p>
            <w:r>
              <w:t>source\provider</w:t>
            </w:r>
          </w:p>
        </w:tc>
        <w:tc>
          <w:tcPr>
            <w:tcW w:type="dxa" w:w="6660"/>
            <w:vAlign w:val="center"/>
          </w:tcPr>
          <w:p>
            <w:r>
              <w:t>Provider types/settings, Credential Manager, DeepL/Google HTTPS client.</w:t>
            </w:r>
          </w:p>
        </w:tc>
      </w:tr>
      <w:tr>
        <w:trPr>
          <w:cantSplit/>
        </w:trPr>
        <w:tc>
          <w:tcPr>
            <w:tcW w:type="dxa" w:w="2700"/>
            <w:vAlign w:val="center"/>
          </w:tcPr>
          <w:p>
            <w:r>
              <w:t>source\runtime</w:t>
            </w:r>
          </w:p>
        </w:tc>
        <w:tc>
          <w:tcPr>
            <w:tcW w:type="dxa" w:w="6660"/>
            <w:vAlign w:val="center"/>
          </w:tcPr>
          <w:p>
            <w:r>
              <w:t>Pack discovery/loading, preference, manager, VCL and FMX applicators.</w:t>
            </w:r>
          </w:p>
        </w:tc>
      </w:tr>
      <w:tr>
        <w:trPr>
          <w:cantSplit/>
        </w:trPr>
        <w:tc>
          <w:tcPr>
            <w:tcW w:type="dxa" w:w="2700"/>
            <w:vAlign w:val="center"/>
          </w:tcPr>
          <w:p>
            <w:r>
              <w:t>source\components</w:t>
            </w:r>
          </w:p>
        </w:tc>
        <w:tc>
          <w:tcPr>
            <w:tcW w:type="dxa" w:w="6660"/>
            <w:vAlign w:val="center"/>
          </w:tcPr>
          <w:p>
            <w:r>
              <w:t>Framework-neutral manager core, VCL/FMX lifecycle adapters, and supplied language selectors.</w:t>
            </w:r>
          </w:p>
        </w:tc>
      </w:tr>
      <w:tr>
        <w:trPr>
          <w:cantSplit/>
        </w:trPr>
        <w:tc>
          <w:tcPr>
            <w:tcW w:type="dxa" w:w="2700"/>
            <w:vAlign w:val="center"/>
          </w:tcPr>
          <w:p>
            <w:r>
              <w:t>source\design</w:t>
            </w:r>
          </w:p>
        </w:tc>
        <w:tc>
          <w:tcPr>
            <w:tcW w:type="dxa" w:w="6660"/>
            <w:vAlign w:val="center"/>
          </w:tcPr>
          <w:p>
            <w:r>
              <w:t>VCL and FMX Tool Palette registration units.</w:t>
            </w:r>
          </w:p>
        </w:tc>
      </w:tr>
      <w:tr>
        <w:trPr>
          <w:cantSplit/>
        </w:trPr>
        <w:tc>
          <w:tcPr>
            <w:tcW w:type="dxa" w:w="2700"/>
            <w:vAlign w:val="center"/>
          </w:tcPr>
          <w:p>
            <w:r>
              <w:t>packages\runtime / packages\design</w:t>
            </w:r>
          </w:p>
        </w:tc>
        <w:tc>
          <w:tcPr>
            <w:tcW w:type="dxa" w:w="6660"/>
            <w:vAlign w:val="center"/>
          </w:tcPr>
          <w:p>
            <w:r>
              <w:t>Core and framework runtime BPLs plus Win32 IDE design packages.</w:t>
            </w:r>
          </w:p>
        </w:tc>
      </w:tr>
      <w:tr>
        <w:trPr>
          <w:cantSplit/>
        </w:trPr>
        <w:tc>
          <w:tcPr>
            <w:tcW w:type="dxa" w:w="2700"/>
            <w:vAlign w:val="center"/>
          </w:tcPr>
          <w:p>
            <w:r>
              <w:t>source\integration</w:t>
            </w:r>
          </w:p>
        </w:tc>
        <w:tc>
          <w:tcPr>
            <w:tcW w:type="dxa" w:w="6660"/>
            <w:vAlign w:val="center"/>
          </w:tcPr>
          <w:p>
            <w:r>
              <w:t>Non-mutating component kits plus advanced planning, resource/source changes, transactions, and reset.</w:t>
            </w:r>
          </w:p>
        </w:tc>
      </w:tr>
      <w:tr>
        <w:trPr>
          <w:cantSplit/>
        </w:trPr>
        <w:tc>
          <w:tcPr>
            <w:tcW w:type="dxa" w:w="2700"/>
            <w:vAlign w:val="center"/>
          </w:tcPr>
          <w:p>
            <w:r>
              <w:t>source\studio</w:t>
            </w:r>
          </w:p>
        </w:tc>
        <w:tc>
          <w:tcPr>
            <w:tcW w:type="dxa" w:w="6660"/>
            <w:vAlign w:val="center"/>
          </w:tcPr>
          <w:p>
            <w:r>
              <w:t>Designer-authored FMX UI and Studio self-localization.</w:t>
            </w:r>
          </w:p>
        </w:tc>
      </w:tr>
      <w:tr>
        <w:trPr>
          <w:cantSplit/>
        </w:trPr>
        <w:tc>
          <w:tcPr>
            <w:tcW w:type="dxa" w:w="2700"/>
            <w:vAlign w:val="center"/>
          </w:tcPr>
          <w:p>
            <w:r>
              <w:t>source\schemas</w:t>
            </w:r>
          </w:p>
        </w:tc>
        <w:tc>
          <w:tcPr>
            <w:tcW w:type="dxa" w:w="6660"/>
            <w:vAlign w:val="center"/>
          </w:tcPr>
          <w:p>
            <w:r>
              <w:t>Development and runtime JSON Schemas.</w:t>
            </w:r>
          </w:p>
        </w:tc>
      </w:tr>
      <w:tr>
        <w:trPr>
          <w:cantSplit/>
        </w:trPr>
        <w:tc>
          <w:tcPr>
            <w:tcW w:type="dxa" w:w="2700"/>
            <w:vAlign w:val="center"/>
          </w:tcPr>
          <w:p>
            <w:r>
              <w:t>tools\tests</w:t>
            </w:r>
          </w:p>
        </w:tc>
        <w:tc>
          <w:tcPr>
            <w:tcW w:type="dxa" w:w="6660"/>
            <w:vAlign w:val="center"/>
          </w:tcPr>
          <w:p>
            <w:r>
              <w:t>Foundation, runtime, integration, form-streaming, launch, and self-localization smoke tests.</w:t>
            </w:r>
          </w:p>
        </w:tc>
      </w:tr>
      <w:tr>
        <w:trPr>
          <w:cantSplit/>
        </w:trPr>
        <w:tc>
          <w:tcPr>
            <w:tcW w:type="dxa" w:w="2700"/>
            <w:vAlign w:val="center"/>
          </w:tcPr>
          <w:p>
            <w:r>
              <w:t>docs / help / samples</w:t>
            </w:r>
          </w:p>
        </w:tc>
        <w:tc>
          <w:tcPr>
            <w:tcW w:type="dxa" w:w="6660"/>
            <w:vAlign w:val="center"/>
          </w:tcPr>
          <w:p>
            <w:r>
              <w:t>Product documentation, help source, and safe fixtures.</w:t>
            </w:r>
          </w:p>
        </w:tc>
      </w:tr>
    </w:tbl>
    <w:p>
      <w:pPr>
        <w:pStyle w:val="Heading2"/>
      </w:pPr>
      <w:r>
        <w:t>2.1 Toolchain</w:t>
      </w:r>
    </w:p>
    <w:p>
      <w:pPr>
        <w:pStyle w:val="CodeBlock"/>
      </w:pPr>
      <w:r>
        <w:t>call "C:\Program Files (x86)\Embarcadero\Studio\37.0\bin\rsvars.bat"</w:t>
        <w:br/>
        <w:t>msbuild DelphiAppTranslationStudio.dproj /t:Build /p:Config=Debug /p:Platform=Win32</w:t>
        <w:br/>
        <w:t>msbuild DelphiAppTranslationStudio.dproj /t:Build /p:Config=Release /p:Platform=Win64</w:t>
      </w:r>
    </w:p>
    <w:p>
      <w:r>
        <w:t>The DPROJ identifies the main form as FMX, includes the standard project resource, uses source\provider in its unit search path, and routes EXE/DCU output to bin and dcu by platform/configuration.</w:t>
      </w:r>
    </w:p>
    <w:p>
      <w:pPr>
        <w:pStyle w:val="Heading1"/>
      </w:pPr>
      <w:r>
        <w:t>3. System Architecture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Boundary</w:t>
            </w:r>
          </w:p>
        </w:tc>
        <w:tc>
          <w:tcPr>
            <w:tcW w:type="dxa" w:w="3900"/>
            <w:shd w:fill="234C80"/>
          </w:tcPr>
          <w:p>
            <w:r>
              <w:rPr>
                <w:b/>
                <w:color w:val="FFFFFF"/>
              </w:rPr>
              <w:t>Input</w:t>
            </w:r>
          </w:p>
        </w:tc>
        <w:tc>
          <w:tcPr>
            <w:tcW w:type="dxa" w:w="3660"/>
            <w:shd w:fill="234C80"/>
          </w:tcPr>
          <w:p>
            <w:r>
              <w:rPr>
                <w:b/>
                <w:color w:val="FFFFFF"/>
              </w:rPr>
              <w:t>Output</w:t>
            </w:r>
          </w:p>
        </w:tc>
      </w:tr>
      <w:tr>
        <w:trPr>
          <w:cantSplit/>
        </w:trPr>
        <w:tc>
          <w:tcPr>
            <w:tcW w:type="dxa" w:w="1800"/>
            <w:vAlign w:val="center"/>
          </w:tcPr>
          <w:p>
            <w:r>
              <w:t>Detection and scan</w:t>
            </w:r>
          </w:p>
        </w:tc>
        <w:tc>
          <w:tcPr>
            <w:tcW w:type="dxa" w:w="3900"/>
            <w:vAlign w:val="center"/>
          </w:tcPr>
          <w:p>
            <w:r>
              <w:t>.dproj/.dpr, text DFM/FMX, Pascal source</w:t>
            </w:r>
          </w:p>
        </w:tc>
        <w:tc>
          <w:tcPr>
            <w:tcW w:type="dxa" w:w="3660"/>
            <w:vAlign w:val="center"/>
          </w:tcPr>
          <w:p>
            <w:r>
              <w:t>TProjectProfile and TProjectScanResult</w:t>
            </w:r>
          </w:p>
        </w:tc>
      </w:tr>
      <w:tr>
        <w:trPr>
          <w:cantSplit/>
        </w:trPr>
        <w:tc>
          <w:tcPr>
            <w:tcW w:type="dxa" w:w="1800"/>
            <w:vAlign w:val="center"/>
          </w:tcPr>
          <w:p>
            <w:r>
              <w:t>Catalog</w:t>
            </w:r>
          </w:p>
        </w:tc>
        <w:tc>
          <w:tcPr>
            <w:tcW w:type="dxa" w:w="3900"/>
            <w:vAlign w:val="center"/>
          </w:tcPr>
          <w:p>
            <w:r>
              <w:t>Scan result plus existing development JSON</w:t>
            </w:r>
          </w:p>
        </w:tc>
        <w:tc>
          <w:tcPr>
            <w:tcW w:type="dxa" w:w="3660"/>
            <w:vAlign w:val="center"/>
          </w:tcPr>
          <w:p>
            <w:r>
              <w:t>Merged TTranslationCatalog</w:t>
            </w:r>
          </w:p>
        </w:tc>
      </w:tr>
      <w:tr>
        <w:trPr>
          <w:cantSplit/>
        </w:trPr>
        <w:tc>
          <w:tcPr>
            <w:tcW w:type="dxa" w:w="1800"/>
            <w:vAlign w:val="center"/>
          </w:tcPr>
          <w:p>
            <w:r>
              <w:t>Provider</w:t>
            </w:r>
          </w:p>
        </w:tc>
        <w:tc>
          <w:tcPr>
            <w:tcW w:type="dxa" w:w="3900"/>
            <w:vAlign w:val="center"/>
          </w:tcPr>
          <w:p>
            <w:r>
              <w:t>Confirmed source strings plus in-memory credential</w:t>
            </w:r>
          </w:p>
        </w:tc>
        <w:tc>
          <w:tcPr>
            <w:tcW w:type="dxa" w:w="3660"/>
            <w:vAlign w:val="center"/>
          </w:tcPr>
          <w:p>
            <w:r>
              <w:t>Machine-translated entry values</w:t>
            </w:r>
          </w:p>
        </w:tc>
      </w:tr>
      <w:tr>
        <w:trPr>
          <w:cantSplit/>
        </w:trPr>
        <w:tc>
          <w:tcPr>
            <w:tcW w:type="dxa" w:w="1800"/>
            <w:vAlign w:val="center"/>
          </w:tcPr>
          <w:p>
            <w:r>
              <w:t>Validation</w:t>
            </w:r>
          </w:p>
        </w:tc>
        <w:tc>
          <w:tcPr>
            <w:tcW w:type="dxa" w:w="3900"/>
            <w:vAlign w:val="center"/>
          </w:tcPr>
          <w:p>
            <w:r>
              <w:t>Development catalog</w:t>
            </w:r>
          </w:p>
        </w:tc>
        <w:tc>
          <w:tcPr>
            <w:tcW w:type="dxa" w:w="3660"/>
            <w:vAlign w:val="center"/>
          </w:tcPr>
          <w:p>
            <w:r>
              <w:t>Errors, warnings, information</w:t>
            </w:r>
          </w:p>
        </w:tc>
      </w:tr>
      <w:tr>
        <w:trPr>
          <w:cantSplit/>
        </w:trPr>
        <w:tc>
          <w:tcPr>
            <w:tcW w:type="dxa" w:w="1800"/>
            <w:vAlign w:val="center"/>
          </w:tcPr>
          <w:p>
            <w:r>
              <w:t>Pack builder</w:t>
            </w:r>
          </w:p>
        </w:tc>
        <w:tc>
          <w:tcPr>
            <w:tcW w:type="dxa" w:w="3900"/>
            <w:vAlign w:val="center"/>
          </w:tcPr>
          <w:p>
            <w:r>
              <w:t>Valid catalog</w:t>
            </w:r>
          </w:p>
        </w:tc>
        <w:tc>
          <w:tcPr>
            <w:tcW w:type="dxa" w:w="3660"/>
            <w:vAlign w:val="center"/>
          </w:tcPr>
          <w:p>
            <w:r>
              <w:t>Compact runtime JSON</w:t>
            </w:r>
          </w:p>
        </w:tc>
      </w:tr>
      <w:tr>
        <w:trPr>
          <w:cantSplit/>
        </w:trPr>
        <w:tc>
          <w:tcPr>
            <w:tcW w:type="dxa" w:w="1800"/>
            <w:vAlign w:val="center"/>
          </w:tcPr>
          <w:p>
            <w:r>
              <w:t>Component integration</w:t>
            </w:r>
          </w:p>
        </w:tc>
        <w:tc>
          <w:tcPr>
            <w:tcW w:type="dxa" w:w="3900"/>
            <w:vAlign w:val="center"/>
          </w:tcPr>
          <w:p>
            <w:r>
              <w:t>Project profile, scanner roots, packs</w:t>
            </w:r>
          </w:p>
        </w:tc>
        <w:tc>
          <w:tcPr>
            <w:tcW w:type="dxa" w:w="3660"/>
            <w:vAlign w:val="center"/>
          </w:tcPr>
          <w:p>
            <w:r>
              <w:t>Non-mutating component kit under Studio export</w:t>
            </w:r>
          </w:p>
        </w:tc>
      </w:tr>
      <w:tr>
        <w:trPr>
          <w:cantSplit/>
        </w:trPr>
        <w:tc>
          <w:tcPr>
            <w:tcW w:type="dxa" w:w="1800"/>
            <w:vAlign w:val="center"/>
          </w:tcPr>
          <w:p>
            <w:r>
              <w:t>Advanced integration</w:t>
            </w:r>
          </w:p>
        </w:tc>
        <w:tc>
          <w:tcPr>
            <w:tcW w:type="dxa" w:w="3900"/>
            <w:vAlign w:val="center"/>
          </w:tcPr>
          <w:p>
            <w:r>
              <w:t>Project profile, packs, designated menu</w:t>
            </w:r>
          </w:p>
        </w:tc>
        <w:tc>
          <w:tcPr>
            <w:tcW w:type="dxa" w:w="3660"/>
            <w:vAlign w:val="center"/>
          </w:tcPr>
          <w:p>
            <w:r>
              <w:t>Preview package and transactional change set</w:t>
            </w:r>
          </w:p>
        </w:tc>
      </w:tr>
      <w:tr>
        <w:trPr>
          <w:cantSplit/>
        </w:trPr>
        <w:tc>
          <w:tcPr>
            <w:tcW w:type="dxa" w:w="1800"/>
            <w:vAlign w:val="center"/>
          </w:tcPr>
          <w:p>
            <w:r>
              <w:t>Runtime</w:t>
            </w:r>
          </w:p>
        </w:tc>
        <w:tc>
          <w:tcPr>
            <w:tcW w:type="dxa" w:w="3900"/>
            <w:vAlign w:val="center"/>
          </w:tcPr>
          <w:p>
            <w:r>
              <w:t>Local JSON and per-user preference</w:t>
            </w:r>
          </w:p>
        </w:tc>
        <w:tc>
          <w:tcPr>
            <w:tcW w:type="dxa" w:w="3660"/>
            <w:vAlign w:val="center"/>
          </w:tcPr>
          <w:p>
            <w:r>
              <w:t>Translated existing controls and locale settings</w:t>
            </w:r>
          </w:p>
        </w:tc>
      </w:tr>
    </w:tbl>
    <w:p>
      <w:pPr>
        <w:pStyle w:val="Heading1"/>
      </w:pPr>
      <w:r>
        <w:t>4. Core Data Model and JSON</w:t>
      </w:r>
    </w:p>
    <w:p>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pPr>
        <w:pStyle w:val="Heading2"/>
      </w:pPr>
      <w:r>
        <w:t>4.1 Stable keys</w:t>
      </w:r>
    </w:p>
    <w:p>
      <w:pPr>
        <w:pStyle w:val="ListBullet"/>
      </w:pPr>
      <w:r>
        <w:t>Form properties use form.component.property, for example frmMain.btnSave.Text.</w:t>
      </w:r>
    </w:p>
    <w:p>
      <w:pPr>
        <w:pStyle w:val="ListBullet"/>
      </w:pPr>
      <w:r>
        <w:t>resourcestring entries use the Pascal unit and symbol.</w:t>
      </w:r>
    </w:p>
    <w:p>
      <w:pPr>
        <w:pStyle w:val="ListBullet"/>
      </w:pPr>
      <w:r>
        <w:t>Keys remain stable when wording changes, allowing source-changed detection.</w:t>
      </w:r>
    </w:p>
    <w:p>
      <w:pPr>
        <w:pStyle w:val="ListBullet"/>
      </w:pPr>
      <w:r>
        <w:t>Fallback source text remains in the compiled DFM/FMX or code.</w:t>
      </w:r>
    </w:p>
    <w:p>
      <w:pPr>
        <w:pStyle w:val="Heading2"/>
      </w:pPr>
      <w:r>
        <w:t>4.2 Development catalog</w:t>
      </w:r>
    </w:p>
    <w:p>
      <w:pPr>
        <w:pStyle w:val="CodeBlock"/>
      </w:pPr>
      <w:r>
        <w:t>{</w:t>
        <w:br/>
        <w:t xml:space="preserve">  "schemaVersion": 5,</w:t>
        <w:br/>
        <w:t xml:space="preserve">  "applicationId": "SampleApp",</w:t>
        <w:br/>
        <w:t xml:space="preserve">  "sourceLanguage": "en-US",</w:t>
        <w:br/>
        <w:t xml:space="preserve">  "locale": {"languageCode": "it-IT", "nativeLanguageName": "Italiano"},</w:t>
        <w:br/>
        <w:t xml:space="preserve">  "entries": [{"key": "frmMain.btnSave.Text", "sourceText": "Save",</w:t>
        <w:br/>
        <w:t xml:space="preserve">               "translatedText": "Salva", "status": "machineTranslated",</w:t>
        <w:br/>
        <w:t xml:space="preserve">               "translationOrigin": "google",</w:t>
        <w:br/>
        <w:t xml:space="preserve">               "runtimeApplication": "automatic"}]</w:t>
        <w:br/>
        <w:t>}</w:t>
      </w:r>
    </w:p>
    <w:p>
      <w:pPr>
        <w:pStyle w:val="Heading2"/>
      </w:pPr>
      <w:r>
        <w:t>4.3 Runtime pack</w:t>
      </w:r>
    </w:p>
    <w:p>
      <w:pPr>
        <w:pStyle w:val="CodeBlock"/>
      </w:pPr>
      <w:r>
        <w:t>{</w:t>
        <w:br/>
        <w:t xml:space="preserve">  "schemaVersion": 2,</w:t>
        <w:br/>
        <w:t xml:space="preserve">  "applicationId": "SampleApp",</w:t>
        <w:br/>
        <w:t xml:space="preserve">  "languageCode": "it-IT",</w:t>
        <w:br/>
        <w:t xml:space="preserve">  "language": {"code": "it-IT", "nativeName": "Italiano", "direction": "ltr"},</w:t>
        <w:br/>
        <w:t xml:space="preserve">  "sourceCatalogChecksum": "...",</w:t>
        <w:br/>
        <w:t xml:space="preserve">  "strings": {"frmMain.btnSave.Text": "Salva"},</w:t>
        <w:br/>
        <w:t xml:space="preserve">  "sources": {"frmMain.btnSave.Text": "Save"},</w:t>
        <w:br/>
        <w:t xml:space="preserve">  "sourceStrings": {"Save": "Salva"},</w:t>
        <w:br/>
        <w:t xml:space="preserve">  "sourceTemplates": {}</w:t>
        <w:br/>
        <w:t>}</w:t>
      </w:r>
    </w:p>
    <w:p>
      <w:r>
        <w:t>The schema files are source\schemas\development-project.schema.json and runtime-language-pack.schema.json. Changes require schema-version handling, round-trip fixtures, and compatibility notes.</w:t>
      </w:r>
    </w:p>
    <w:p>
      <w:pPr>
        <w:pStyle w:val="Heading1"/>
      </w:pPr>
      <w:r>
        <w:t>5. Project Detection and Scanning</w:t>
      </w:r>
    </w:p>
    <w:p>
      <w:r>
        <w:t>DAT.Core.ProjectDetection reads project metadata, resolves the DPR, detects VCL or FMX through project/form evidence, records Win32/Win64 support, and enumerates forms and Pascal sources. DAT.Scan.Project coordinates form and Pascal scanners while measuring elapsed milliseconds. Generated folders and nested directories that contain another DPROJ or DPR are excluded so a conversion utility is not mistaken for part of the selected application.</w:t>
      </w:r>
    </w:p>
    <w:p>
      <w:r>
        <w:t>DAT.Scan.FormText parses text DFM/FMX without instantiating target forms, including Delphi multiline string expressions. DAT.Scan.PascalResources extracts resourcestring declarations plus supported runtime UI assignments and Format templates. It rejects SQL and HTML payloads that merely use Text properties. DAT.Scan.TextCodec preserves Delphi text encodings and escaped string syntax. DAT.Scan.Rules centralizes designated property decisions.</w:t>
      </w:r>
    </w:p>
    <w:p>
      <w:pPr>
        <w:pStyle w:val="Heading2"/>
      </w:pPr>
      <w:r>
        <w:t>5.1 Incremental merge</w:t>
      </w:r>
    </w:p>
    <w:p>
      <w:pPr>
        <w:pStyle w:val="ListNumber"/>
        <w:numPr>
          <w:ilvl w:val="0"/>
          <w:numId w:val="10"/>
        </w:numPr>
      </w:pPr>
      <w:r>
        <w:t>Index the existing catalog by stable key.</w:t>
      </w:r>
    </w:p>
    <w:p>
      <w:pPr>
        <w:pStyle w:val="ListNumber"/>
        <w:numPr>
          <w:ilvl w:val="0"/>
          <w:numId w:val="10"/>
        </w:numPr>
      </w:pPr>
      <w:r>
        <w:t>Add unseen keys as needs-translation.</w:t>
      </w:r>
    </w:p>
    <w:p>
      <w:pPr>
        <w:pStyle w:val="ListNumber"/>
        <w:numPr>
          <w:ilvl w:val="0"/>
          <w:numId w:val="10"/>
        </w:numPr>
      </w:pPr>
      <w:r>
        <w:t>Preserve translation and status when source text is unchanged.</w:t>
      </w:r>
    </w:p>
    <w:p>
      <w:pPr>
        <w:pStyle w:val="ListNumber"/>
        <w:numPr>
          <w:ilvl w:val="0"/>
          <w:numId w:val="10"/>
        </w:numPr>
      </w:pPr>
      <w:r>
        <w:t>Preserve existing translation but mark source-changed when source text differs.</w:t>
      </w:r>
    </w:p>
    <w:p>
      <w:pPr>
        <w:pStyle w:val="ListNumber"/>
        <w:numPr>
          <w:ilvl w:val="0"/>
          <w:numId w:val="10"/>
        </w:numPr>
      </w:pPr>
      <w:r>
        <w:t>Mark catalog-only entries obsolete unless excluded.</w:t>
      </w:r>
    </w:p>
    <w:p>
      <w:pPr>
        <w:pStyle w:val="ListNumber"/>
        <w:numPr>
          <w:ilvl w:val="0"/>
          <w:numId w:val="10"/>
        </w:numPr>
      </w:pPr>
      <w:r>
        <w:t>Report new, changed, unchanged, and obsolete counts.</w:t>
      </w:r>
    </w:p>
    <w:p>
      <w:pPr>
        <w:pStyle w:val="Heading1"/>
      </w:pPr>
      <w:r>
        <w:t>6. Studio UI and Workflow State</w:t>
      </w:r>
    </w:p>
    <w:p>
      <w: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r>
        <w:t>Each workflow TLabel explicitly persists HitTest=True. FireMonkey labels default to HitTest=False, which would otherwise pass mouse events through the visible label even when an OnClick event is assigned. The setting remains editable in the Object Inspector.</w:t>
      </w:r>
    </w:p>
    <w:p>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pPr>
        <w:pStyle w:val="Heading2"/>
      </w:pPr>
      <w:r>
        <w:t>6.1 Setup Wizard Architecture</w:t>
      </w:r>
    </w:p>
    <w:p>
      <w:r>
        <w:t>DAT.Studio.SetupWizard is a separate, designer-authored FMX modal form opened by Start Setup Wizard. It is borderless, fixed-size, centered, and deliberately omits menu and system controls. Its nine hidden TabControl pages, including the Deployment Destinations page, left navigation rail, footer controls, labels, dialogs, lists, check boxes, memos, and layout geometry are all persisted in DAT.Studio.SetupWizard.fmx and remain editable in the Form Designer. A designer-authored modal backdrop dims and blocks the Studio while the Wizard is open so the two blue interfaces remain visually distinct.</w:t>
      </w:r>
    </w:p>
    <w:p>
      <w:r>
        <w:t>The Wizard owns isolated project-profile, scan-result, catalog, provider-key, backup, and component-kit state. Steps already reached may be revisited; future steps remain disabled. Changing the project or target language invalidates downstream scan/catalog state. Before final processing, the target project is read only except for an explicitly saved provider credential outside the project. During final processing, navigation and closing are disabled.</w:t>
      </w:r>
    </w:p>
    <w:p>
      <w:r>
        <w:t>Final processing requires confirmation that the target project is closed, creates a timestamped ZIP, translates eligible unresolved entries, saves the development catalog, validates, exports the runtime JSON pack, generates the component kit, deploys packs to existing outputs, and transactionally inserts marked Search Path and PostBuildEvent properties inside Delphi's native Base compiler property group. Base inheritance covers Debug/Release and Win32/Win64. The Wizard never edits target Pascal, form, or DPR files and never writes RAD Studio's package registry.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Wizard regression requirement. </w:t>
            </w:r>
            <w:r>
              <w:t>StudioFormSmokeTests must instantiate the Wizard and verify every primary designer component, including dlgOpenProject. The project-selection access violation of August 10, 2026 was caused by a declared TOpenDialog omitted from the FMX resource; the explicit presence assertion prevents that class of streaming omission from returning.</w:t>
            </w:r>
          </w:p>
        </w:tc>
      </w:tr>
    </w:tbl>
    <w:p>
      <w:pPr>
        <w:pStyle w:val="Heading1"/>
      </w:pPr>
      <w:r>
        <w:t>7. Provider Settings and Secret Storage</w:t>
      </w:r>
    </w:p>
    <w:p>
      <w:r>
        <w:t>DAT.Provider.Settings persists only provider, DeepL plan, remember choice, timeout, and batch size in %LOCALAPPDATA%\DelphiAppTranslationStudio\provider-settings.json. Bounds are normalized to 5-300 seconds and 1-50 strings.</w:t>
      </w:r>
    </w:p>
    <w:p>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Choice</w:t>
            </w:r>
          </w:p>
        </w:tc>
        <w:tc>
          <w:tcPr>
            <w:tcW w:type="dxa" w:w="3900"/>
            <w:shd w:fill="234C80"/>
          </w:tcPr>
          <w:p>
            <w:r>
              <w:rPr>
                <w:b/>
                <w:color w:val="FFFFFF"/>
              </w:rPr>
              <w:t>Persistence</w:t>
            </w:r>
          </w:p>
        </w:tc>
        <w:tc>
          <w:tcPr>
            <w:tcW w:type="dxa" w:w="3660"/>
            <w:shd w:fill="234C80"/>
          </w:tcPr>
          <w:p>
            <w:r>
              <w:rPr>
                <w:b/>
                <w:color w:val="FFFFFF"/>
              </w:rPr>
              <w:t>Replacement behavior</w:t>
            </w:r>
          </w:p>
        </w:tc>
      </w:tr>
      <w:tr>
        <w:trPr>
          <w:cantSplit/>
        </w:trPr>
        <w:tc>
          <w:tcPr>
            <w:tcW w:type="dxa" w:w="1800"/>
            <w:vAlign w:val="center"/>
          </w:tcPr>
          <w:p>
            <w:r>
              <w:t>Remember checked</w:t>
            </w:r>
          </w:p>
        </w:tc>
        <w:tc>
          <w:tcPr>
            <w:tcW w:type="dxa" w:w="3900"/>
            <w:vAlign w:val="center"/>
          </w:tcPr>
          <w:p>
            <w:r>
              <w:t>Windows Credential Manager</w:t>
            </w:r>
          </w:p>
        </w:tc>
        <w:tc>
          <w:tcPr>
            <w:tcW w:type="dxa" w:w="3660"/>
            <w:vAlign w:val="center"/>
          </w:tcPr>
          <w:p>
            <w:r>
              <w:t>Writes/replaces selected provider credential and clears session copy.</w:t>
            </w:r>
          </w:p>
        </w:tc>
      </w:tr>
      <w:tr>
        <w:trPr>
          <w:cantSplit/>
        </w:trPr>
        <w:tc>
          <w:tcPr>
            <w:tcW w:type="dxa" w:w="1800"/>
            <w:vAlign w:val="center"/>
          </w:tcPr>
          <w:p>
            <w:r>
              <w:t>Remember cleared</w:t>
            </w:r>
          </w:p>
        </w:tc>
        <w:tc>
          <w:tcPr>
            <w:tcW w:type="dxa" w:w="3900"/>
            <w:vAlign w:val="center"/>
          </w:tcPr>
          <w:p>
            <w:r>
              <w:t>Process memory only</w:t>
            </w:r>
          </w:p>
        </w:tc>
        <w:tc>
          <w:tcPr>
            <w:tcW w:type="dxa" w:w="3660"/>
            <w:vAlign w:val="center"/>
          </w:tcPr>
          <w:p>
            <w:r>
              <w:t>Deletes selected provider stored credential and retains entered key until shutdown.</w:t>
            </w:r>
          </w:p>
        </w:tc>
      </w:tr>
      <w:tr>
        <w:trPr>
          <w:cantSplit/>
        </w:trPr>
        <w:tc>
          <w:tcPr>
            <w:tcW w:type="dxa" w:w="1800"/>
            <w:vAlign w:val="center"/>
          </w:tcPr>
          <w:p>
            <w:r>
              <w:t>Remove Key</w:t>
            </w:r>
          </w:p>
        </w:tc>
        <w:tc>
          <w:tcPr>
            <w:tcW w:type="dxa" w:w="3900"/>
            <w:vAlign w:val="center"/>
          </w:tcPr>
          <w:p>
            <w:r>
              <w:t>None</w:t>
            </w:r>
          </w:p>
        </w:tc>
        <w:tc>
          <w:tcPr>
            <w:tcW w:type="dxa" w:w="3660"/>
            <w:vAlign w:val="center"/>
          </w:tcPr>
          <w:p>
            <w:r>
              <w:t>Deletes stored and session copies for selected provider.</w:t>
            </w:r>
          </w:p>
        </w:tc>
      </w:tr>
    </w:tbl>
    <w:p>
      <w:pPr>
        <w:pStyle w:val="ListBullet"/>
      </w:pPr>
      <w:r>
        <w:t>The masked edit never displays a stored credential.</w:t>
      </w:r>
    </w:p>
    <w:p>
      <w:pPr>
        <w:pStyle w:val="ListBullet"/>
      </w:pPr>
      <w:r>
        <w:t>The effective key resolves new field text, then session memory, then Credential Manager.</w:t>
      </w:r>
    </w:p>
    <w:p>
      <w:pPr>
        <w:pStyle w:val="ListBullet"/>
      </w:pPr>
      <w:r>
        <w:t>No error message contains the key, request headers, or provider response body.</w:t>
      </w:r>
    </w:p>
    <w:p>
      <w:pPr>
        <w:pStyle w:val="ListBullet"/>
      </w:pPr>
      <w:r>
        <w:t>Credential operations occur only when needed; the form can start without network access.</w:t>
      </w:r>
    </w:p>
    <w:p>
      <w:pPr>
        <w:pStyle w:val="Heading1"/>
      </w:pPr>
      <w:r>
        <w:t>8. Provider HTTP Clients</w:t>
      </w:r>
    </w:p>
    <w:p>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Provider</w:t>
            </w:r>
          </w:p>
        </w:tc>
        <w:tc>
          <w:tcPr>
            <w:tcW w:type="dxa" w:w="2500"/>
            <w:shd w:fill="234C80"/>
          </w:tcPr>
          <w:p>
            <w:r>
              <w:rPr>
                <w:b/>
                <w:color w:val="FFFFFF"/>
              </w:rPr>
              <w:t>Endpoint</w:t>
            </w:r>
          </w:p>
        </w:tc>
        <w:tc>
          <w:tcPr>
            <w:tcW w:type="dxa" w:w="2680"/>
            <w:shd w:fill="234C80"/>
          </w:tcPr>
          <w:p>
            <w:r>
              <w:rPr>
                <w:b/>
                <w:color w:val="FFFFFF"/>
              </w:rPr>
              <w:t>Authentication</w:t>
            </w:r>
          </w:p>
        </w:tc>
        <w:tc>
          <w:tcPr>
            <w:tcW w:type="dxa" w:w="2680"/>
            <w:shd w:fill="234C80"/>
          </w:tcPr>
          <w:p>
            <w:r>
              <w:rPr>
                <w:b/>
                <w:color w:val="FFFFFF"/>
              </w:rPr>
              <w:t>Payload</w:t>
            </w:r>
          </w:p>
        </w:tc>
      </w:tr>
      <w:tr>
        <w:trPr>
          <w:cantSplit/>
        </w:trPr>
        <w:tc>
          <w:tcPr>
            <w:tcW w:type="dxa" w:w="1500"/>
            <w:vAlign w:val="center"/>
          </w:tcPr>
          <w:p>
            <w:r>
              <w:t>DeepL API Free</w:t>
            </w:r>
          </w:p>
        </w:tc>
        <w:tc>
          <w:tcPr>
            <w:tcW w:type="dxa" w:w="2500"/>
            <w:vAlign w:val="center"/>
          </w:tcPr>
          <w:p>
            <w:r>
              <w:t>https://api-free.deepl.com/v2/translate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DeepL API Pro</w:t>
            </w:r>
          </w:p>
        </w:tc>
        <w:tc>
          <w:tcPr>
            <w:tcW w:type="dxa" w:w="2500"/>
            <w:vAlign w:val="center"/>
          </w:tcPr>
          <w:p>
            <w:r>
              <w:t>https://api.deepl.com/v2/translate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Google Basic v2</w:t>
            </w:r>
          </w:p>
        </w:tc>
        <w:tc>
          <w:tcPr>
            <w:tcW w:type="dxa" w:w="2500"/>
            <w:vAlign w:val="center"/>
          </w:tcPr>
          <w:p>
            <w:r>
              <w:t>https://translation.googleapis.com/language/translate/v2</w:t>
            </w:r>
          </w:p>
        </w:tc>
        <w:tc>
          <w:tcPr>
            <w:tcW w:type="dxa" w:w="2680"/>
            <w:vAlign w:val="center"/>
          </w:tcPr>
          <w:p>
            <w:r>
              <w:t>X-Goog-Api-Key</w:t>
            </w:r>
          </w:p>
        </w:tc>
        <w:tc>
          <w:tcPr>
            <w:tcW w:type="dxa" w:w="2680"/>
            <w:vAlign w:val="center"/>
          </w:tcPr>
          <w:p>
            <w:r>
              <w:t>q array, source, target, format=text</w:t>
            </w:r>
          </w:p>
        </w:tc>
      </w:tr>
    </w:tbl>
    <w:p>
      <w:pPr>
        <w:pStyle w:val="Heading2"/>
      </w:pPr>
      <w:r>
        <w:t>8.1 Reliability and cancellation</w:t>
      </w:r>
    </w:p>
    <w:p>
      <w:pPr>
        <w:pStyle w:val="ListBullet"/>
      </w:pPr>
      <w:r>
        <w:t>Batch size is capped at 50 and Google language tags are reduced to base language where appropriate.</w:t>
      </w:r>
    </w:p>
    <w:p>
      <w:pPr>
        <w:pStyle w:val="ListBullet"/>
      </w:pPr>
      <w:r>
        <w:t>DeepL source codes are normalized to two-letter uppercase; targets retain supported regional forms.</w:t>
      </w:r>
    </w:p>
    <w:p>
      <w:pPr>
        <w:pStyle w:val="ListBullet"/>
      </w:pPr>
      <w:r>
        <w:t>DeepL receives a batch context assembled from each entry's inferred UI role and semantic concept. DeepL documents context as unbilled supporting text.</w:t>
      </w:r>
    </w:p>
    <w:p>
      <w:pPr>
        <w:pStyle w:val="ListBullet"/>
      </w:pPr>
      <w:r>
        <w:t>Google Basic v2 has no context or glossary request field. Context is used locally for terminology, memory matching, and ambiguity warnings but is not sent to Google.</w:t>
      </w:r>
    </w:p>
    <w:p>
      <w:pPr>
        <w:pStyle w:val="ListBullet"/>
      </w:pPr>
      <w:r>
        <w:t>HTTP 429 and 5xx responses receive three bounded attempts with short backoff.</w:t>
      </w:r>
    </w:p>
    <w:p>
      <w:pPr>
        <w:pStyle w:val="ListBullet"/>
      </w:pPr>
      <w:r>
        <w:t>Other non-2xx statuses fail immediately with provider, status, and corrective categories.</w:t>
      </w:r>
    </w:p>
    <w:p>
      <w:pPr>
        <w:pStyle w:val="ListBullet"/>
      </w:pPr>
      <w:r>
        <w:t>A cancellation callback is checked between batches.</w:t>
      </w:r>
    </w:p>
    <w:p>
      <w:pPr>
        <w:pStyle w:val="ListBullet"/>
      </w:pPr>
      <w:r>
        <w:t>Test Connection translates one harmless English phrase to Italian.</w:t>
      </w:r>
    </w:p>
    <w:p>
      <w:pPr>
        <w:pStyle w:val="Heading2"/>
      </w:pPr>
      <w:r>
        <w:t>8.2 Official protocol references</w:t>
      </w:r>
    </w:p>
    <w:p>
      <w:pPr>
        <w:pStyle w:val="ListBullet"/>
      </w:pPr>
      <w:r>
        <w:t>DeepL authentication: https://developers.deepl.com/docs/getting-started/auth</w:t>
      </w:r>
    </w:p>
    <w:p>
      <w:pPr>
        <w:pStyle w:val="ListBullet"/>
      </w:pPr>
      <w:r>
        <w:t>DeepL quickstart: https://developers.deepl.com/docs/getting-started/quickstart</w:t>
      </w:r>
    </w:p>
    <w:p>
      <w:pPr>
        <w:pStyle w:val="ListBullet"/>
      </w:pPr>
      <w:r>
        <w:t>Google Basic translate method: https://docs.cloud.google.com/translate/docs/reference/rest/v2/translate</w:t>
      </w:r>
    </w:p>
    <w:p>
      <w:pPr>
        <w:pStyle w:val="ListBullet"/>
      </w:pPr>
      <w:r>
        <w:t>Google Cloud Translation authentication: https://docs.cloud.google.com/translate/docs/authentication</w:t>
      </w:r>
    </w:p>
    <w:p>
      <w:pPr>
        <w:pStyle w:val="ListBullet"/>
      </w:pPr>
      <w:r>
        <w:t>Google API-key best practices: https://docs.cloud.google.com/docs/authentication/api-keys-best-practices</w:t>
      </w:r>
    </w:p>
    <w:p>
      <w:pPr>
        <w:pStyle w:val="Heading1"/>
      </w:pPr>
      <w:r>
        <w:t>9. Automatic Provider Translation and Review</w:t>
      </w:r>
    </w:p>
    <w:p>
      <w:r>
        <w:t>Translate Automatically is the canonical machine-translation path. It validates the selected catalog language, loads the selected provider settings and effective key, counts eligible unresolved entries, and shows the provider and count before any network request.</w:t>
      </w:r>
    </w:p>
    <w:p>
      <w:r>
        <w:t>Every scan entry receives ContextKind, ContextDescription, SemanticConcept, and ContextConfidence metadata. Before a network request, the Studio reuses a Reviewed or Approved translation only when source text and semantic context match, then applies supported vetted UI terminology. The same authoritative terminology repairs unreviewed Google or DeepL drafts when a definitive application term is known, including commands, media playback, schedule terms, weekday abbreviations, and runtime uptime templates. Remaining strings are sent through DAT.Provider.Client in bounded batches. Reviewed, Approved, Edited, Excluded, and Obsolete entries are not overwritten.</w:t>
      </w:r>
    </w:p>
    <w:p>
      <w:r>
        <w:t>DeepL receives contextual descriptions. Google Basic results are tagged provider-basic; short terms with unknown meaning receive a review note. DeepL contextual results are tagged contextual-provider. Terminology and translation-memory results retain their own provenance.</w:t>
      </w:r>
    </w:p>
    <w:p>
      <w:r>
        <w:t>If no key is available, the workflow opens Provider Settings and gives a specific corrective message. HTTP or parsing failures leave the catalog entries unchanged for the failed operation and report a redacted summary in the status card.</w:t>
      </w:r>
    </w:p>
    <w:p>
      <w:r>
        <w:t>CSV interchange and manual editing remain optional alternatives for translation-company collaboration or specialized review, not prerequisites for automatic translation.</w:t>
      </w:r>
    </w:p>
    <w:p>
      <w:r>
        <w:t>The Studio may automatically reuse a Reviewed or Approved translation when both source text and semantic context match. It does not reuse approval state: the new entry remains Machine translated for review. Suggestions remain available for deliberate acceptance of other exact-source candidates.</w:t>
      </w:r>
    </w:p>
    <w:p>
      <w:pPr>
        <w:pStyle w:val="ListBullet"/>
      </w:pPr>
      <w:r>
        <w:t>Mark Reviewed requires nonblank translated text.</w:t>
      </w:r>
    </w:p>
    <w:p>
      <w:pPr>
        <w:pStyle w:val="ListBullet"/>
      </w:pPr>
      <w:r>
        <w:t>Approve requires the entry to have reached Reviewed first.</w:t>
      </w:r>
    </w:p>
    <w:p>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pPr>
        <w:pStyle w:val="ListBullet"/>
      </w:pPr>
      <w:r>
        <w:t>Translation origin is independent of linguistic status.</w:t>
      </w:r>
    </w:p>
    <w:p>
      <w:pPr>
        <w:pStyle w:val="ListBullet"/>
      </w:pPr>
      <w:r>
        <w:t>Inconsistent repeated terms and structural defects form the focused exception queue; a valid machine-translated draft is not itself an error.</w:t>
      </w:r>
    </w:p>
    <w:p>
      <w:pPr>
        <w:pStyle w:val="ListBullet"/>
      </w:pPr>
      <w:r>
        <w:t>Structural validity, linguistic status, automatic runtime coverage, and manual wiring readiness are separate measures.</w:t>
      </w:r>
    </w:p>
    <w:p>
      <w:pPr>
        <w:pStyle w:val="ListBullet"/>
      </w:pPr>
      <w:r>
        <w:t>A Pascal resourcestring remains manual wiring until the developer confirms the generated TranslateText call site.</w:t>
      </w:r>
    </w:p>
    <w:p>
      <w:pPr>
        <w:pStyle w:val="Heading1"/>
      </w:pPr>
      <w:r>
        <w:t>10. Validation and Runtime Pack Export</w:t>
      </w:r>
    </w:p>
    <w:p>
      <w:r>
        <w:t>DAT.Validation.Catalog validates metadata, missing target text, duplicates, changed source, Delphi indexed and sequential Format arguments, accelerators, inconsistent repeated-source terminology within the same semantic context, ambiguous context,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DAT.Core.RuntimePack serializes only runtime-required metadata and strings and records a source-catalog checksum.</w:t>
      </w:r>
    </w:p>
    <w:p>
      <w:r>
        <w:t>Locale data is retained in the runtime pack so DAT.Runtime.Manager can expose a pack-specific TFormatSettings without globally mutating the developer's source code.</w:t>
      </w:r>
    </w:p>
    <w:p>
      <w:pPr>
        <w:pStyle w:val="Heading1"/>
      </w:pPr>
      <w:r>
        <w:t>11. Runtime Engine</w:t>
      </w:r>
    </w:p>
    <w:p>
      <w:r>
        <w:t>DAT.Runtime.LanguagePack loads and discovers JSON packs, checks application identity, rejects empty/invalid packs, canonicalizes native language names, de-duplicates exact locale codes, and suppresses a generic locale when a regional variant exists. Runtime schema 2 retains keyed strings and templates while adding source text, source-string, and source-template indexes; schema 1 packs remain readable. DAT.Runtime.Preference reads/writes the selected locale. DAT.Runtime.Manager owns the active pack, discovery, preference, translation lookup, and locale format settings. The source language loads its generated JSON pack when present and falls back to designer text only for older deployments without that pack.</w:t>
      </w:r>
    </w:p>
    <w:p>
      <w:r>
        <w:t>DAT.Runtime.VCL and DAT.Runtime.FMX traverse existing component trees and supported collection properties. They apply values by stable key to already designer-created controls. The FMX adapter also translates anonymous runtime-created components, grid cell text, and supported browser-generated text through the source indexes. Missing keys retain source text. Accepted JSON layout rules may adjust only the recorded safe properties for the active language; the adapters do not create controls or rewrite Delphi form source.</w:t>
      </w:r>
    </w:p>
    <w:p>
      <w:pPr>
        <w:pStyle w:val="Heading2"/>
      </w:pPr>
      <w:r>
        <w:t>11.1 Component manager core</w:t>
      </w:r>
    </w:p>
    <w:p>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r>
        <w:t>TDATFMXLanguageManager subscribes additively to TFormBeforeShownMessage and TFormReleasedMessage. It translates after streaming but before OnShow/first paint and never replaces a global handler. Its designer-visible AutoRefreshDynamicText and DynamicRefreshInterval properties reapply the active pack to visible forms so timers and application code cannot permanently overwrite translated status text, menu captions, grid headers, or uptime displays.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 before Show.</w:t>
      </w:r>
    </w:p>
    <w:p>
      <w:r>
        <w:t>PreserveControlState protects writable edit/memo data, focus, selection ranges, and list/combo ItemIndex. Collection replacement temporarily suppresses and then restores OnChange. Read-only instructional memo content remains translatable.</w:t>
      </w:r>
    </w:p>
    <w:p>
      <w:pPr>
        <w:pStyle w:val="Heading2"/>
      </w:pPr>
      <w:r>
        <w:t>11.2 Required language-selection UI</w:t>
      </w:r>
    </w:p>
    <w:p>
      <w:r>
        <w:t>TDATVCLLanguageComboBox and TDATFMXLanguageComboBox are the supplied designer-owned language selectors.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 A connected Language menu is permitted instead, but the localized application must expose some visible language-selection UI.</w:t>
      </w:r>
    </w:p>
    <w:p>
      <w:pPr>
        <w:pStyle w:val="Heading2"/>
      </w:pPr>
      <w:r>
        <w:t>11.3 Deployment paths</w:t>
      </w:r>
    </w:p>
    <w:p>
      <w:pPr>
        <w:pStyle w:val="ListBullet"/>
      </w:pPr>
      <w:r>
        <w:t>Packs: &lt;ExecutableDirectory&gt;\Localization\Languages\&lt;locale&gt;.json.</w:t>
      </w:r>
    </w:p>
    <w:p>
      <w:pPr>
        <w:pStyle w:val="ListBullet"/>
      </w:pPr>
      <w:r>
        <w:t>Preference: %LOCALAPPDATA%\&lt;ApplicationId&gt;\language.ini.</w:t>
      </w:r>
    </w:p>
    <w:p>
      <w:pPr>
        <w:pStyle w:val="ListBullet"/>
      </w:pPr>
      <w:r>
        <w:t>Studio preference: %LOCALAPPDATA%\DelphiAppTranslationStudio\language.ini.</w:t>
      </w:r>
    </w:p>
    <w:p>
      <w:pPr>
        <w:pStyle w:val="ListBullet"/>
      </w:pPr>
      <w:r>
        <w:t>Developer catalogs remain in the target source tree under Localization\Development.</w:t>
      </w:r>
    </w:p>
    <w:p>
      <w:pPr>
        <w:pStyle w:val="Heading1"/>
      </w:pPr>
      <w:r>
        <w:t>12. Component Packages and Integration Modes</w:t>
      </w:r>
    </w:p>
    <w:p>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r>
        <w:t>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regenerated from a clean output directory, so they can be replaced without invalidating Delphi's registered package path.</w:t>
      </w:r>
    </w:p>
    <w:p>
      <w: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pPr>
        <w:pStyle w:val="Heading2"/>
      </w:pPr>
      <w:r>
        <w:t>12.1 Component startup contract</w:t>
      </w:r>
    </w:p>
    <w:p>
      <w:pPr>
        <w:pStyle w:val="ListBullet"/>
      </w:pPr>
      <w:r>
        <w:t>The primary form streams one manager through ordinary Delphi designer mechanics.</w:t>
      </w:r>
    </w:p>
    <w:p>
      <w:pPr>
        <w:pStyle w:val="ListBullet"/>
      </w:pPr>
      <w:r>
        <w:t>Loaded initializes the runtime, loads the preferred/source language, and applies the owner.</w:t>
      </w:r>
    </w:p>
    <w:p>
      <w:pPr>
        <w:pStyle w:val="ListBullet"/>
      </w:pPr>
      <w:r>
        <w:t>FMX before-show messages cover later normal, inherited, and popup forms.</w:t>
      </w:r>
    </w:p>
    <w:p>
      <w:pPr>
        <w:pStyle w:val="ListBullet"/>
      </w:pPr>
      <w:r>
        <w:t>VCL idle/modal discovery covers ordinary forms; strict modeless pre-display callers use ApplyToForm.</w:t>
      </w:r>
    </w:p>
    <w:p>
      <w:pPr>
        <w:pStyle w:val="ListBullet"/>
      </w:pPr>
      <w:r>
        <w:t>SelectLanguage applies the pack to currently open forms immediately and persists the locale.</w:t>
      </w:r>
    </w:p>
    <w:p>
      <w:pPr>
        <w:pStyle w:val="ListBullet"/>
      </w:pPr>
      <w:r>
        <w:t>The generated en-US pack makes switching back to source text deterministic.</w:t>
      </w:r>
    </w:p>
    <w:p>
      <w:pPr>
        <w:pStyle w:val="ListBullet"/>
      </w:pPr>
      <w:r>
        <w:t>Manager and lifecycle subscriptions are released deterministically.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pPr>
        <w:pStyle w:val="Heading1"/>
      </w:pPr>
      <w:r>
        <w:t>13. Self-Localization</w:t>
      </w:r>
    </w:p>
    <w:p>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pPr>
        <w:pStyle w:val="Heading1"/>
      </w:pPr>
      <w:r>
        <w:t>14. Error Handling and Diagnostics</w:t>
      </w:r>
    </w:p>
    <w:p>
      <w:pPr>
        <w:pStyle w:val="ListBullet"/>
      </w:pPr>
      <w:r>
        <w:t>Project, scan, catalog, validation, export, integration, credential, and provider errors are caught at Studio event boundaries and summarized in the status card.</w:t>
      </w:r>
    </w:p>
    <w:p>
      <w:pPr>
        <w:pStyle w:val="ListBullet"/>
      </w:pPr>
      <w:r>
        <w:t>Provider exceptions carry an optional HTTP status but not response bodies.</w:t>
      </w:r>
    </w:p>
    <w:p>
      <w:pPr>
        <w:pStyle w:val="ListBullet"/>
      </w:pPr>
      <w:r>
        <w:t>Form scanners return file/line diagnostics without instantiating target UI.</w:t>
      </w:r>
    </w:p>
    <w:p>
      <w:pPr>
        <w:pStyle w:val="ListBullet"/>
      </w:pPr>
      <w:r>
        <w:t>Integration previews show a complete line-numbered exact diff for every affected file before mutation.</w:t>
      </w:r>
    </w:p>
    <w:p>
      <w:pPr>
        <w:pStyle w:val="ListBullet"/>
      </w:pPr>
      <w:r>
        <w:t>Transaction errors trigger rollback and retain backup evidence.</w:t>
      </w:r>
    </w:p>
    <w:p>
      <w:pPr>
        <w:pStyle w:val="ListBullet"/>
      </w:pPr>
      <w:r>
        <w:t>Provider keys must never be added to troubleshooting logs.</w:t>
      </w:r>
    </w:p>
    <w:p>
      <w:pPr>
        <w:pStyle w:val="Heading1"/>
      </w:pPr>
      <w:r>
        <w:t>15. Test Strategy and Verified Matrix</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Test</w:t>
            </w:r>
          </w:p>
        </w:tc>
        <w:tc>
          <w:tcPr>
            <w:tcW w:type="dxa" w:w="6660"/>
            <w:shd w:fill="234C80"/>
          </w:tcPr>
          <w:p>
            <w:r>
              <w:rPr>
                <w:b/>
                <w:color w:val="FFFFFF"/>
              </w:rPr>
              <w:t>Coverage</w:t>
            </w:r>
          </w:p>
        </w:tc>
      </w:tr>
      <w:tr>
        <w:trPr>
          <w:cantSplit/>
        </w:trPr>
        <w:tc>
          <w:tcPr>
            <w:tcW w:type="dxa" w:w="2700"/>
            <w:vAlign w:val="center"/>
          </w:tcPr>
          <w:p>
            <w:r>
              <w:t>FoundationSmokeTests</w:t>
            </w:r>
          </w:p>
        </w:tc>
        <w:tc>
          <w:tcPr>
            <w:tcW w:type="dxa" w:w="6660"/>
            <w:vAlign w:val="center"/>
          </w:tcPr>
          <w:p>
            <w:r>
              <w:t>Detection, deterministic cancellable scan, duplicate/conflict handling, schema/provenance round-trip, atomic persistence/recovery, strict pack admission, saved-preference fallback, provider contracts, review/approval, validation, runtime pack, preference, integration, and Studio responsiveness contracts.</w:t>
            </w:r>
          </w:p>
        </w:tc>
      </w:tr>
      <w:tr>
        <w:trPr>
          <w:cantSplit/>
        </w:trPr>
        <w:tc>
          <w:tcPr>
            <w:tcW w:type="dxa" w:w="2700"/>
            <w:vAlign w:val="center"/>
          </w:tcPr>
          <w:p>
            <w:r>
              <w:t>Language manager suites</w:t>
            </w:r>
          </w:p>
        </w:tc>
        <w:tc>
          <w:tcPr>
            <w:tcW w:type="dxa" w:w="6660"/>
            <w:vAlign w:val="center"/>
          </w:tcPr>
          <w:p>
            <w:r>
              <w:t>Core guards/generations, FMX before-show lifecycle, VCL discovery/modal boundary, stable identities, instant switching, state preservation, and deterministic cleanup on Win32/Win64.</w:t>
            </w:r>
          </w:p>
        </w:tc>
      </w:tr>
      <w:tr>
        <w:trPr>
          <w:cantSplit/>
        </w:trPr>
        <w:tc>
          <w:tcPr>
            <w:tcW w:type="dxa" w:w="2700"/>
            <w:vAlign w:val="center"/>
          </w:tcPr>
          <w:p>
            <w:r>
              <w:t>Package/selector suites</w:t>
            </w:r>
          </w:p>
        </w:tc>
        <w:tc>
          <w:tcPr>
            <w:tcW w:type="dxa" w:w="6660"/>
            <w:vAlign w:val="center"/>
          </w:tcPr>
          <w:p>
            <w:r>
              <w:t>Debug and Release runtime/design packages, DFM/FMX streaming, typed manager references, pack discovery, and selector language propagation on Win32/Win64.</w:t>
            </w:r>
          </w:p>
        </w:tc>
      </w:tr>
      <w:tr>
        <w:trPr>
          <w:cantSplit/>
        </w:trPr>
        <w:tc>
          <w:tcPr>
            <w:tcW w:type="dxa" w:w="2700"/>
            <w:vAlign w:val="center"/>
          </w:tcPr>
          <w:p>
            <w:r>
              <w:t>VCLRuntimeSmokeTests</w:t>
            </w:r>
          </w:p>
        </w:tc>
        <w:tc>
          <w:tcPr>
            <w:tcW w:type="dxa" w:w="6660"/>
            <w:vAlign w:val="center"/>
          </w:tcPr>
          <w:p>
            <w:r>
              <w:t>VCL controls, menu items, locale, generated unit.</w:t>
            </w:r>
          </w:p>
        </w:tc>
      </w:tr>
      <w:tr>
        <w:trPr>
          <w:cantSplit/>
        </w:trPr>
        <w:tc>
          <w:tcPr>
            <w:tcW w:type="dxa" w:w="2700"/>
            <w:vAlign w:val="center"/>
          </w:tcPr>
          <w:p>
            <w:r>
              <w:t>FMXRuntimeSmokeTests</w:t>
            </w:r>
          </w:p>
        </w:tc>
        <w:tc>
          <w:tcPr>
            <w:tcW w:type="dxa" w:w="6660"/>
            <w:vAlign w:val="center"/>
          </w:tcPr>
          <w:p>
            <w:r>
              <w:t>All representative FMX form properties, menu items, locale, generated unit.</w:t>
            </w:r>
          </w:p>
        </w:tc>
      </w:tr>
      <w:tr>
        <w:trPr>
          <w:cantSplit/>
        </w:trPr>
        <w:tc>
          <w:tcPr>
            <w:tcW w:type="dxa" w:w="2700"/>
            <w:vAlign w:val="center"/>
          </w:tcPr>
          <w:p>
            <w:r>
              <w:t>StudioFormSmokeTests</w:t>
            </w:r>
          </w:p>
        </w:tc>
        <w:tc>
          <w:tcPr>
            <w:tcW w:type="dxa" w:w="6660"/>
            <w:vAlign w:val="center"/>
          </w:tcPr>
          <w:p>
            <w:r>
              <w:t>Direct FMX stream/create, maximized client-aligned pages, provider-only automatic-translation controls, exact-review controls, linguistic action wiring, and Provider Settings activation.</w:t>
            </w:r>
          </w:p>
        </w:tc>
      </w:tr>
      <w:tr>
        <w:trPr>
          <w:cantSplit/>
        </w:trPr>
        <w:tc>
          <w:tcPr>
            <w:tcW w:type="dxa" w:w="2700"/>
            <w:vAlign w:val="center"/>
          </w:tcPr>
          <w:p>
            <w:r>
              <w:t>RunRuntimeSmokeTests.ps1</w:t>
            </w:r>
          </w:p>
        </w:tc>
        <w:tc>
          <w:tcPr>
            <w:tcW w:type="dxa" w:w="6660"/>
            <w:vAlign w:val="center"/>
          </w:tcPr>
          <w:p>
            <w:r>
              <w:t>Both compilers, scanner/catalog/provider contracts, disposable integrated VCL/FMX builds, deployed Italian pack, and required Italian launch title.</w:t>
            </w:r>
          </w:p>
        </w:tc>
      </w:tr>
      <w:tr>
        <w:trPr>
          <w:cantSplit/>
        </w:trPr>
        <w:tc>
          <w:tcPr>
            <w:tcW w:type="dxa" w:w="2700"/>
            <w:vAlign w:val="center"/>
          </w:tcPr>
          <w:p>
            <w:r>
              <w:t>RunStudioLaunchSmokeTests.ps1</w:t>
            </w:r>
          </w:p>
        </w:tc>
        <w:tc>
          <w:tcPr>
            <w:tcW w:type="dxa" w:w="6660"/>
            <w:vAlign w:val="center"/>
          </w:tcPr>
          <w:p>
            <w:r>
              <w:t>Debug/Release Win32/Win64 real main-window title.</w:t>
            </w:r>
          </w:p>
        </w:tc>
      </w:tr>
      <w:tr>
        <w:trPr>
          <w:cantSplit/>
        </w:trPr>
        <w:tc>
          <w:tcPr>
            <w:tcW w:type="dxa" w:w="2700"/>
            <w:vAlign w:val="center"/>
          </w:tcPr>
          <w:p>
            <w:r>
              <w:t>RunStudioSelfLocalizationSmokeTest.ps1</w:t>
            </w:r>
          </w:p>
        </w:tc>
        <w:tc>
          <w:tcPr>
            <w:tcW w:type="dxa" w:w="6660"/>
            <w:vAlign w:val="center"/>
          </w:tcPr>
          <w:p>
            <w:r>
              <w:t>Source and translated Studio packs, strict compatibility, all four configurations, and state restoration.</w:t>
            </w:r>
          </w:p>
        </w:tc>
      </w:tr>
      <w:tr>
        <w:trPr>
          <w:cantSplit/>
        </w:trPr>
        <w:tc>
          <w:tcPr>
            <w:tcW w:type="dxa" w:w="2700"/>
            <w:vAlign w:val="center"/>
          </w:tcPr>
          <w:p>
            <w:r>
              <w:t>RunPhase10ReleaseValidation.ps1</w:t>
            </w:r>
          </w:p>
        </w:tc>
        <w:tc>
          <w:tcPr>
            <w:tcW w:type="dxa" w:w="6660"/>
            <w:vAlign w:val="center"/>
          </w:tcPr>
          <w:p>
            <w:r>
              <w:t>Debug/Release Win32/Win64 packages and Studio builds, runtime suites, streaming, launch, self-localization, deployed pilots, and release guards.</w:t>
            </w:r>
          </w:p>
        </w:tc>
      </w:tr>
    </w:tbl>
    <w:p>
      <w:r>
        <w:t>The August 27, 2026 stabilization gate requires the complete verification harness and Phase 10 release validation to pass without interruption. The gate covers Debug and Release packages, Win32/Win64 manager suites, scanner/catalog/provider contracts, atomic persistence and recovery, strict packs, component non-mutation, runtime and advanced integration, Studio builds, direct FMX form streaming, launch, self-localization, and disposable real-application pilots.</w:t>
      </w:r>
    </w:p>
    <w:p>
      <w:pPr>
        <w:pStyle w:val="Heading2"/>
      </w:pPr>
      <w:r>
        <w:t>15.1 Optional live provider testing</w:t>
      </w:r>
    </w:p>
    <w:p>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pPr>
        <w:pStyle w:val="Heading1"/>
      </w:pPr>
      <w:r>
        <w:t>16. Security Review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Threat</w:t>
            </w:r>
          </w:p>
        </w:tc>
        <w:tc>
          <w:tcPr>
            <w:tcW w:type="dxa" w:w="6660"/>
            <w:shd w:fill="234C80"/>
          </w:tcPr>
          <w:p>
            <w:r>
              <w:rPr>
                <w:b/>
                <w:color w:val="FFFFFF"/>
              </w:rPr>
              <w:t>Control</w:t>
            </w:r>
          </w:p>
        </w:tc>
      </w:tr>
      <w:tr>
        <w:trPr>
          <w:cantSplit/>
        </w:trPr>
        <w:tc>
          <w:tcPr>
            <w:tcW w:type="dxa" w:w="2700"/>
            <w:vAlign w:val="center"/>
          </w:tcPr>
          <w:p>
            <w:r>
              <w:t>Key committed to Git</w:t>
            </w:r>
          </w:p>
        </w:tc>
        <w:tc>
          <w:tcPr>
            <w:tcW w:type="dxa" w:w="6660"/>
            <w:vAlign w:val="center"/>
          </w:tcPr>
          <w:p>
            <w:r>
              <w:t>No key field in settings JSON/catalogs; Credential Manager or memory only; release secret scan.</w:t>
            </w:r>
          </w:p>
        </w:tc>
      </w:tr>
      <w:tr>
        <w:trPr>
          <w:cantSplit/>
        </w:trPr>
        <w:tc>
          <w:tcPr>
            <w:tcW w:type="dxa" w:w="2700"/>
            <w:vAlign w:val="center"/>
          </w:tcPr>
          <w:p>
            <w:r>
              <w:t>Key leaked through URL/log</w:t>
            </w:r>
          </w:p>
        </w:tc>
        <w:tc>
          <w:tcPr>
            <w:tcW w:type="dxa" w:w="6660"/>
            <w:vAlign w:val="center"/>
          </w:tcPr>
          <w:p>
            <w:r>
              <w:t>Authentication headers, redacted errors, no body/header logging.</w:t>
            </w:r>
          </w:p>
        </w:tc>
      </w:tr>
      <w:tr>
        <w:trPr>
          <w:cantSplit/>
        </w:trPr>
        <w:tc>
          <w:tcPr>
            <w:tcW w:type="dxa" w:w="2700"/>
            <w:vAlign w:val="center"/>
          </w:tcPr>
          <w:p>
            <w:r>
              <w:t>Wrong target changed</w:t>
            </w:r>
          </w:p>
        </w:tc>
        <w:tc>
          <w:tcPr>
            <w:tcW w:type="dxa" w:w="6660"/>
            <w:vAlign w:val="center"/>
          </w:tcPr>
          <w:p>
            <w:r>
              <w:t>Recommended component kit has no target-write path; advanced mode uses profile display, preview, and explicit Apply.</w:t>
            </w:r>
          </w:p>
        </w:tc>
      </w:tr>
      <w:tr>
        <w:trPr>
          <w:cantSplit/>
        </w:trPr>
        <w:tc>
          <w:tcPr>
            <w:tcW w:type="dxa" w:w="2700"/>
            <w:vAlign w:val="center"/>
          </w:tcPr>
          <w:p>
            <w:r>
              <w:t>Unrecoverable source mutation</w:t>
            </w:r>
          </w:p>
        </w:tc>
        <w:tc>
          <w:tcPr>
            <w:tcW w:type="dxa" w:w="6660"/>
            <w:vAlign w:val="center"/>
          </w:tcPr>
          <w:p>
            <w:r>
              <w:t>Verified G-drive project backup by workflow policy plus transaction backup/manifest/restore.</w:t>
            </w:r>
          </w:p>
        </w:tc>
      </w:tr>
      <w:tr>
        <w:trPr>
          <w:cantSplit/>
        </w:trPr>
        <w:tc>
          <w:tcPr>
            <w:tcW w:type="dxa" w:w="2700"/>
            <w:vAlign w:val="center"/>
          </w:tcPr>
          <w:p>
            <w:r>
              <w:t>Installed-folder write failure</w:t>
            </w:r>
          </w:p>
        </w:tc>
        <w:tc>
          <w:tcPr>
            <w:tcW w:type="dxa" w:w="6660"/>
            <w:vAlign w:val="center"/>
          </w:tcPr>
          <w:p>
            <w:r>
              <w:t>Per-user language preference; packs are read-only deployment assets.</w:t>
            </w:r>
          </w:p>
        </w:tc>
      </w:tr>
      <w:tr>
        <w:trPr>
          <w:cantSplit/>
        </w:trPr>
        <w:tc>
          <w:tcPr>
            <w:tcW w:type="dxa" w:w="2700"/>
            <w:vAlign w:val="center"/>
          </w:tcPr>
          <w:p>
            <w:r>
              <w:t>Machine mistranslation shipped</w:t>
            </w:r>
          </w:p>
        </w:tc>
        <w:tc>
          <w:tcPr>
            <w:tcW w:type="dxa" w:w="6660"/>
            <w:vAlign w:val="center"/>
          </w:tcPr>
          <w:p>
            <w:r>
              <w:t>Machine-translated status, validation, required human review.</w:t>
            </w:r>
          </w:p>
        </w:tc>
      </w:tr>
      <w:tr>
        <w:trPr>
          <w:cantSplit/>
        </w:trPr>
        <w:tc>
          <w:tcPr>
            <w:tcW w:type="dxa" w:w="2700"/>
            <w:vAlign w:val="center"/>
          </w:tcPr>
          <w:p>
            <w:r>
              <w:t>Pack for wrong application</w:t>
            </w:r>
          </w:p>
        </w:tc>
        <w:tc>
          <w:tcPr>
            <w:tcW w:type="dxa" w:w="6660"/>
            <w:vAlign w:val="center"/>
          </w:tcPr>
          <w:p>
            <w:r>
              <w:t>applicationId validation in pack discovery/loading.</w:t>
            </w:r>
          </w:p>
        </w:tc>
      </w:tr>
    </w:tbl>
    <w:p>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pPr>
        <w:pStyle w:val="Heading1"/>
      </w:pPr>
      <w:r>
        <w:t>17. Release and Contribution Workflow</w:t>
      </w:r>
    </w:p>
    <w:p>
      <w:pPr>
        <w:pStyle w:val="ListNumber"/>
        <w:numPr>
          <w:ilvl w:val="0"/>
          <w:numId w:val="11"/>
        </w:numPr>
      </w:pPr>
      <w:r>
        <w:t>Read global and repository directives.</w:t>
      </w:r>
    </w:p>
    <w:p>
      <w:pPr>
        <w:pStyle w:val="ListNumber"/>
        <w:numPr>
          <w:ilvl w:val="0"/>
          <w:numId w:val="11"/>
        </w:numPr>
      </w:pPr>
      <w:r>
        <w:t>Confirm the exact requested scope and make a pre-change backup when changes are approved.</w:t>
      </w:r>
    </w:p>
    <w:p>
      <w:pPr>
        <w:pStyle w:val="ListNumber"/>
        <w:numPr>
          <w:ilvl w:val="0"/>
          <w:numId w:val="11"/>
        </w:numPr>
      </w:pPr>
      <w:r>
        <w:t>Keep UI edits in the FMX designer resource and source event logic separate.</w:t>
      </w:r>
    </w:p>
    <w:p>
      <w:pPr>
        <w:pStyle w:val="ListNumber"/>
        <w:numPr>
          <w:ilvl w:val="0"/>
          <w:numId w:val="11"/>
        </w:numPr>
      </w:pPr>
      <w:r>
        <w:t>Add deterministic tests without credentials.</w:t>
      </w:r>
    </w:p>
    <w:p>
      <w:pPr>
        <w:pStyle w:val="ListNumber"/>
        <w:numPr>
          <w:ilvl w:val="0"/>
          <w:numId w:val="11"/>
        </w:numPr>
      </w:pPr>
      <w:r>
        <w:t>Run Win32/Win64 Debug/Release builds elevated.</w:t>
      </w:r>
    </w:p>
    <w:p>
      <w:pPr>
        <w:pStyle w:val="ListNumber"/>
        <w:numPr>
          <w:ilvl w:val="0"/>
          <w:numId w:val="11"/>
        </w:numPr>
      </w:pPr>
      <w:r>
        <w:t>Run runtime, form-streaming, launch, and self-localization suites.</w:t>
      </w:r>
    </w:p>
    <w:p>
      <w:pPr>
        <w:pStyle w:val="ListNumber"/>
        <w:numPr>
          <w:ilvl w:val="0"/>
          <w:numId w:val="11"/>
        </w:numPr>
      </w:pPr>
      <w:r>
        <w:t>Update phase notes, help, User Guide, Engineering Guide, real TOCs, PDFs, and visual QA.</w:t>
      </w:r>
    </w:p>
    <w:p>
      <w:pPr>
        <w:pStyle w:val="ListNumber"/>
        <w:numPr>
          <w:ilvl w:val="0"/>
          <w:numId w:val="11"/>
        </w:numPr>
      </w:pPr>
      <w:r>
        <w:t>Check for a stale zero-byte .git\index.lock with no Git process.</w:t>
      </w:r>
    </w:p>
    <w:p>
      <w:pPr>
        <w:pStyle w:val="ListNumber"/>
        <w:numPr>
          <w:ilvl w:val="0"/>
          <w:numId w:val="11"/>
        </w:numPr>
      </w:pPr>
      <w:r>
        <w:t>Review status, stage only intended files, commit clearly, and push every configured remote.</w:t>
      </w:r>
    </w:p>
    <w:p>
      <w:pPr>
        <w:pStyle w:val="Heading1"/>
      </w:pPr>
      <w:r>
        <w:t>18. Known Boundaries and Future-Compatible Design</w:t>
      </w:r>
    </w:p>
    <w:p>
      <w:pPr>
        <w:pStyle w:val="ListBullet"/>
      </w:pPr>
      <w:r>
        <w:t>Only Windows Win32/Win64 Delphi applications are supported.</w:t>
      </w:r>
    </w:p>
    <w:p>
      <w:pPr>
        <w:pStyle w:val="ListBullet"/>
      </w:pPr>
      <w:r>
        <w:t>Google Advanced v3, OAuth/service-account workflows, and other providers are not implemented.</w:t>
      </w:r>
    </w:p>
    <w:p>
      <w:pPr>
        <w:pStyle w:val="ListBullet"/>
      </w:pPr>
      <w:r>
        <w:t>Provider operations are explicit Studio actions; target runtime remains offline.</w:t>
      </w:r>
    </w:p>
    <w:p>
      <w:pPr>
        <w:pStyle w:val="ListBullet"/>
      </w:pPr>
      <w:r>
        <w:t>Automatic layout acceptance is intentionally limited to relative, reversible adjustments. Absolute geometry, deliberately positioned artwork, and grid-column widths require a reviewed layout decision.</w:t>
      </w:r>
    </w:p>
    <w:p>
      <w:pPr>
        <w:pStyle w:val="ListBullet"/>
      </w:pPr>
      <w:r>
        <w:t>Binary DFM conversion is outside the scanner.</w:t>
      </w:r>
    </w:p>
    <w:p>
      <w:pPr>
        <w:pStyle w:val="ListBullet"/>
      </w:pPr>
      <w:r>
        <w:t>Automatic runtime application covers scanned designer properties. Application-specific strings still require the documented TranslateText wiring.</w:t>
      </w:r>
    </w:p>
    <w:p>
      <w:pPr>
        <w:pStyle w:val="ListBullet"/>
      </w:pPr>
      <w:r>
        <w:t>VCL dynamic modeless forms may paint once in source language before idle discovery; call ApplyToForm before Show when a no-flicker first display is mandatory.</w:t>
      </w:r>
    </w:p>
    <w:p>
      <w:pPr>
        <w:pStyle w:val="ListBullet"/>
      </w:pPr>
      <w:r>
        <w:t>Provider account terms and language support are external and must be rechecked for each release.</w:t>
      </w:r>
    </w:p>
    <w:p>
      <w:pPr>
        <w:pStyle w:val="Heading1"/>
      </w:pPr>
      <w:r>
        <w:t>19. Documentation Generation</w:t>
      </w:r>
    </w:p>
    <w:p>
      <w:r>
        <w:t>The editable guides are generated from actual source and engineering notes with python-docx. Each DOCX contains a real TOC field, a dedicated TOC section, and a new-page content section. LibreOffice performs the approved headless PDF conversion with an isolated user profile. Microsoft Word is not used. Every final PDF is rendered to page images and inspected before release.</w:t>
      </w:r>
    </w:p>
    <w:p>
      <w:pPr>
        <w:pStyle w:val="Heading1"/>
      </w:pPr>
      <w:r>
        <w:t>20. Source References</w:t>
      </w:r>
    </w:p>
    <w:p>
      <w:pPr>
        <w:pStyle w:val="ListBullet"/>
      </w:pPr>
      <w:r>
        <w:t>Repository source, forms, project metadata, schemas, and smoke tests as of August 27, 2026.</w:t>
      </w:r>
    </w:p>
    <w:p>
      <w:pPr>
        <w:pStyle w:val="ListBullet"/>
      </w:pPr>
      <w:r>
        <w:t>Microsoft credential handling: https://learn.microsoft.com/en-us/windows/win32/secbp/handling-passwords</w:t>
      </w:r>
    </w:p>
    <w:p>
      <w:pPr>
        <w:pStyle w:val="ListBullet"/>
      </w:pPr>
      <w:r>
        <w:t>Windows CREDENTIAL structure: https://learn.microsoft.com/en-us/windows/win32/api/wincred/ns-wincred-credentialw</w:t>
      </w:r>
    </w:p>
    <w:p>
      <w:pPr>
        <w:pStyle w:val="ListBullet"/>
      </w:pPr>
      <w:r>
        <w:t>DeepL developer documentation: https://developers.deepl.com/docs/getting-started/auth</w:t>
      </w:r>
    </w:p>
    <w:p>
      <w:pPr>
        <w:pStyle w:val="ListBullet"/>
      </w:pPr>
      <w:r>
        <w:t>Google Cloud Translation documentation: https://docs.cloud.google.com/translate/docs/authentication</w:t>
      </w:r>
    </w:p>
    <w:p>
      <w:pPr>
        <w:pStyle w:val="ListBullet"/>
      </w:pPr>
      <w:r>
        <w:t>Google API-key guidance: https://docs.cloud.google.com/docs/authentication/api-keys-best-practices</w:t>
      </w:r>
    </w:p>
    <w:p>
      <w:pPr>
        <w:pStyle w:val="Heading1"/>
      </w:pPr>
      <w:r>
        <w:t>21. Total Stabilization Contracts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Contract</w:t>
            </w:r>
          </w:p>
        </w:tc>
        <w:tc>
          <w:tcPr>
            <w:tcW w:type="dxa" w:w="3900"/>
            <w:shd w:fill="234C80"/>
          </w:tcPr>
          <w:p>
            <w:r>
              <w:rPr>
                <w:b/>
                <w:color w:val="FFFFFF"/>
              </w:rPr>
              <w:t>Required behavior</w:t>
            </w:r>
          </w:p>
        </w:tc>
        <w:tc>
          <w:tcPr>
            <w:tcW w:type="dxa" w:w="3660"/>
            <w:shd w:fill="234C80"/>
          </w:tcPr>
          <w:p>
            <w:r>
              <w:rPr>
                <w:b/>
                <w:color w:val="FFFFFF"/>
              </w:rPr>
              <w:t>Primary verification</w:t>
            </w:r>
          </w:p>
        </w:tc>
      </w:tr>
      <w:tr>
        <w:trPr>
          <w:cantSplit/>
        </w:trPr>
        <w:tc>
          <w:tcPr>
            <w:tcW w:type="dxa" w:w="1800"/>
            <w:vAlign w:val="center"/>
          </w:tcPr>
          <w:p>
            <w:r>
              <w:t>Persistence</w:t>
            </w:r>
          </w:p>
        </w:tc>
        <w:tc>
          <w:tcPr>
            <w:tcW w:type="dxa" w:w="3900"/>
            <w:vAlign w:val="center"/>
          </w:tcPr>
          <w:p>
            <w:r>
              <w:t>Write to staging, validate, atomically replace, retain one recoverable previous file, and quarantine invalid current data.</w:t>
            </w:r>
          </w:p>
        </w:tc>
        <w:tc>
          <w:tcPr>
            <w:tcW w:type="dxa" w:w="3660"/>
            <w:vAlign w:val="center"/>
          </w:tcPr>
          <w:p>
            <w:r>
              <w:t>AtomicPersistenceSmokeTests and FoundationSmokeTests</w:t>
            </w:r>
          </w:p>
        </w:tc>
      </w:tr>
      <w:tr>
        <w:trPr>
          <w:cantSplit/>
        </w:trPr>
        <w:tc>
          <w:tcPr>
            <w:tcW w:type="dxa" w:w="1800"/>
            <w:vAlign w:val="center"/>
          </w:tcPr>
          <w:p>
            <w:r>
              <w:t>Pack admission</w:t>
            </w:r>
          </w:p>
        </w:tc>
        <w:tc>
          <w:tcPr>
            <w:tcW w:type="dxa" w:w="3900"/>
            <w:vAlign w:val="center"/>
          </w:tcPr>
          <w:p>
            <w:r>
              <w:t>Reject duplicate keys, wrong locale/file name, wrong application/framework/version, checksum failure, and missing compatible source pack.</w:t>
            </w:r>
          </w:p>
        </w:tc>
        <w:tc>
          <w:tcPr>
            <w:tcW w:type="dxa" w:w="3660"/>
            <w:vAlign w:val="center"/>
          </w:tcPr>
          <w:p>
            <w:r>
              <w:t>LanguageManagerCoreTests and runtime suites</w:t>
            </w:r>
          </w:p>
        </w:tc>
      </w:tr>
      <w:tr>
        <w:trPr>
          <w:cantSplit/>
        </w:trPr>
        <w:tc>
          <w:tcPr>
            <w:tcW w:type="dxa" w:w="1800"/>
            <w:vAlign w:val="center"/>
          </w:tcPr>
          <w:p>
            <w:r>
              <w:t>Startup preference</w:t>
            </w:r>
          </w:p>
        </w:tc>
        <w:tc>
          <w:tcPr>
            <w:tcW w:type="dxa" w:w="3900"/>
            <w:vAlign w:val="center"/>
          </w:tcPr>
          <w:p>
            <w:r>
              <w:t>A stale or incompatible saved locale falls back to the validated source language and repairs the preference.</w:t>
            </w:r>
          </w:p>
        </w:tc>
        <w:tc>
          <w:tcPr>
            <w:tcW w:type="dxa" w:w="3660"/>
            <w:vAlign w:val="center"/>
          </w:tcPr>
          <w:p>
            <w:r>
              <w:t>FoundationSmokeTests</w:t>
            </w:r>
          </w:p>
        </w:tc>
      </w:tr>
      <w:tr>
        <w:trPr>
          <w:cantSplit/>
        </w:trPr>
        <w:tc>
          <w:tcPr>
            <w:tcW w:type="dxa" w:w="1800"/>
            <w:vAlign w:val="center"/>
          </w:tcPr>
          <w:p>
            <w:r>
              <w:t>Lifecycle</w:t>
            </w:r>
          </w:p>
        </w:tc>
        <w:tc>
          <w:tcPr>
            <w:tcW w:type="dxa" w:w="3900"/>
            <w:vAlign w:val="center"/>
          </w:tcPr>
          <w:p>
            <w:r>
              <w:t>One manager, deterministic registration/removal, FMX before-show, VCL explicit pre-display call where the framework has no universal additive hook, and no post-show replay loop.</w:t>
            </w:r>
          </w:p>
        </w:tc>
        <w:tc>
          <w:tcPr>
            <w:tcW w:type="dxa" w:w="3660"/>
            <w:vAlign w:val="center"/>
          </w:tcPr>
          <w:p>
            <w:r>
              <w:t>VCL/FMX manager and lifecycle suites</w:t>
            </w:r>
          </w:p>
        </w:tc>
      </w:tr>
      <w:tr>
        <w:trPr>
          <w:cantSplit/>
        </w:trPr>
        <w:tc>
          <w:tcPr>
            <w:tcW w:type="dxa" w:w="1800"/>
            <w:vAlign w:val="center"/>
          </w:tcPr>
          <w:p>
            <w:r>
              <w:t>Direction</w:t>
            </w:r>
          </w:p>
        </w:tc>
        <w:tc>
          <w:tcPr>
            <w:tcW w:type="dxa" w:w="3900"/>
            <w:vAlign w:val="center"/>
          </w:tcPr>
          <w:p>
            <w:r>
              <w:t>Every switch starts from the persisted designer baseline, applies exactly one LTR or RTL transformation, and restores menu, status, input, grid, and container direction.</w:t>
            </w:r>
          </w:p>
        </w:tc>
        <w:tc>
          <w:tcPr>
            <w:tcW w:type="dxa" w:w="3660"/>
            <w:vAlign w:val="center"/>
          </w:tcPr>
          <w:p>
            <w:r>
              <w:t>Layout contracts plus VCL/FMX runtime tests</w:t>
            </w:r>
          </w:p>
        </w:tc>
      </w:tr>
      <w:tr>
        <w:trPr>
          <w:cantSplit/>
        </w:trPr>
        <w:tc>
          <w:tcPr>
            <w:tcW w:type="dxa" w:w="1800"/>
            <w:vAlign w:val="center"/>
          </w:tcPr>
          <w:p>
            <w:r>
              <w:t>Layout</w:t>
            </w:r>
          </w:p>
        </w:tc>
        <w:tc>
          <w:tcPr>
            <w:tcW w:type="dxa" w:w="3900"/>
            <w:vAlign w:val="center"/>
          </w:tcPr>
          <w:p>
            <w:r>
              <w:t>Only relative and reversible proposals may be auto-accepted; absolute geometry and grid widths remain reviewed decisions.</w:t>
            </w:r>
          </w:p>
        </w:tc>
        <w:tc>
          <w:tcPr>
            <w:tcW w:type="dxa" w:w="3660"/>
            <w:vAlign w:val="center"/>
          </w:tcPr>
          <w:p>
            <w:r>
              <w:t>Layout contract fixtures</w:t>
            </w:r>
          </w:p>
        </w:tc>
      </w:tr>
      <w:tr>
        <w:trPr>
          <w:cantSplit/>
        </w:trPr>
        <w:tc>
          <w:tcPr>
            <w:tcW w:type="dxa" w:w="1800"/>
            <w:vAlign w:val="center"/>
          </w:tcPr>
          <w:p>
            <w:r>
              <w:t>HTML</w:t>
            </w:r>
          </w:p>
        </w:tc>
        <w:tc>
          <w:tcPr>
            <w:tcW w:type="dxa" w:w="3900"/>
            <w:vAlign w:val="center"/>
          </w:tcPr>
          <w:p>
            <w:r>
              <w:t>Translate visible prose only; preserve markup, comments, protected nodes, scripts, styles, identifiers, and technical tokens.</w:t>
            </w:r>
          </w:p>
        </w:tc>
        <w:tc>
          <w:tcPr>
            <w:tcW w:type="dxa" w:w="3660"/>
            <w:vAlign w:val="center"/>
          </w:tcPr>
          <w:p>
            <w:r>
              <w:t>Foundation browser-pair fixtures</w:t>
            </w:r>
          </w:p>
        </w:tc>
      </w:tr>
      <w:tr>
        <w:trPr>
          <w:cantSplit/>
        </w:trPr>
        <w:tc>
          <w:tcPr>
            <w:tcW w:type="dxa" w:w="1800"/>
            <w:vAlign w:val="center"/>
          </w:tcPr>
          <w:p>
            <w:r>
              <w:t>Scanner</w:t>
            </w:r>
          </w:p>
        </w:tc>
        <w:tc>
          <w:tcPr>
            <w:tcW w:type="dxa" w:w="3900"/>
            <w:vAlign w:val="center"/>
          </w:tcPr>
          <w:p>
            <w:r>
              <w:t>Deterministic order, pruned output trees, category counts, cancellation, identical duplicate suppression, visible conflicting duplicates, and explicit manifest-only external JSON prose.</w:t>
            </w:r>
          </w:p>
        </w:tc>
        <w:tc>
          <w:tcPr>
            <w:tcW w:type="dxa" w:w="3660"/>
            <w:vAlign w:val="center"/>
          </w:tcPr>
          <w:p>
            <w:r>
              <w:t>Foundation and scanner contract suites</w:t>
            </w:r>
          </w:p>
        </w:tc>
      </w:tr>
      <w:tr>
        <w:trPr>
          <w:cantSplit/>
        </w:trPr>
        <w:tc>
          <w:tcPr>
            <w:tcW w:type="dxa" w:w="1800"/>
            <w:vAlign w:val="center"/>
          </w:tcPr>
          <w:p>
            <w:r>
              <w:t>Integration</w:t>
            </w:r>
          </w:p>
        </w:tc>
        <w:tc>
          <w:tcPr>
            <w:tcW w:type="dxa" w:w="3900"/>
            <w:vAlign w:val="center"/>
          </w:tcPr>
          <w:p>
            <w:r>
              <w:t>Create component kits in staging, validate manifest and hashes, publish atomically, and roll back failed deployment.</w:t>
            </w:r>
          </w:p>
        </w:tc>
        <w:tc>
          <w:tcPr>
            <w:tcW w:type="dxa" w:w="3660"/>
            <w:vAlign w:val="center"/>
          </w:tcPr>
          <w:p>
            <w:r>
              <w:t>Foundation integration fixtures and package suites</w:t>
            </w:r>
          </w:p>
        </w:tc>
      </w:tr>
      <w:tr>
        <w:trPr>
          <w:cantSplit/>
        </w:trPr>
        <w:tc>
          <w:tcPr>
            <w:tcW w:type="dxa" w:w="1800"/>
            <w:vAlign w:val="center"/>
          </w:tcPr>
          <w:p>
            <w:r>
              <w:t>Responsiveness</w:t>
            </w:r>
          </w:p>
        </w:tc>
        <w:tc>
          <w:tcPr>
            <w:tcW w:type="dxa" w:w="3900"/>
            <w:vAlign w:val="center"/>
          </w:tcPr>
          <w:p>
            <w:r>
              <w:t>Long Studio work executes outside the UI thread, queues visible progress safely, observes cancellation, exposes File &gt; Exit, and contains no production ProcessMessages loop.</w:t>
            </w:r>
          </w:p>
        </w:tc>
        <w:tc>
          <w:tcPr>
            <w:tcW w:type="dxa" w:w="3660"/>
            <w:vAlign w:val="center"/>
          </w:tcPr>
          <w:p>
            <w:r>
              <w:t>Studio form, responsiveness, and launch tests</w:t>
            </w:r>
          </w:p>
        </w:tc>
      </w:tr>
      <w:tr>
        <w:trPr>
          <w:cantSplit/>
        </w:trPr>
        <w:tc>
          <w:tcPr>
            <w:tcW w:type="dxa" w:w="1800"/>
            <w:vAlign w:val="center"/>
          </w:tcPr>
          <w:p>
            <w:r>
              <w:t>Locale selection</w:t>
            </w:r>
          </w:p>
        </w:tc>
        <w:tc>
          <w:tcPr>
            <w:tcW w:type="dxa" w:w="3900"/>
            <w:vAlign w:val="center"/>
          </w:tcPr>
          <w:p>
            <w:r>
              <w:t>New projects require an explicit target locale; reopening a catalog restores saved locale facts without a programmatic combo-box change overwriting them.</w:t>
            </w:r>
          </w:p>
        </w:tc>
        <w:tc>
          <w:tcPr>
            <w:tcW w:type="dxa" w:w="3660"/>
            <w:vAlign w:val="center"/>
          </w:tcPr>
          <w:p>
            <w:r>
              <w:t>StudioFormSmokeTests and locale-facts tests</w:t>
            </w:r>
          </w:p>
        </w:tc>
      </w:tr>
      <w:tr>
        <w:trPr>
          <w:cantSplit/>
        </w:trPr>
        <w:tc>
          <w:tcPr>
            <w:tcW w:type="dxa" w:w="1800"/>
            <w:vAlign w:val="center"/>
          </w:tcPr>
          <w:p>
            <w:r>
              <w:t>Semantic states</w:t>
            </w:r>
          </w:p>
        </w:tc>
        <w:tc>
          <w:tcPr>
            <w:tcW w:type="dxa" w:w="3900"/>
            <w:vAlign w:val="center"/>
          </w:tcPr>
          <w:p>
            <w:r>
              <w:t>Exact UI-state concepts such as On and Off use authoritative per-locale terminology; directional words and unrelated uses remain untouched.</w:t>
            </w:r>
          </w:p>
        </w:tc>
        <w:tc>
          <w:tcPr>
            <w:tcW w:type="dxa" w:w="3660"/>
            <w:vAlign w:val="center"/>
          </w:tcPr>
          <w:p>
            <w:r>
              <w:t>FoundationSmokeTests terminology matrix</w:t>
            </w:r>
          </w:p>
        </w:tc>
      </w:tr>
    </w:tbl>
    <w:p>
      <w:pPr>
        <w:pStyle w:val="Heading2"/>
      </w:pPr>
      <w:r>
        <w:t>21.1 Diagnostics boundary</w:t>
      </w:r>
    </w:p>
    <w:p>
      <w:r>
        <w:t>DAT.Core.Diagnostics is the common boundary for persistence recovery, rejected packs, fallback decisions, scan cancellation/conflicts, package publication, deployment rollback, and runtime lifecycle failures. Messages contain operation, artifact, and corrective context but never provider keys or raw authenticated responses.</w:t>
      </w:r>
    </w:p>
    <w:p>
      <w:pPr>
        <w:pStyle w:val="Heading2"/>
      </w:pPr>
      <w:r>
        <w:t>21.2 Universal FMX geometry and fitting</w:t>
      </w:r>
    </w:p>
    <w:p>
      <w:r>
        <w:t>DAT.Runtime.FMX snapshots designer geometry before translation and restores that snapshot before every subsequent direction change. Mirroring resolves the effective width from the immediate parent, saved parent geometry, and an owning tab control when FMX reports inactive-page placeholders. Near-full-width cards preserve the measured content gutter on both sides; transport controls move as a block without reversing machine order.</w:t>
      </w:r>
    </w:p>
    <w:p>
      <w:r>
        <w:t>The conservative fitting pass is independent of language codes. It measures rendered text, protects the nearest same-row neighbor, preserves a button that already fits, grows into available space, lowers font size only to the readable floor, and wraps only when required. A bounded two-pass container check adds bottom padding and cascades only directly stacked siblings, preventing clipping without creating a recurring layout loop.</w:t>
      </w:r>
    </w:p>
    <w:p>
      <w:pPr>
        <w:pStyle w:val="Heading2"/>
      </w:pPr>
      <w:r>
        <w:t>21.3 Declared external resource text</w:t>
      </w:r>
    </w:p>
    <w:p>
      <w:r>
        <w:t>Project-owned JSON is data until the project explicitly declares otherwise. A schema-version 1 dat-translatable-resources.json manifest may name only directories inside the selected project, file-name patterns without path traversal, and non-empty JSON property names. The scanner validates duplicate members, rejects malformed JSON and missing/outside directories, scans only declared string properties, and leaves every undeclared field untouched.</w:t>
      </w:r>
    </w:p>
    <w:p>
      <w:r>
        <w:t>This boundary is required for generated HTML reference pages and other data-driven interfaces: the host project declares exactly which note, caption, or description properties are operator-facing. The Translation Studio never guesses that every string in an arbitrary JSON file is safe to translate.</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