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and Engineering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59</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77</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79</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83</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86</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87</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88</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89</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and Engineering Vocabulary</w:t>
      </w:r>
    </w:p>
    <w:p>
      <w:r>
        <w:t>This guide explains the complete engineering system before presenting the file-by-file reference. It is written for Delphi developers maintaining the Studio, the VCL/FMX runtime components, provider integration, scanners, review tooling, packages, deployment pipeline, tests, and documentation.</w:t>
      </w:r>
    </w:p>
    <w:p>
      <w:r>
        <w:t>A term is introduced here before later chapters depend on it. The final reference chapters describe every production PAS unit individually, every test/spike/contract Pascal program, every Delphi project/package file, each JSON schema and FMX/DFM resource, and the important build and verification tools.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1"/>
      </w:pPr>
      <w:r>
        <w:t>2. Product Scope, Non-Negotiable Invariants, and Trust Boundaries</w:t>
      </w:r>
    </w:p>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1"/>
      </w:pPr>
      <w:r>
        <w:t>9. Provider Pipeline and Credential Security</w:t>
      </w:r>
    </w:p>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optional target-local dependencies folder is &lt;Target&gt;\dependencies\DelphiAppTranslation\source. It is not created automatically because the Studio cannot assume how a target project vendors third-party source or what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p>
      <w:r>
        <w:t>TComponentIntegrationPackageGenerator produces the recommended non-mutating kit. TTargetBuildDeployer runs selected builds and deploys packs. TIntegrationPackageGenerator and TDelphiIntegrationSourceEditor retain an advanced explicitly authorized source-edit path with preview/backup/restore, but it is not the Wizard default.</w:t>
      </w:r>
    </w:p>
    <w:p>
      <w:r>
        <w:t>Wizard final processing passes ComponentSource to its own build environment without persisting a DPROJ edit. Manual IDE builds require the developer to set Search path in Project Options. Deployment verifies the intended executable/application directory before copying packs.</w:t>
      </w:r>
    </w:p>
    <w:p>
      <w:pPr>
        <w:pStyle w:val="ListBullet"/>
      </w:pPr>
      <w:r>
        <w:t>Search path must preserve existing values and $(DCC_UnitSearchPath).</w:t>
      </w:r>
    </w:p>
    <w:p>
      <w:pPr>
        <w:pStyle w:val="ListBullet"/>
      </w:pPr>
      <w:r>
        <w:t>All configurations/all platforms is the normal setting when one vendored dependency folder serves every target.</w:t>
      </w:r>
    </w:p>
    <w:p>
      <w:pPr>
        <w:pStyle w:val="ListBullet"/>
      </w:pPr>
      <w:r>
        <w:t>Pack deployment is independent of executable compilation; a build can succeed while packs are stale or absent, so both results must be checked.</w:t>
      </w:r>
    </w:p>
    <w:p>
      <w:pPr>
        <w:pStyle w:val="ListBullet"/>
      </w:pPr>
      <w:r>
        <w:t>Unavailable optional removable/network destinations warn and skip; they must not fail an otherwise valid local build.</w:t>
      </w:r>
    </w:p>
    <w:p>
      <w:pPr>
        <w:pStyle w:val="ListBullet"/>
      </w:pPr>
      <w:r>
        <w:t>No integration code should write outside the explicitly selected Studio export, workspace, target dependency, or authorized application destinations.</w:t>
      </w:r>
    </w:p>
    <w:p>
      <w:pPr>
        <w:pStyle w:val="Heading1"/>
      </w:pPr>
      <w:r>
        <w:t>18. Studio Forms, State Machines, and Self-Localization</w:t>
      </w:r>
    </w:p>
    <w:p>
      <w:r>
        <w:t>TfrmTranslationStudio is the landing and seven-page Maintenance state owner.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should update state, enablement, text, and data; it should not rebuild the form hierarchy that belongs in the FMX designer. Default buttons, Enter/Esc behavior, hidden irrelevant buttons, and asynchronous provider state are explicit UI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provider/settings, validation/export/integration status.</w:t>
            </w:r>
          </w:p>
        </w:tc>
        <w:tc>
          <w:tcPr>
            <w:tcW w:type="dxa" w:w="3660"/>
            <w:vAlign w:val="center"/>
          </w:tcPr>
          <w:p>
            <w:r>
              <w:t>Landing to Wizard or Maintenance; language refresh must rebuild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bl>
    <w:p>
      <w:pPr>
        <w:pStyle w:val="Heading1"/>
      </w:pPr>
      <w:r>
        <w:t>21. Security and Privacy Engineering</w:t>
      </w:r>
    </w:p>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matters: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698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What it is: </w:t>
      </w:r>
      <w:r>
        <w:t>Generates the recommended non-mutating component integration kit: the complete framework-appropriate ComponentSource set, packs, manifest, README, deployment script, and completion report.</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614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What it is: </w:t>
      </w:r>
      <w:r>
        <w:t>Implements the landing screen and seven-page Maintenance Studio. It coordinates project detection, scanning, catalog editing, provider translation, validation, export, integration, settings, keyboard defaults, and status reporting.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2,660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2,476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and form-resource regressions.</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seven Maintenance pages, navigation rail,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Converts documentation DOCX files to companion PDFs through LibreOffice.</w:t>
      </w:r>
    </w:p>
    <w:p>
      <w:pPr>
        <w:spacing w:after="60"/>
      </w:pPr>
      <w:r>
        <w:rPr>
          <w:b/>
          <w:color w:val="234C80"/>
        </w:rPr>
        <w:t xml:space="preserve">Why it matters: </w:t>
      </w:r>
      <w:r>
        <w:t>Keeps printable output tied to editable source documents.</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Performs the maintained guide finalization workflow.</w:t>
      </w:r>
    </w:p>
    <w:p>
      <w:pPr>
        <w:spacing w:after="60"/>
      </w:pPr>
      <w:r>
        <w:rPr>
          <w:b/>
          <w:color w:val="234C80"/>
        </w:rPr>
        <w:t xml:space="preserve">Why it matters: </w:t>
      </w:r>
      <w:r>
        <w:t>Ensures DOCX/PDF artifacts and verification steps remain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p>
      <w:pPr>
        <w:pStyle w:val="ListNumber"/>
        <w:numPr>
          <w:ilvl w:val="0"/>
          <w:numId w:val="10"/>
        </w:numPr>
      </w:pPr>
      <w:r>
        <w:t>Define the contract and affected ownership layer before editing. Read the relevant reference document and unit entries in Chapter 23.</w:t>
      </w:r>
    </w:p>
    <w:p>
      <w:pPr>
        <w:pStyle w:val="ListNumber"/>
        <w:numPr>
          <w:ilvl w:val="0"/>
          <w:numId w:val="10"/>
        </w:numPr>
      </w:pPr>
      <w:r>
        <w:t>Check Git status and remote currency; preserve unrelated work. Make a pre-change backup for material changes.</w:t>
      </w:r>
    </w:p>
    <w:p>
      <w:pPr>
        <w:pStyle w:val="ListNumber"/>
        <w:numPr>
          <w:ilvl w:val="0"/>
          <w:numId w:val="10"/>
        </w:numPr>
      </w:pPr>
      <w:r>
        <w:t>Trace direct dependencies, consumers, package membership, ComponentSource closure, schemas, and tests. Do not edit only the first file named by a compiler error.</w:t>
      </w:r>
    </w:p>
    <w:p>
      <w:pPr>
        <w:pStyle w:val="ListNumber"/>
        <w:numPr>
          <w:ilvl w:val="0"/>
          <w:numId w:val="10"/>
        </w:numPr>
      </w:pPr>
      <w:r>
        <w:t>Make the smallest universal change. Do not add named-project/version exceptions, runtime UI construction, or helper layers without explicit approval.</w:t>
      </w:r>
    </w:p>
    <w:p>
      <w:pPr>
        <w:pStyle w:val="ListNumber"/>
        <w:numPr>
          <w:ilvl w:val="0"/>
          <w:numId w:val="10"/>
        </w:numPr>
      </w:pPr>
      <w:r>
        <w:t>Update schema/version or compatibility handling when serialized contracts change. Preserve atomic persistence and older valid recovery files.</w:t>
      </w:r>
    </w:p>
    <w:p>
      <w:pPr>
        <w:pStyle w:val="ListNumber"/>
        <w:numPr>
          <w:ilvl w:val="0"/>
          <w:numId w:val="10"/>
        </w:numPr>
      </w:pPr>
      <w:r>
        <w:t>Compile affected foundation/runtime/package/Studio targets and run focused tests first, then the complete verification suite.</w:t>
      </w:r>
    </w:p>
    <w:p>
      <w:pPr>
        <w:pStyle w:val="ListNumber"/>
        <w:numPr>
          <w:ilvl w:val="0"/>
          <w:numId w:val="10"/>
        </w:numPr>
      </w:pPr>
      <w:r>
        <w:t>Run real VCL and FMX pilot applications across LTR/RTL, language-to-language, switch-back, restart, dynamic/HTML, layout, and supported platforms.</w:t>
      </w:r>
    </w:p>
    <w:p>
      <w:pPr>
        <w:pStyle w:val="ListNumber"/>
        <w:numPr>
          <w:ilvl w:val="0"/>
          <w:numId w:val="10"/>
        </w:numPr>
      </w:pPr>
      <w:r>
        <w:t>Update User, Wizard, Engineering, help, release, and test documentation as applicable. Render and visually inspect DOCX/PDF outputs.</w:t>
      </w:r>
    </w:p>
    <w:p>
      <w:pPr>
        <w:pStyle w:val="ListNumber"/>
        <w:numPr>
          <w:ilvl w:val="0"/>
          <w:numId w:val="10"/>
        </w:numPr>
      </w:pPr>
      <w:r>
        <w:t>Review Git diff, stage only intended files, commit clearly, and push configured public/private remotes without rewriting history.</w:t>
      </w:r>
    </w:p>
    <w:p>
      <w:pPr>
        <w:pStyle w:val="Heading1"/>
      </w:pPr>
      <w:r>
        <w:t>30. Engineering Release Checklist</w:t>
      </w:r>
    </w:p>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