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Detailed, Screen-by-Screen Path from Delphi Source to Offline Language Packs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Purpose, Audience, and Final Result</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Opening the Wizard</w:t>
            </w:r>
          </w:p>
        </w:tc>
        <w:tc>
          <w:tcPr>
            <w:tcW w:type="dxa" w:w="1160"/>
          </w:tcPr>
          <w:p>
            <w:pPr>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Wizard Navigation, Keyboard, and Safety</w:t>
            </w:r>
          </w:p>
        </w:tc>
        <w:tc>
          <w:tcPr>
            <w:tcW w:type="dxa" w:w="1160"/>
          </w:tcPr>
          <w:p>
            <w:pPr>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4. Step 1 - Welcome</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Step 2 - Delphi Project</w:t>
            </w:r>
          </w:p>
        </w:tc>
        <w:tc>
          <w:tcPr>
            <w:tcW w:type="dxa" w:w="1160"/>
          </w:tcPr>
          <w:p>
            <w:pPr>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6. Step 3 - Deployment</w:t>
            </w:r>
          </w:p>
        </w:tc>
        <w:tc>
          <w:tcPr>
            <w:tcW w:type="dxa" w:w="1160"/>
          </w:tcPr>
          <w:p>
            <w:pPr>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7. Step 4 - Languages</w:t>
            </w:r>
          </w:p>
        </w:tc>
        <w:tc>
          <w:tcPr>
            <w:tcW w:type="dxa" w:w="1160"/>
          </w:tcPr>
          <w:p>
            <w:pPr>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8. Step 5 - Translation Service</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9. Step 6 - Scan Project</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10. Step 7 - Review and Authorize</w:t>
            </w:r>
          </w:p>
        </w:tc>
        <w:tc>
          <w:tcPr>
            <w:tcW w:type="dxa" w:w="1160"/>
          </w:tcPr>
          <w:p>
            <w:pPr>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11. Localization Review During Final Processing</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12. Step 8 - Process and Finish</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13. Component Kit and dependencies Folder</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14. Delphi Compiler Search Path</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15. Files and Folders Created or Used</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16. Build and Deployment Procedure</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17. Complete Runtime Verification</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18. Updating, Resuming, and Adding Languages</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19. Failure Recovery and Troubleshooting</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20. Security and Privacy</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21. Printable Completion Checklist</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22. Quick Reference</w:t>
            </w:r>
          </w:p>
        </w:tc>
        <w:tc>
          <w:tcPr>
            <w:tcW w:type="dxa" w:w="1160"/>
          </w:tcPr>
          <w:p>
            <w:pPr>
              <w:spacing w:after="20"/>
              <w:jc w:val="right"/>
            </w:pPr>
            <w:r>
              <w:rPr>
                <w:rFonts w:ascii="Aptos" w:hAnsi="Aptos"/>
                <w:b/>
                <w:color w:val="5D7693"/>
                <w:sz w:val="18"/>
              </w:rPr>
              <w:t>26</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Audience, and Final Result</w:t>
      </w:r>
    </w:p>
    <w:p>
      <w:r>
        <w:t>This guide is the complete operating procedure for the eight-step Translation Setup Wizard. It is intended for a Delphi developer who is localizing a VCL or FireMonkey application for the first time, repeating a translation after source changes, or adding another language to an existing application.</w:t>
      </w:r>
    </w:p>
    <w:p>
      <w:r>
        <w:t>The Wizard reads the selected Delphi project, creates or merges a development catalog, translates only eligible unresolved material, opens Localization Review, validates the result, exports a canonical English source pack and translated pack, generates a component integration kit, and deploys packs to detected and authorized application folders. The target Pascal, DFM, FMX, DPR, and DPROJ files remain unchanged.</w:t>
      </w:r>
    </w:p>
    <w:p>
      <w:r>
        <w:t>The deployed application remains offline. DeepL or Google is contacted only by the Studio on the developer computer. The target application reads validated local JSON packs and never receives the provider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Recommended safety boundary. </w:t>
            </w:r>
            <w:r>
              <w:t>Use a pristine backup and a separate test copy of the target project. A successful Wizard run is reversible because it writes Studio workspace/export artifacts and deployed packs, not application source or project files.</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Completion product</w:t>
            </w:r>
          </w:p>
        </w:tc>
        <w:tc>
          <w:tcPr>
            <w:tcW w:type="dxa" w:w="3900"/>
            <w:shd w:fill="234C80"/>
          </w:tcPr>
          <w:p>
            <w:r>
              <w:rPr>
                <w:b/>
                <w:color w:val="FFFFFF"/>
              </w:rPr>
              <w:t>What it is</w:t>
            </w:r>
          </w:p>
        </w:tc>
        <w:tc>
          <w:tcPr>
            <w:tcW w:type="dxa" w:w="3660"/>
            <w:shd w:fill="234C80"/>
          </w:tcPr>
          <w:p>
            <w:r>
              <w:rPr>
                <w:b/>
                <w:color w:val="FFFFFF"/>
              </w:rPr>
              <w:t>Where it is used</w:t>
            </w:r>
          </w:p>
        </w:tc>
      </w:tr>
      <w:tr>
        <w:trPr>
          <w:cantSplit/>
        </w:trPr>
        <w:tc>
          <w:tcPr>
            <w:tcW w:type="dxa" w:w="1800"/>
            <w:vAlign w:val="center"/>
          </w:tcPr>
          <w:p>
            <w:r>
              <w:t>Development catalog</w:t>
            </w:r>
          </w:p>
        </w:tc>
        <w:tc>
          <w:tcPr>
            <w:tcW w:type="dxa" w:w="3900"/>
            <w:vAlign w:val="center"/>
          </w:tcPr>
          <w:p>
            <w:r>
              <w:t>The full editable key/source/translation/context/review model.</w:t>
            </w:r>
          </w:p>
        </w:tc>
        <w:tc>
          <w:tcPr>
            <w:tcW w:type="dxa" w:w="3660"/>
            <w:vAlign w:val="center"/>
          </w:tcPr>
          <w:p>
            <w:r>
              <w:t>Studio workspace under %LOCALAPPDATA%.</w:t>
            </w:r>
          </w:p>
        </w:tc>
      </w:tr>
      <w:tr>
        <w:trPr>
          <w:cantSplit/>
        </w:trPr>
        <w:tc>
          <w:tcPr>
            <w:tcW w:type="dxa" w:w="1800"/>
            <w:vAlign w:val="center"/>
          </w:tcPr>
          <w:p>
            <w:r>
              <w:t>Canonical source pack</w:t>
            </w:r>
          </w:p>
        </w:tc>
        <w:tc>
          <w:tcPr>
            <w:tcW w:type="dxa" w:w="3900"/>
            <w:vAlign w:val="center"/>
          </w:tcPr>
          <w:p>
            <w:r>
              <w:t>The validated English or other authored-source runtime pack.</w:t>
            </w:r>
          </w:p>
        </w:tc>
        <w:tc>
          <w:tcPr>
            <w:tcW w:type="dxa" w:w="3660"/>
            <w:vAlign w:val="center"/>
          </w:tcPr>
          <w:p>
            <w:r>
              <w:t>Beside every target EXE under Localization\Languages.</w:t>
            </w:r>
          </w:p>
        </w:tc>
      </w:tr>
      <w:tr>
        <w:trPr>
          <w:cantSplit/>
        </w:trPr>
        <w:tc>
          <w:tcPr>
            <w:tcW w:type="dxa" w:w="1800"/>
            <w:vAlign w:val="center"/>
          </w:tcPr>
          <w:p>
            <w:r>
              <w:t>Translated pack</w:t>
            </w:r>
          </w:p>
        </w:tc>
        <w:tc>
          <w:tcPr>
            <w:tcW w:type="dxa" w:w="3900"/>
            <w:vAlign w:val="center"/>
          </w:tcPr>
          <w:p>
            <w:r>
              <w:t>The validated compact target-locale runtime pack.</w:t>
            </w:r>
          </w:p>
        </w:tc>
        <w:tc>
          <w:tcPr>
            <w:tcW w:type="dxa" w:w="3660"/>
            <w:vAlign w:val="center"/>
          </w:tcPr>
          <w:p>
            <w:r>
              <w:t>Loaded by the VCL/FMX runtime manager.</w:t>
            </w:r>
          </w:p>
        </w:tc>
      </w:tr>
      <w:tr>
        <w:trPr>
          <w:cantSplit/>
        </w:trPr>
        <w:tc>
          <w:tcPr>
            <w:tcW w:type="dxa" w:w="1800"/>
            <w:vAlign w:val="center"/>
          </w:tcPr>
          <w:p>
            <w:r>
              <w:t>Localization Review package</w:t>
            </w:r>
          </w:p>
        </w:tc>
        <w:tc>
          <w:tcPr>
            <w:tcW w:type="dxa" w:w="3900"/>
            <w:vAlign w:val="center"/>
          </w:tcPr>
          <w:p>
            <w:r>
              <w:t>HTML review, findings, glossary, layout proposals, and decisions.</w:t>
            </w:r>
          </w:p>
        </w:tc>
        <w:tc>
          <w:tcPr>
            <w:tcW w:type="dxa" w:w="3660"/>
            <w:vAlign w:val="center"/>
          </w:tcPr>
          <w:p>
            <w:r>
              <w:t>Studio export\localization-review.</w:t>
            </w:r>
          </w:p>
        </w:tc>
      </w:tr>
      <w:tr>
        <w:trPr>
          <w:cantSplit/>
        </w:trPr>
        <w:tc>
          <w:tcPr>
            <w:tcW w:type="dxa" w:w="1800"/>
            <w:vAlign w:val="center"/>
          </w:tcPr>
          <w:p>
            <w:r>
              <w:t>Component integration kit</w:t>
            </w:r>
          </w:p>
        </w:tc>
        <w:tc>
          <w:tcPr>
            <w:tcW w:type="dxa" w:w="3900"/>
            <w:vAlign w:val="center"/>
          </w:tcPr>
          <w:p>
            <w:r>
              <w:t>Complete framework-appropriate runtime/component source, packs, manifest, README, deployment script, and report.</w:t>
            </w:r>
          </w:p>
        </w:tc>
        <w:tc>
          <w:tcPr>
            <w:tcW w:type="dxa" w:w="3660"/>
            <w:vAlign w:val="center"/>
          </w:tcPr>
          <w:p>
            <w:r>
              <w:t>Studio export\component-integration.</w:t>
            </w:r>
          </w:p>
        </w:tc>
      </w:tr>
      <w:tr>
        <w:trPr>
          <w:cantSplit/>
        </w:trPr>
        <w:tc>
          <w:tcPr>
            <w:tcW w:type="dxa" w:w="1800"/>
            <w:vAlign w:val="center"/>
          </w:tcPr>
          <w:p>
            <w:r>
              <w:t>Safety ZIP</w:t>
            </w:r>
          </w:p>
        </w:tc>
        <w:tc>
          <w:tcPr>
            <w:tcW w:type="dxa" w:w="3900"/>
            <w:vAlign w:val="center"/>
          </w:tcPr>
          <w:p>
            <w:r>
              <w:t>Timestamped pre-processing backup of the selected project.</w:t>
            </w:r>
          </w:p>
        </w:tc>
        <w:tc>
          <w:tcPr>
            <w:tcW w:type="dxa" w:w="3660"/>
            <w:vAlign w:val="center"/>
          </w:tcPr>
          <w:p>
            <w:r>
              <w:t>Reported in Wizard progress and completion report.</w:t>
            </w:r>
          </w:p>
        </w:tc>
      </w:tr>
    </w:tbl>
    <w:p>
      <w:pPr>
        <w:pStyle w:val="Heading1"/>
      </w:pPr>
      <w:r>
        <w:t>2. Before Opening the Wizard</w:t>
      </w:r>
    </w:p>
    <w:p>
      <w:pPr>
        <w:pStyle w:val="Heading2"/>
      </w:pPr>
      <w:r>
        <w:t>2.1 Obtain and build the Studio</w:t>
      </w:r>
    </w:p>
    <w:p>
      <w:pPr>
        <w:pStyle w:val="ListNumber"/>
        <w:numPr>
          <w:ilvl w:val="0"/>
          <w:numId w:val="10"/>
        </w:numPr>
      </w:pPr>
      <w:r>
        <w:t>Download or clone the complete repository from https://github.com/tmartindub/DelphiAppTranslationStudio. Do not download isolated PAS, DPK, BPL, or JSON files.</w:t>
      </w:r>
    </w:p>
    <w:p>
      <w:pPr>
        <w:pStyle w:val="ListNumber"/>
        <w:numPr>
          <w:ilvl w:val="0"/>
          <w:numId w:val="10"/>
        </w:numPr>
      </w:pPr>
      <w:r>
        <w:t>Extract it to a short writable path, for example C:\New Delphi Projects\Delphi App Translation.</w:t>
      </w:r>
    </w:p>
    <w:p>
      <w:pPr>
        <w:pStyle w:val="ListNumber"/>
        <w:numPr>
          <w:ilvl w:val="0"/>
          <w:numId w:val="10"/>
        </w:numPr>
      </w:pPr>
      <w:r>
        <w:t>Open DelphiAppTranslationStudio.dproj in RAD Studio 13 Florence and build Win32 Release for the simplest first run.</w:t>
      </w:r>
    </w:p>
    <w:p>
      <w:pPr>
        <w:pStyle w:val="ListNumber"/>
        <w:numPr>
          <w:ilvl w:val="0"/>
          <w:numId w:val="10"/>
        </w:numPr>
      </w:pPr>
      <w:r>
        <w:t>The verified RAD Studio environment is C:\Program Files (x86)\Embarcadero\Studio\37.0\bin\rsvars.bat and the Win32 compiler is dcc32.exe in the same folder.</w:t>
      </w:r>
    </w:p>
    <w:p>
      <w:pPr>
        <w:pStyle w:val="ListNumber"/>
        <w:numPr>
          <w:ilvl w:val="0"/>
          <w:numId w:val="10"/>
        </w:numPr>
      </w:pPr>
      <w:r>
        <w:t>Run bin\Win32\Release\DelphiAppTranslationStudio.exe from the repository copy you just built.</w:t>
      </w:r>
    </w:p>
    <w:p>
      <w:pPr>
        <w:pStyle w:val="Heading2"/>
      </w:pPr>
      <w:r>
        <w:t>2.2 Prepare the target application</w:t>
      </w:r>
    </w:p>
    <w:p>
      <w:pPr>
        <w:pStyle w:val="ListNumber"/>
        <w:numPr>
          <w:ilvl w:val="0"/>
          <w:numId w:val="11"/>
        </w:numPr>
      </w:pPr>
      <w:r>
        <w:t>Create a pristine backup and a separate test copy. Build and briefly run the test copy before localization work begins.</w:t>
      </w:r>
    </w:p>
    <w:p>
      <w:pPr>
        <w:pStyle w:val="ListNumber"/>
        <w:numPr>
          <w:ilvl w:val="0"/>
          <w:numId w:val="11"/>
        </w:numPr>
      </w:pPr>
      <w:r>
        <w:t>Build the DAT runtime and design packages supplied with the Studio. In RAD Studio choose Component &gt; Install Packages &gt; Add and install the matching Win32 Release design BPL.</w:t>
      </w:r>
    </w:p>
    <w:p>
      <w:pPr>
        <w:pStyle w:val="ListNumber"/>
        <w:numPr>
          <w:ilvl w:val="0"/>
          <w:numId w:val="11"/>
        </w:numPr>
      </w:pPr>
      <w:r>
        <w:t>Open the target primary form in the Form Designer. Place one TDATVCLLanguageManager or TDATFMXLanguageManager and one matching language combo box.</w:t>
      </w:r>
    </w:p>
    <w:p>
      <w:pPr>
        <w:pStyle w:val="ListNumber"/>
        <w:numPr>
          <w:ilvl w:val="0"/>
          <w:numId w:val="11"/>
        </w:numPr>
      </w:pPr>
      <w:r>
        <w:t>In Object Inspector set ApplicationId to the exact Delphi project name, LanguagesFolder to Localization\Languages, SourceLanguage to the authored locale, and connect the combo box LanguageManager property.</w:t>
      </w:r>
    </w:p>
    <w:p>
      <w:pPr>
        <w:pStyle w:val="ListNumber"/>
        <w:numPr>
          <w:ilvl w:val="0"/>
          <w:numId w:val="11"/>
        </w:numPr>
      </w:pPr>
      <w:r>
        <w:t>Add and position any visible Language label or menu item in the designer. Choose File &gt; Save All so the first scan sees every intended static string.</w:t>
      </w:r>
    </w:p>
    <w:p>
      <w:pPr>
        <w:pStyle w:val="ListNumber"/>
        <w:numPr>
          <w:ilvl w:val="0"/>
          <w:numId w:val="11"/>
        </w:numPr>
      </w:pPr>
      <w:r>
        <w:t>Close the target project before Wizard final processing. The Wizard verifies this explicitly at Review and Authorize.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Designer-first rule. </w:t>
            </w:r>
            <w:r>
              <w:t>The supplied manager and selector are normal designer components. Configure them in Object Inspector. The Wizard does not inject runtime UI construction or silently rewrite the form.</w:t>
            </w:r>
          </w:p>
        </w:tc>
      </w:tr>
    </w:tbl>
    <w:p>
      <w:pPr>
        <w:pStyle w:val="Heading2"/>
      </w:pPr>
      <w:r>
        <w:t>2.3 Provider and network readiness</w:t>
      </w:r>
    </w:p>
    <w:p>
      <w:pPr>
        <w:pStyle w:val="ListBullet"/>
      </w:pPr>
      <w:r>
        <w:t>DeepL is the recommended default. Use a DeepL API Free or API Pro key, not merely a consumer Translator subscription.</w:t>
      </w:r>
    </w:p>
    <w:p>
      <w:pPr>
        <w:pStyle w:val="ListBullet"/>
      </w:pPr>
      <w:r>
        <w:t>Google Cloud Translation Basic v2 is supported when the API is enabled, billing/quota are valid, and the key restrictions permit this developer computer.</w:t>
      </w:r>
    </w:p>
    <w:p>
      <w:pPr>
        <w:pStyle w:val="ListBullet"/>
      </w:pPr>
      <w:r>
        <w:t>A stored key is kept in Windows Credential Manager. A session-only key disappears when the Studio closes.</w:t>
      </w:r>
    </w:p>
    <w:p>
      <w:pPr>
        <w:pStyle w:val="ListBullet"/>
      </w:pPr>
      <w:r>
        <w:t>Test the provider connection before final processing. Do not treat a timeout, 401/403, or 429 result as a successful setup.</w:t>
      </w:r>
    </w:p>
    <w:p>
      <w:pPr>
        <w:pStyle w:val="Heading1"/>
      </w:pPr>
      <w:r>
        <w:t>3. Wizard Navigation, Keyboard, and Safety</w:t>
      </w:r>
    </w:p>
    <w:p>
      <w:pPr>
        <w:keepNext/>
        <w:jc w:val="center"/>
      </w:pPr>
      <w:r>
        <w:drawing>
          <wp:inline xmlns:a="http://schemas.openxmlformats.org/drawingml/2006/main" xmlns:pic="http://schemas.openxmlformats.org/drawingml/2006/picture">
            <wp:extent cx="5897880" cy="3888353"/>
            <wp:docPr id="2" name="Picture 2" descr="Translation Setup Wizard Welcome screen with step rail, content panel, Back, Next, and Cancel controls" title="Translation Setup Wizard Welcome screen with step rail, content panel, Back, Next, and Cancel controls"/>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897880" cy="3888353"/>
                    </a:xfrm>
                    <a:prstGeom prst="rect"/>
                  </pic:spPr>
                </pic:pic>
              </a:graphicData>
            </a:graphic>
          </wp:inline>
        </w:drawing>
      </w:r>
    </w:p>
    <w:p>
      <w:pPr>
        <w:spacing w:after="200"/>
        <w:jc w:val="center"/>
      </w:pPr>
      <w:r>
        <w:rPr>
          <w:rFonts w:ascii="Aptos" w:hAnsi="Aptos"/>
          <w:i/>
          <w:color w:val="5D7693"/>
          <w:sz w:val="18"/>
        </w:rPr>
        <w:t>Figure 3-1. Complete Wizard frame and navigation controls.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Left step rail</w:t>
            </w:r>
          </w:p>
        </w:tc>
        <w:tc>
          <w:tcPr>
            <w:tcW w:type="dxa" w:w="3900"/>
            <w:vAlign w:val="center"/>
          </w:tcPr>
          <w:p>
            <w:r>
              <w:t>Shows the eight-step sequence and the current step.</w:t>
            </w:r>
          </w:p>
        </w:tc>
        <w:tc>
          <w:tcPr>
            <w:tcW w:type="dxa" w:w="3660"/>
            <w:vAlign w:val="center"/>
          </w:tcPr>
          <w:p>
            <w:r>
              <w:t>Select only a previously reached step; unreached steps remain disabled.</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Press Enter when Next is the default button.</w:t>
            </w:r>
          </w:p>
        </w:tc>
      </w:tr>
      <w:tr>
        <w:trPr>
          <w:cantSplit/>
        </w:trPr>
        <w:tc>
          <w:tcPr>
            <w:tcW w:type="dxa" w:w="1800"/>
            <w:vAlign w:val="center"/>
          </w:tcPr>
          <w:p>
            <w:r>
              <w:t>Back</w:t>
            </w:r>
          </w:p>
        </w:tc>
        <w:tc>
          <w:tcPr>
            <w:tcW w:type="dxa" w:w="3900"/>
            <w:vAlign w:val="center"/>
          </w:tcPr>
          <w:p>
            <w:r>
              <w:t>Returns to the previous reached step.</w:t>
            </w:r>
          </w:p>
        </w:tc>
        <w:tc>
          <w:tcPr>
            <w:tcW w:type="dxa" w:w="3660"/>
            <w:vAlign w:val="center"/>
          </w:tcPr>
          <w:p>
            <w:r>
              <w:t>Use before final processing; it is hidden or disabled when backward movement is unsafe or meaningless.</w:t>
            </w:r>
          </w:p>
        </w:tc>
      </w:tr>
      <w:tr>
        <w:trPr>
          <w:cantSplit/>
        </w:trPr>
        <w:tc>
          <w:tcPr>
            <w:tcW w:type="dxa" w:w="1800"/>
            <w:vAlign w:val="center"/>
          </w:tcPr>
          <w:p>
            <w:r>
              <w:t>Cancel</w:t>
            </w:r>
          </w:p>
        </w:tc>
        <w:tc>
          <w:tcPr>
            <w:tcW w:type="dxa" w:w="3900"/>
            <w:vAlign w:val="center"/>
          </w:tcPr>
          <w:p>
            <w:r>
              <w:t>Closes an ordinary Wizard session or a stopped run.</w:t>
            </w:r>
          </w:p>
        </w:tc>
        <w:tc>
          <w:tcPr>
            <w:tcW w:type="dxa" w:w="3660"/>
            <w:vAlign w:val="center"/>
          </w:tcPr>
          <w:p>
            <w:r>
              <w:t>Press Esc before final processing. After successful completion use Finish instead.</w:t>
            </w:r>
          </w:p>
        </w:tc>
      </w:tr>
      <w:tr>
        <w:trPr>
          <w:cantSplit/>
        </w:trPr>
        <w:tc>
          <w:tcPr>
            <w:tcW w:type="dxa" w:w="1800"/>
            <w:vAlign w:val="center"/>
          </w:tcPr>
          <w:p>
            <w:r>
              <w:t>Begin Final Processing</w:t>
            </w:r>
          </w:p>
        </w:tc>
        <w:tc>
          <w:tcPr>
            <w:tcW w:type="dxa" w:w="3900"/>
            <w:vAlign w:val="center"/>
          </w:tcPr>
          <w:p>
            <w:r>
              <w:t>Replaces Next on Review and Authorize.</w:t>
            </w:r>
          </w:p>
        </w:tc>
        <w:tc>
          <w:tcPr>
            <w:tcW w:type="dxa" w:w="3660"/>
            <w:vAlign w:val="center"/>
          </w:tcPr>
          <w:p>
            <w:r>
              <w:t>Select only after the project-closed and authorization checks are true.</w:t>
            </w:r>
          </w:p>
        </w:tc>
      </w:tr>
      <w:tr>
        <w:trPr>
          <w:cantSplit/>
        </w:trPr>
        <w:tc>
          <w:tcPr>
            <w:tcW w:type="dxa" w:w="1800"/>
            <w:vAlign w:val="center"/>
          </w:tcPr>
          <w:p>
            <w:r>
              <w:t>Finish</w:t>
            </w:r>
          </w:p>
        </w:tc>
        <w:tc>
          <w:tcPr>
            <w:tcW w:type="dxa" w:w="3900"/>
            <w:vAlign w:val="center"/>
          </w:tcPr>
          <w:p>
            <w:r>
              <w:t>Closes a successful completed run.</w:t>
            </w:r>
          </w:p>
        </w:tc>
        <w:tc>
          <w:tcPr>
            <w:tcW w:type="dxa" w:w="3660"/>
            <w:vAlign w:val="center"/>
          </w:tcPr>
          <w:p>
            <w:r>
              <w:t>Press Enter after reading the completion status.</w:t>
            </w:r>
          </w:p>
        </w:tc>
      </w:tr>
      <w:tr>
        <w:trPr>
          <w:cantSplit/>
        </w:trPr>
        <w:tc>
          <w:tcPr>
            <w:tcW w:type="dxa" w:w="1800"/>
            <w:vAlign w:val="center"/>
          </w:tcPr>
          <w:p>
            <w:r>
              <w:t>Footer status</w:t>
            </w:r>
          </w:p>
        </w:tc>
        <w:tc>
          <w:tcPr>
            <w:tcW w:type="dxa" w:w="3900"/>
            <w:vAlign w:val="center"/>
          </w:tcPr>
          <w:p>
            <w:r>
              <w:t>Reports the last completed action and next requirement.</w:t>
            </w:r>
          </w:p>
        </w:tc>
        <w:tc>
          <w:tcPr>
            <w:tcW w:type="dxa" w:w="3660"/>
            <w:vAlign w:val="center"/>
          </w:tcPr>
          <w:p>
            <w:r>
              <w:t>Read it whenever a button remains disabled.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Final-processing boundary. </w:t>
            </w:r>
            <w:r>
              <w:t>Before Begin Final Processing, Cancel leaves the target unchanged. During processing, closing is blocked while an active operation must finish or stop safely. On success Back and Cancel disappear because Finish is the only meaningful close action.</w:t>
            </w:r>
          </w:p>
        </w:tc>
      </w:tr>
    </w:tbl>
    <w:p>
      <w:pPr>
        <w:pStyle w:val="Heading1"/>
      </w:pPr>
      <w:r>
        <w:t>4. Step 1 - Welcome</w:t>
      </w:r>
    </w:p>
    <w:p>
      <w:pPr>
        <w:keepNext/>
        <w:jc w:val="center"/>
      </w:pPr>
      <w:r>
        <w:drawing>
          <wp:inline xmlns:a="http://schemas.openxmlformats.org/drawingml/2006/main" xmlns:pic="http://schemas.openxmlformats.org/drawingml/2006/picture">
            <wp:extent cx="5897880" cy="3888353"/>
            <wp:docPr id="3" name="Picture 3" descr="Welcome page explaining the Wizard and safety boundary" title="Welcome page explaining the Wizard and safety boundary"/>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897880" cy="3888353"/>
                    </a:xfrm>
                    <a:prstGeom prst="rect"/>
                  </pic:spPr>
                </pic:pic>
              </a:graphicData>
            </a:graphic>
          </wp:inline>
        </w:drawing>
      </w:r>
    </w:p>
    <w:p>
      <w:pPr>
        <w:spacing w:after="200"/>
        <w:jc w:val="center"/>
      </w:pPr>
      <w:r>
        <w:rPr>
          <w:rFonts w:ascii="Aptos" w:hAnsi="Aptos"/>
          <w:i/>
          <w:color w:val="5D7693"/>
          <w:sz w:val="18"/>
        </w:rPr>
        <w:t>Figure 4-1. Step 1 - Welcome.</w:t>
      </w:r>
    </w:p>
    <w:p>
      <w:pPr>
        <w:keepNext/>
        <w:jc w:val="center"/>
      </w:pPr>
      <w:r>
        <w:drawing>
          <wp:inline xmlns:a="http://schemas.openxmlformats.org/drawingml/2006/main" xmlns:pic="http://schemas.openxmlformats.org/drawingml/2006/picture">
            <wp:extent cx="5394960" cy="1037492"/>
            <wp:docPr id="4" name="Picture 4" descr="Back, Next, and Cancel buttons on the Welcome page" title="Back, Next, and Cancel buttons on the Welcome page"/>
            <wp:cNvGraphicFramePr>
              <a:graphicFrameLocks noChangeAspect="1"/>
            </wp:cNvGraphicFramePr>
            <a:graphic>
              <a:graphicData uri="http://schemas.openxmlformats.org/drawingml/2006/picture">
                <pic:pic>
                  <pic:nvPicPr>
                    <pic:cNvPr id="0" name="07-wizard-welcome.png"/>
                    <pic:cNvPicPr/>
                  </pic:nvPicPr>
                  <pic:blipFill>
                    <a:blip r:embed="rId16"/>
                    <a:srcRect l="56000" t="76000" r="0" b="0"/>
                    <a:stretch>
                      <a:fillRect/>
                    </a:stretch>
                  </pic:blipFill>
                  <pic:spPr>
                    <a:xfrm>
                      <a:off x="0" y="0"/>
                      <a:ext cx="5394960" cy="1037492"/>
                    </a:xfrm>
                    <a:prstGeom prst="rect"/>
                  </pic:spPr>
                </pic:pic>
              </a:graphicData>
            </a:graphic>
          </wp:inline>
        </w:drawing>
      </w:r>
    </w:p>
    <w:p>
      <w:pPr>
        <w:spacing w:after="200"/>
        <w:jc w:val="center"/>
      </w:pPr>
      <w:r>
        <w:rPr>
          <w:rFonts w:ascii="Aptos" w:hAnsi="Aptos"/>
          <w:i/>
          <w:color w:val="5D7693"/>
          <w:sz w:val="18"/>
        </w:rPr>
        <w:t>Figure 4-2. Welcome-page navigation buttons.</w:t>
      </w:r>
    </w:p>
    <w:p>
      <w:r>
        <w:t>The Welcome page establishes what the Wizard will identify and produce. At this point no project is selected and no provider request, scan, backup, export, or deployment has started.</w:t>
      </w:r>
    </w:p>
    <w:p>
      <w:r>
        <w:t>Read the safety notice. It explains that final processing creates a backup and Studio-owned artifacts while target Pascal, form, DPR, and DPROJ files remain read-only. Press Enter or select Next.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Welcome explanation</w:t>
            </w:r>
          </w:p>
        </w:tc>
        <w:tc>
          <w:tcPr>
            <w:tcW w:type="dxa" w:w="3900"/>
            <w:vAlign w:val="center"/>
          </w:tcPr>
          <w:p>
            <w:r>
              <w:t>Summarizes project identification, languages, provider verification, scanning, packs, and component integration.</w:t>
            </w:r>
          </w:p>
        </w:tc>
        <w:tc>
          <w:tcPr>
            <w:tcW w:type="dxa" w:w="3660"/>
            <w:vAlign w:val="center"/>
          </w:tcPr>
          <w:p>
            <w:r>
              <w:t>Confirm that this is the intended guided workflow.</w:t>
            </w:r>
          </w:p>
        </w:tc>
      </w:tr>
      <w:tr>
        <w:trPr>
          <w:cantSplit/>
        </w:trPr>
        <w:tc>
          <w:tcPr>
            <w:tcW w:type="dxa" w:w="1800"/>
            <w:vAlign w:val="center"/>
          </w:tcPr>
          <w:p>
            <w:r>
              <w:t>Safety notice</w:t>
            </w:r>
          </w:p>
        </w:tc>
        <w:tc>
          <w:tcPr>
            <w:tcW w:type="dxa" w:w="3900"/>
            <w:vAlign w:val="center"/>
          </w:tcPr>
          <w:p>
            <w:r>
              <w:t>Defines the read-only target-source contract and required backup.</w:t>
            </w:r>
          </w:p>
        </w:tc>
        <w:tc>
          <w:tcPr>
            <w:tcW w:type="dxa" w:w="3660"/>
            <w:vAlign w:val="center"/>
          </w:tcPr>
          <w:p>
            <w:r>
              <w:t>Do not continue if the selected target copy is not disposable or protected.</w:t>
            </w:r>
          </w:p>
        </w:tc>
      </w:tr>
      <w:tr>
        <w:trPr>
          <w:cantSplit/>
        </w:trPr>
        <w:tc>
          <w:tcPr>
            <w:tcW w:type="dxa" w:w="1800"/>
            <w:vAlign w:val="center"/>
          </w:tcPr>
          <w:p>
            <w:r>
              <w:t>Next</w:t>
            </w:r>
          </w:p>
        </w:tc>
        <w:tc>
          <w:tcPr>
            <w:tcW w:type="dxa" w:w="3900"/>
            <w:vAlign w:val="center"/>
          </w:tcPr>
          <w:p>
            <w:r>
              <w:t>Opens Delphi Project.</w:t>
            </w:r>
          </w:p>
        </w:tc>
        <w:tc>
          <w:tcPr>
            <w:tcW w:type="dxa" w:w="3660"/>
            <w:vAlign w:val="center"/>
          </w:tcPr>
          <w:p>
            <w:r>
              <w:t>Default action; Enter should activate it.</w:t>
            </w:r>
          </w:p>
        </w:tc>
      </w:tr>
    </w:tbl>
    <w:p>
      <w:pPr>
        <w:pStyle w:val="Heading1"/>
      </w:pPr>
      <w:r>
        <w:t>5. Step 2 - Delphi Project</w:t>
      </w:r>
    </w:p>
    <w:p>
      <w:pPr>
        <w:keepNext/>
        <w:jc w:val="center"/>
      </w:pPr>
      <w:r>
        <w:drawing>
          <wp:inline xmlns:a="http://schemas.openxmlformats.org/drawingml/2006/main" xmlns:pic="http://schemas.openxmlformats.org/drawingml/2006/picture">
            <wp:extent cx="5897880" cy="3317558"/>
            <wp:docPr id="5" name="Picture 5" descr="Delphi Project page with project path, Browse, detected framework, application ID, targets, forms, and source units" title="Delphi Project page with project path, Browse, detected framework, application ID, targets, forms, and source units"/>
            <wp:cNvGraphicFramePr>
              <a:graphicFrameLocks noChangeAspect="1"/>
            </wp:cNvGraphicFramePr>
            <a:graphic>
              <a:graphicData uri="http://schemas.openxmlformats.org/drawingml/2006/picture">
                <pic:pic>
                  <pic:nvPicPr>
                    <pic:cNvPr id="0" name="08-wizard-project.png"/>
                    <pic:cNvPicPr/>
                  </pic:nvPicPr>
                  <pic:blipFill>
                    <a:blip r:embed="rId17"/>
                    <a:stretch>
                      <a:fillRect/>
                    </a:stretch>
                  </pic:blipFill>
                  <pic:spPr>
                    <a:xfrm>
                      <a:off x="0" y="0"/>
                      <a:ext cx="5897880" cy="3317558"/>
                    </a:xfrm>
                    <a:prstGeom prst="rect"/>
                  </pic:spPr>
                </pic:pic>
              </a:graphicData>
            </a:graphic>
          </wp:inline>
        </w:drawing>
      </w:r>
    </w:p>
    <w:p>
      <w:pPr>
        <w:spacing w:after="200"/>
        <w:jc w:val="center"/>
      </w:pPr>
      <w:r>
        <w:rPr>
          <w:rFonts w:ascii="Aptos" w:hAnsi="Aptos"/>
          <w:i/>
          <w:color w:val="5D7693"/>
          <w:sz w:val="18"/>
        </w:rPr>
        <w:t>Figure 5-1. Step 2 - Delphi Project.</w:t>
      </w:r>
    </w:p>
    <w:p>
      <w:pPr>
        <w:keepNext/>
        <w:jc w:val="center"/>
      </w:pPr>
      <w:r>
        <w:drawing>
          <wp:inline xmlns:a="http://schemas.openxmlformats.org/drawingml/2006/main" xmlns:pic="http://schemas.openxmlformats.org/drawingml/2006/picture">
            <wp:extent cx="5394960" cy="2074984"/>
            <wp:docPr id="6" name="Picture 6" descr="Project path, Browse button, and detected project metadata" title="Project path, Browse button, and detected project metadata"/>
            <wp:cNvGraphicFramePr>
              <a:graphicFrameLocks noChangeAspect="1"/>
            </wp:cNvGraphicFramePr>
            <a:graphic>
              <a:graphicData uri="http://schemas.openxmlformats.org/drawingml/2006/picture">
                <pic:pic>
                  <pic:nvPicPr>
                    <pic:cNvPr id="0" name="08-wizard-project.png"/>
                    <pic:cNvPicPr/>
                  </pic:nvPicPr>
                  <pic:blipFill>
                    <a:blip r:embed="rId17"/>
                    <a:srcRect l="21000" t="17000" r="18000" b="42000"/>
                    <a:stretch>
                      <a:fillRect/>
                    </a:stretch>
                  </pic:blipFill>
                  <pic:spPr>
                    <a:xfrm>
                      <a:off x="0" y="0"/>
                      <a:ext cx="5394960" cy="2074984"/>
                    </a:xfrm>
                    <a:prstGeom prst="rect"/>
                  </pic:spPr>
                </pic:pic>
              </a:graphicData>
            </a:graphic>
          </wp:inline>
        </w:drawing>
      </w:r>
    </w:p>
    <w:p>
      <w:pPr>
        <w:spacing w:after="200"/>
        <w:jc w:val="center"/>
      </w:pPr>
      <w:r>
        <w:rPr>
          <w:rFonts w:ascii="Aptos" w:hAnsi="Aptos"/>
          <w:i/>
          <w:color w:val="5D7693"/>
          <w:sz w:val="18"/>
        </w:rPr>
        <w:t>Figure 5-2. Project selection and detected identity.</w:t>
      </w:r>
    </w:p>
    <w:p>
      <w:r>
        <w:t>Browse selects a DPR or DPROJ; DPROJ is preferred because it provides framework, platform, configuration, source, form, and output metadata. Detection is read-only and does not compile or execute the target.</w:t>
      </w:r>
    </w:p>
    <w:p>
      <w:r>
        <w:t>ApplicationId is the stable identity that links catalog, pack, manager, workspace, and preference. It must match the manager's published ApplicationId exactly. A folder name, product caption, or executable display name is not a substitute.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Project path</w:t>
            </w:r>
          </w:p>
        </w:tc>
        <w:tc>
          <w:tcPr>
            <w:tcW w:type="dxa" w:w="3900"/>
            <w:vAlign w:val="center"/>
          </w:tcPr>
          <w:p>
            <w:r>
              <w:t>Holds the selected DPR/DPROJ.</w:t>
            </w:r>
          </w:p>
        </w:tc>
        <w:tc>
          <w:tcPr>
            <w:tcW w:type="dxa" w:w="3660"/>
            <w:vAlign w:val="center"/>
          </w:tcPr>
          <w:p>
            <w:r>
              <w:t>Verify the test copy path character by character.</w:t>
            </w:r>
          </w:p>
        </w:tc>
      </w:tr>
      <w:tr>
        <w:trPr>
          <w:cantSplit/>
        </w:trPr>
        <w:tc>
          <w:tcPr>
            <w:tcW w:type="dxa" w:w="1800"/>
            <w:vAlign w:val="center"/>
          </w:tcPr>
          <w:p>
            <w:r>
              <w:t>Browse</w:t>
            </w:r>
          </w:p>
        </w:tc>
        <w:tc>
          <w:tcPr>
            <w:tcW w:type="dxa" w:w="3900"/>
            <w:vAlign w:val="center"/>
          </w:tcPr>
          <w:p>
            <w:r>
              <w:t>Opens the project-file picker and reruns detection.</w:t>
            </w:r>
          </w:p>
        </w:tc>
        <w:tc>
          <w:tcPr>
            <w:tcW w:type="dxa" w:w="3660"/>
            <w:vAlign w:val="center"/>
          </w:tcPr>
          <w:p>
            <w:r>
              <w:t>Choose the target DPROJ whenever available.</w:t>
            </w:r>
          </w:p>
        </w:tc>
      </w:tr>
      <w:tr>
        <w:trPr>
          <w:cantSplit/>
        </w:trPr>
        <w:tc>
          <w:tcPr>
            <w:tcW w:type="dxa" w:w="1800"/>
            <w:vAlign w:val="center"/>
          </w:tcPr>
          <w:p>
            <w:r>
              <w:t>Application ID</w:t>
            </w:r>
          </w:p>
        </w:tc>
        <w:tc>
          <w:tcPr>
            <w:tcW w:type="dxa" w:w="3900"/>
            <w:vAlign w:val="center"/>
          </w:tcPr>
          <w:p>
            <w:r>
              <w:t>Displays the detected stable application identity.</w:t>
            </w:r>
          </w:p>
        </w:tc>
        <w:tc>
          <w:tcPr>
            <w:tcW w:type="dxa" w:w="3660"/>
            <w:vAlign w:val="center"/>
          </w:tcPr>
          <w:p>
            <w:r>
              <w:t>Copy it into the target manager ApplicationId property exactly.</w:t>
            </w:r>
          </w:p>
        </w:tc>
      </w:tr>
      <w:tr>
        <w:trPr>
          <w:cantSplit/>
        </w:trPr>
        <w:tc>
          <w:tcPr>
            <w:tcW w:type="dxa" w:w="1800"/>
            <w:vAlign w:val="center"/>
          </w:tcPr>
          <w:p>
            <w:r>
              <w:t>Copy ID</w:t>
            </w:r>
          </w:p>
        </w:tc>
        <w:tc>
          <w:tcPr>
            <w:tcW w:type="dxa" w:w="3900"/>
            <w:vAlign w:val="center"/>
          </w:tcPr>
          <w:p>
            <w:r>
              <w:t>Copies ApplicationId to the clipboard.</w:t>
            </w:r>
          </w:p>
        </w:tc>
        <w:tc>
          <w:tcPr>
            <w:tcW w:type="dxa" w:w="3660"/>
            <w:vAlign w:val="center"/>
          </w:tcPr>
          <w:p>
            <w:r>
              <w:t>Use when configuring Object Inspector.</w:t>
            </w:r>
          </w:p>
        </w:tc>
      </w:tr>
      <w:tr>
        <w:trPr>
          <w:cantSplit/>
        </w:trPr>
        <w:tc>
          <w:tcPr>
            <w:tcW w:type="dxa" w:w="1800"/>
            <w:vAlign w:val="center"/>
          </w:tcPr>
          <w:p>
            <w:r>
              <w:t>Framework / targets</w:t>
            </w:r>
          </w:p>
        </w:tc>
        <w:tc>
          <w:tcPr>
            <w:tcW w:type="dxa" w:w="3900"/>
            <w:vAlign w:val="center"/>
          </w:tcPr>
          <w:p>
            <w:r>
              <w:t>Reports VCL or FMX and Win32/Win64 availability.</w:t>
            </w:r>
          </w:p>
        </w:tc>
        <w:tc>
          <w:tcPr>
            <w:tcW w:type="dxa" w:w="3660"/>
            <w:vAlign w:val="center"/>
          </w:tcPr>
          <w:p>
            <w:r>
              <w:t>Stop if the framework is wrong or expected targets are missing.</w:t>
            </w:r>
          </w:p>
        </w:tc>
      </w:tr>
      <w:tr>
        <w:trPr>
          <w:cantSplit/>
        </w:trPr>
        <w:tc>
          <w:tcPr>
            <w:tcW w:type="dxa" w:w="1800"/>
            <w:vAlign w:val="center"/>
          </w:tcPr>
          <w:p>
            <w:r>
              <w:t>Form resources / source units</w:t>
            </w:r>
          </w:p>
        </w:tc>
        <w:tc>
          <w:tcPr>
            <w:tcW w:type="dxa" w:w="3900"/>
            <w:vAlign w:val="center"/>
          </w:tcPr>
          <w:p>
            <w:r>
              <w:t>Reports project discovery breadth.</w:t>
            </w:r>
          </w:p>
        </w:tc>
        <w:tc>
          <w:tcPr>
            <w:tcW w:type="dxa" w:w="3660"/>
            <w:vAlign w:val="center"/>
          </w:tcPr>
          <w:p>
            <w:r>
              <w:t>A suspiciously low count normally means the wrong or incomplete project was selected.</w:t>
            </w:r>
          </w:p>
        </w:tc>
      </w:tr>
      <w:tr>
        <w:trPr>
          <w:cantSplit/>
        </w:trPr>
        <w:tc>
          <w:tcPr>
            <w:tcW w:type="dxa" w:w="1800"/>
            <w:vAlign w:val="center"/>
          </w:tcPr>
          <w:p>
            <w:r>
              <w:t>Next</w:t>
            </w:r>
          </w:p>
        </w:tc>
        <w:tc>
          <w:tcPr>
            <w:tcW w:type="dxa" w:w="3900"/>
            <w:vAlign w:val="center"/>
          </w:tcPr>
          <w:p>
            <w:r>
              <w:t>Accepts detected identity and opens Deployment.</w:t>
            </w:r>
          </w:p>
        </w:tc>
        <w:tc>
          <w:tcPr>
            <w:tcW w:type="dxa" w:w="3660"/>
            <w:vAlign w:val="center"/>
          </w:tcPr>
          <w:p>
            <w:r>
              <w:t>Enabled only after a supported project is identified.</w:t>
            </w:r>
          </w:p>
        </w:tc>
      </w:tr>
    </w:tbl>
    <w:p>
      <w:pPr>
        <w:pStyle w:val="Heading1"/>
      </w:pPr>
      <w:r>
        <w:t>6. Step 3 - Deployment</w:t>
      </w:r>
    </w:p>
    <w:p>
      <w:pPr>
        <w:keepNext/>
        <w:jc w:val="center"/>
      </w:pPr>
      <w:r>
        <w:drawing>
          <wp:inline xmlns:a="http://schemas.openxmlformats.org/drawingml/2006/main" xmlns:pic="http://schemas.openxmlformats.org/drawingml/2006/picture">
            <wp:extent cx="5897880" cy="3317558"/>
            <wp:docPr id="7" name="Picture 7" descr="Deployment page listing detected build outputs and optional application folders" title="Deployment page listing detected build outputs and optional application folders"/>
            <wp:cNvGraphicFramePr>
              <a:graphicFrameLocks noChangeAspect="1"/>
            </wp:cNvGraphicFramePr>
            <a:graphic>
              <a:graphicData uri="http://schemas.openxmlformats.org/drawingml/2006/picture">
                <pic:pic>
                  <pic:nvPicPr>
                    <pic:cNvPr id="0" name="09-wizard-deployment.png"/>
                    <pic:cNvPicPr/>
                  </pic:nvPicPr>
                  <pic:blipFill>
                    <a:blip r:embed="rId18"/>
                    <a:stretch>
                      <a:fillRect/>
                    </a:stretch>
                  </pic:blipFill>
                  <pic:spPr>
                    <a:xfrm>
                      <a:off x="0" y="0"/>
                      <a:ext cx="5897880" cy="3317558"/>
                    </a:xfrm>
                    <a:prstGeom prst="rect"/>
                  </pic:spPr>
                </pic:pic>
              </a:graphicData>
            </a:graphic>
          </wp:inline>
        </w:drawing>
      </w:r>
    </w:p>
    <w:p>
      <w:pPr>
        <w:spacing w:after="200"/>
        <w:jc w:val="center"/>
      </w:pPr>
      <w:r>
        <w:rPr>
          <w:rFonts w:ascii="Aptos" w:hAnsi="Aptos"/>
          <w:i/>
          <w:color w:val="5D7693"/>
          <w:sz w:val="18"/>
        </w:rPr>
        <w:t>Figure 6-1. Step 3 - Deployment.</w:t>
      </w:r>
    </w:p>
    <w:p>
      <w:pPr>
        <w:keepNext/>
        <w:jc w:val="center"/>
      </w:pPr>
      <w:r>
        <w:drawing>
          <wp:inline xmlns:a="http://schemas.openxmlformats.org/drawingml/2006/main" xmlns:pic="http://schemas.openxmlformats.org/drawingml/2006/picture">
            <wp:extent cx="5394960" cy="1926771"/>
            <wp:docPr id="8" name="Picture 8" descr="Deployment destination list with Add and Remove controls" title="Deployment destination list with Add and Remove controls"/>
            <wp:cNvGraphicFramePr>
              <a:graphicFrameLocks noChangeAspect="1"/>
            </wp:cNvGraphicFramePr>
            <a:graphic>
              <a:graphicData uri="http://schemas.openxmlformats.org/drawingml/2006/picture">
                <pic:pic>
                  <pic:nvPicPr>
                    <pic:cNvPr id="0" name="09-wizard-deployment.png"/>
                    <pic:cNvPicPr/>
                  </pic:nvPicPr>
                  <pic:blipFill>
                    <a:blip r:embed="rId18"/>
                    <a:srcRect l="16000" t="20000" r="21000" b="26000"/>
                    <a:stretch>
                      <a:fillRect/>
                    </a:stretch>
                  </pic:blipFill>
                  <pic:spPr>
                    <a:xfrm>
                      <a:off x="0" y="0"/>
                      <a:ext cx="5394960" cy="1926771"/>
                    </a:xfrm>
                    <a:prstGeom prst="rect"/>
                  </pic:spPr>
                </pic:pic>
              </a:graphicData>
            </a:graphic>
          </wp:inline>
        </w:drawing>
      </w:r>
    </w:p>
    <w:p>
      <w:pPr>
        <w:spacing w:after="200"/>
        <w:jc w:val="center"/>
      </w:pPr>
      <w:r>
        <w:rPr>
          <w:rFonts w:ascii="Aptos" w:hAnsi="Aptos"/>
          <w:i/>
          <w:color w:val="5D7693"/>
          <w:sz w:val="18"/>
        </w:rPr>
        <w:t>Figure 6-2. Optional destination controls.</w:t>
      </w:r>
    </w:p>
    <w:p>
      <w:r>
        <w:t>Detected Delphi output folders require no manual entry. Add only separate installed, portable, network, USB, or test-run folders that should receive the current language packs.</w:t>
      </w:r>
    </w:p>
    <w:p>
      <w:r>
        <w:t>Choose the application folder containing the executable, not its Localization or Languages child folder. An unavailable removable or network destination is reported and skipped; it does not invalidate the pack.</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Detected outputs</w:t>
            </w:r>
          </w:p>
        </w:tc>
        <w:tc>
          <w:tcPr>
            <w:tcW w:type="dxa" w:w="3900"/>
            <w:vAlign w:val="center"/>
          </w:tcPr>
          <w:p>
            <w:r>
              <w:t>Shows build-output folders inferred from the project.</w:t>
            </w:r>
          </w:p>
        </w:tc>
        <w:tc>
          <w:tcPr>
            <w:tcW w:type="dxa" w:w="3660"/>
            <w:vAlign w:val="center"/>
          </w:tcPr>
          <w:p>
            <w:r>
              <w:t>Verify they correspond to the configurations you intend to run.</w:t>
            </w:r>
          </w:p>
        </w:tc>
      </w:tr>
      <w:tr>
        <w:trPr>
          <w:cantSplit/>
        </w:trPr>
        <w:tc>
          <w:tcPr>
            <w:tcW w:type="dxa" w:w="1800"/>
            <w:vAlign w:val="center"/>
          </w:tcPr>
          <w:p>
            <w:r>
              <w:t>Destination list</w:t>
            </w:r>
          </w:p>
        </w:tc>
        <w:tc>
          <w:tcPr>
            <w:tcW w:type="dxa" w:w="3900"/>
            <w:vAlign w:val="center"/>
          </w:tcPr>
          <w:p>
            <w:r>
              <w:t>Stores additional authorized application folders.</w:t>
            </w:r>
          </w:p>
        </w:tc>
        <w:tc>
          <w:tcPr>
            <w:tcW w:type="dxa" w:w="3660"/>
            <w:vAlign w:val="center"/>
          </w:tcPr>
          <w:p>
            <w:r>
              <w:t>Leave empty when normal build outputs are sufficient.</w:t>
            </w:r>
          </w:p>
        </w:tc>
      </w:tr>
      <w:tr>
        <w:trPr>
          <w:cantSplit/>
        </w:trPr>
        <w:tc>
          <w:tcPr>
            <w:tcW w:type="dxa" w:w="1800"/>
            <w:vAlign w:val="center"/>
          </w:tcPr>
          <w:p>
            <w:r>
              <w:t>Add Application Folder</w:t>
            </w:r>
          </w:p>
        </w:tc>
        <w:tc>
          <w:tcPr>
            <w:tcW w:type="dxa" w:w="3900"/>
            <w:vAlign w:val="center"/>
          </w:tcPr>
          <w:p>
            <w:r>
              <w:t>Adds one executable-containing folder.</w:t>
            </w:r>
          </w:p>
        </w:tc>
        <w:tc>
          <w:tcPr>
            <w:tcW w:type="dxa" w:w="3660"/>
            <w:vAlign w:val="center"/>
          </w:tcPr>
          <w:p>
            <w:r>
              <w:t>Use the full path, including drive letter.</w:t>
            </w:r>
          </w:p>
        </w:tc>
      </w:tr>
      <w:tr>
        <w:trPr>
          <w:cantSplit/>
        </w:trPr>
        <w:tc>
          <w:tcPr>
            <w:tcW w:type="dxa" w:w="1800"/>
            <w:vAlign w:val="center"/>
          </w:tcPr>
          <w:p>
            <w:r>
              <w:t>Remove Selected</w:t>
            </w:r>
          </w:p>
        </w:tc>
        <w:tc>
          <w:tcPr>
            <w:tcW w:type="dxa" w:w="3900"/>
            <w:vAlign w:val="center"/>
          </w:tcPr>
          <w:p>
            <w:r>
              <w:t>Removes an incorrect or obsolete optional destination.</w:t>
            </w:r>
          </w:p>
        </w:tc>
        <w:tc>
          <w:tcPr>
            <w:tcW w:type="dxa" w:w="3660"/>
            <w:vAlign w:val="center"/>
          </w:tcPr>
          <w:p>
            <w:r>
              <w:t>Select the row first.</w:t>
            </w:r>
          </w:p>
        </w:tc>
      </w:tr>
      <w:tr>
        <w:trPr>
          <w:cantSplit/>
        </w:trPr>
        <w:tc>
          <w:tcPr>
            <w:tcW w:type="dxa" w:w="1800"/>
            <w:vAlign w:val="center"/>
          </w:tcPr>
          <w:p>
            <w:r>
              <w:t>Deployment summary</w:t>
            </w:r>
          </w:p>
        </w:tc>
        <w:tc>
          <w:tcPr>
            <w:tcW w:type="dxa" w:w="3900"/>
            <w:vAlign w:val="center"/>
          </w:tcPr>
          <w:p>
            <w:r>
              <w:t>Explains what will be deployed and when.</w:t>
            </w:r>
          </w:p>
        </w:tc>
        <w:tc>
          <w:tcPr>
            <w:tcW w:type="dxa" w:w="3660"/>
            <w:vAlign w:val="center"/>
          </w:tcPr>
          <w:p>
            <w:r>
              <w:t>Read before continuing; no source file is modified.</w:t>
            </w:r>
          </w:p>
        </w:tc>
      </w:tr>
    </w:tbl>
    <w:p>
      <w:pPr>
        <w:pStyle w:val="Heading1"/>
      </w:pPr>
      <w:r>
        <w:t>7. Step 4 - Languages</w:t>
      </w:r>
    </w:p>
    <w:p>
      <w:pPr>
        <w:keepNext/>
        <w:jc w:val="center"/>
      </w:pPr>
      <w:r>
        <w:drawing>
          <wp:inline xmlns:a="http://schemas.openxmlformats.org/drawingml/2006/main" xmlns:pic="http://schemas.openxmlformats.org/drawingml/2006/picture">
            <wp:extent cx="5897880" cy="3317558"/>
            <wp:docPr id="9" name="Picture 9" descr="Languages page with source and target locale selectors and locale facts" title="Languages page with source and target locale selectors and locale facts"/>
            <wp:cNvGraphicFramePr>
              <a:graphicFrameLocks noChangeAspect="1"/>
            </wp:cNvGraphicFramePr>
            <a:graphic>
              <a:graphicData uri="http://schemas.openxmlformats.org/drawingml/2006/picture">
                <pic:pic>
                  <pic:nvPicPr>
                    <pic:cNvPr id="0" name="10-wizard-languages.png"/>
                    <pic:cNvPicPr/>
                  </pic:nvPicPr>
                  <pic:blipFill>
                    <a:blip r:embed="rId19"/>
                    <a:stretch>
                      <a:fillRect/>
                    </a:stretch>
                  </pic:blipFill>
                  <pic:spPr>
                    <a:xfrm>
                      <a:off x="0" y="0"/>
                      <a:ext cx="5897880" cy="3317558"/>
                    </a:xfrm>
                    <a:prstGeom prst="rect"/>
                  </pic:spPr>
                </pic:pic>
              </a:graphicData>
            </a:graphic>
          </wp:inline>
        </w:drawing>
      </w:r>
    </w:p>
    <w:p>
      <w:pPr>
        <w:spacing w:after="200"/>
        <w:jc w:val="center"/>
      </w:pPr>
      <w:r>
        <w:rPr>
          <w:rFonts w:ascii="Aptos" w:hAnsi="Aptos"/>
          <w:i/>
          <w:color w:val="5D7693"/>
          <w:sz w:val="18"/>
        </w:rPr>
        <w:t>Figure 7-1. Step 4 - Languages.</w:t>
      </w:r>
    </w:p>
    <w:p>
      <w:pPr>
        <w:keepNext/>
        <w:jc w:val="center"/>
      </w:pPr>
      <w:r>
        <w:drawing>
          <wp:inline xmlns:a="http://schemas.openxmlformats.org/drawingml/2006/main" xmlns:pic="http://schemas.openxmlformats.org/drawingml/2006/picture">
            <wp:extent cx="5394960" cy="1998133"/>
            <wp:docPr id="10" name="Picture 10" descr="Source-language and target-language selectors" title="Source-language and target-language selectors"/>
            <wp:cNvGraphicFramePr>
              <a:graphicFrameLocks noChangeAspect="1"/>
            </wp:cNvGraphicFramePr>
            <a:graphic>
              <a:graphicData uri="http://schemas.openxmlformats.org/drawingml/2006/picture">
                <pic:pic>
                  <pic:nvPicPr>
                    <pic:cNvPr id="0" name="10-wizard-languages.png"/>
                    <pic:cNvPicPr/>
                  </pic:nvPicPr>
                  <pic:blipFill>
                    <a:blip r:embed="rId19"/>
                    <a:srcRect l="15000" t="19000" r="16000" b="43000"/>
                    <a:stretch>
                      <a:fillRect/>
                    </a:stretch>
                  </pic:blipFill>
                  <pic:spPr>
                    <a:xfrm>
                      <a:off x="0" y="0"/>
                      <a:ext cx="5394960" cy="1998133"/>
                    </a:xfrm>
                    <a:prstGeom prst="rect"/>
                  </pic:spPr>
                </pic:pic>
              </a:graphicData>
            </a:graphic>
          </wp:inline>
        </w:drawing>
      </w:r>
    </w:p>
    <w:p>
      <w:pPr>
        <w:spacing w:after="200"/>
        <w:jc w:val="center"/>
      </w:pPr>
      <w:r>
        <w:rPr>
          <w:rFonts w:ascii="Aptos" w:hAnsi="Aptos"/>
          <w:i/>
          <w:color w:val="5D7693"/>
          <w:sz w:val="18"/>
        </w:rPr>
        <w:t>Figure 7-2. Source and target locale selection.</w:t>
      </w:r>
    </w:p>
    <w:p>
      <w:r>
        <w:t>Source language is the language already authored in the saved forms and source. Target language is the new runtime choice. The locale code controls pack naming, native display name, direction, and formatting facts.</w:t>
      </w:r>
    </w:p>
    <w:p>
      <w:r>
        <w:t>Changing source, target, or project invalidates downstream scan/catalog state in the current Wizard session. That reset prevents a catalog built for one identity or locale from being exported as another.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Source language</w:t>
            </w:r>
          </w:p>
        </w:tc>
        <w:tc>
          <w:tcPr>
            <w:tcW w:type="dxa" w:w="3900"/>
            <w:vAlign w:val="center"/>
          </w:tcPr>
          <w:p>
            <w:r>
              <w:t>Identifies the authored source locale.</w:t>
            </w:r>
          </w:p>
        </w:tc>
        <w:tc>
          <w:tcPr>
            <w:tcW w:type="dxa" w:w="3660"/>
            <w:vAlign w:val="center"/>
          </w:tcPr>
          <w:p>
            <w:r>
              <w:t>Normally English (United States) [en-US] for an English Delphi application.</w:t>
            </w:r>
          </w:p>
        </w:tc>
      </w:tr>
      <w:tr>
        <w:trPr>
          <w:cantSplit/>
        </w:trPr>
        <w:tc>
          <w:tcPr>
            <w:tcW w:type="dxa" w:w="1800"/>
            <w:vAlign w:val="center"/>
          </w:tcPr>
          <w:p>
            <w:r>
              <w:t>Target language</w:t>
            </w:r>
          </w:p>
        </w:tc>
        <w:tc>
          <w:tcPr>
            <w:tcW w:type="dxa" w:w="3900"/>
            <w:vAlign w:val="center"/>
          </w:tcPr>
          <w:p>
            <w:r>
              <w:t>Selects the pack to create or update.</w:t>
            </w:r>
          </w:p>
        </w:tc>
        <w:tc>
          <w:tcPr>
            <w:tcW w:type="dxa" w:w="3660"/>
            <w:vAlign w:val="center"/>
          </w:tcPr>
          <w:p>
            <w:r>
              <w:t>Choose one locale for this Wizard run.</w:t>
            </w:r>
          </w:p>
        </w:tc>
      </w:tr>
      <w:tr>
        <w:trPr>
          <w:cantSplit/>
        </w:trPr>
        <w:tc>
          <w:tcPr>
            <w:tcW w:type="dxa" w:w="1800"/>
            <w:vAlign w:val="center"/>
          </w:tcPr>
          <w:p>
            <w:r>
              <w:t>Native name</w:t>
            </w:r>
          </w:p>
        </w:tc>
        <w:tc>
          <w:tcPr>
            <w:tcW w:type="dxa" w:w="3900"/>
            <w:vAlign w:val="center"/>
          </w:tcPr>
          <w:p>
            <w:r>
              <w:t>Shows the end-user language label.</w:t>
            </w:r>
          </w:p>
        </w:tc>
        <w:tc>
          <w:tcPr>
            <w:tcW w:type="dxa" w:w="3660"/>
            <w:vAlign w:val="center"/>
          </w:tcPr>
          <w:p>
            <w:r>
              <w:t>Verify spelling and script.</w:t>
            </w:r>
          </w:p>
        </w:tc>
      </w:tr>
      <w:tr>
        <w:trPr>
          <w:cantSplit/>
        </w:trPr>
        <w:tc>
          <w:tcPr>
            <w:tcW w:type="dxa" w:w="1800"/>
            <w:vAlign w:val="center"/>
          </w:tcPr>
          <w:p>
            <w:r>
              <w:t>Direction</w:t>
            </w:r>
          </w:p>
        </w:tc>
        <w:tc>
          <w:tcPr>
            <w:tcW w:type="dxa" w:w="3900"/>
            <w:vAlign w:val="center"/>
          </w:tcPr>
          <w:p>
            <w:r>
              <w:t>Reports LTR or RTL.</w:t>
            </w:r>
          </w:p>
        </w:tc>
        <w:tc>
          <w:tcPr>
            <w:tcW w:type="dxa" w:w="3660"/>
            <w:vAlign w:val="center"/>
          </w:tcPr>
          <w:p>
            <w:r>
              <w:t>Arabic, Hebrew, and Urdu must report RTL.</w:t>
            </w:r>
          </w:p>
        </w:tc>
      </w:tr>
      <w:tr>
        <w:trPr>
          <w:cantSplit/>
        </w:trPr>
        <w:tc>
          <w:tcPr>
            <w:tcW w:type="dxa" w:w="1800"/>
            <w:vAlign w:val="center"/>
          </w:tcPr>
          <w:p>
            <w:r>
              <w:t>Locale facts</w:t>
            </w:r>
          </w:p>
        </w:tc>
        <w:tc>
          <w:tcPr>
            <w:tcW w:type="dxa" w:w="3900"/>
            <w:vAlign w:val="center"/>
          </w:tcPr>
          <w:p>
            <w:r>
              <w:t>Shows date/time, separators, currency, and related regional metadata.</w:t>
            </w:r>
          </w:p>
        </w:tc>
        <w:tc>
          <w:tcPr>
            <w:tcW w:type="dxa" w:w="3660"/>
            <w:vAlign w:val="center"/>
          </w:tcPr>
          <w:p>
            <w:r>
              <w:t>Review for the intended region rather than only the base language.</w:t>
            </w:r>
          </w:p>
        </w:tc>
      </w:tr>
    </w:tbl>
    <w:p>
      <w:pPr>
        <w:pStyle w:val="Heading1"/>
      </w:pPr>
      <w:r>
        <w:t>8. Step 5 - Translation Service</w:t>
      </w:r>
    </w:p>
    <w:p>
      <w:pPr>
        <w:keepNext/>
        <w:jc w:val="center"/>
      </w:pPr>
      <w:r>
        <w:drawing>
          <wp:inline xmlns:a="http://schemas.openxmlformats.org/drawingml/2006/main" xmlns:pic="http://schemas.openxmlformats.org/drawingml/2006/picture">
            <wp:extent cx="5897880" cy="3317558"/>
            <wp:docPr id="11" name="Picture 11" descr="Translation Service page showing DeepL provider, plan, masked key, remember option, save, and connection test" title="Translation Service page showing DeepL provider, plan, masked key, remember option, save, and connection test"/>
            <wp:cNvGraphicFramePr>
              <a:graphicFrameLocks noChangeAspect="1"/>
            </wp:cNvGraphicFramePr>
            <a:graphic>
              <a:graphicData uri="http://schemas.openxmlformats.org/drawingml/2006/picture">
                <pic:pic>
                  <pic:nvPicPr>
                    <pic:cNvPr id="0" name="11-wizard-translation-service.png"/>
                    <pic:cNvPicPr/>
                  </pic:nvPicPr>
                  <pic:blipFill>
                    <a:blip r:embed="rId20"/>
                    <a:stretch>
                      <a:fillRect/>
                    </a:stretch>
                  </pic:blipFill>
                  <pic:spPr>
                    <a:xfrm>
                      <a:off x="0" y="0"/>
                      <a:ext cx="5897880" cy="3317558"/>
                    </a:xfrm>
                    <a:prstGeom prst="rect"/>
                  </pic:spPr>
                </pic:pic>
              </a:graphicData>
            </a:graphic>
          </wp:inline>
        </w:drawing>
      </w:r>
    </w:p>
    <w:p>
      <w:pPr>
        <w:spacing w:after="200"/>
        <w:jc w:val="center"/>
      </w:pPr>
      <w:r>
        <w:rPr>
          <w:rFonts w:ascii="Aptos" w:hAnsi="Aptos"/>
          <w:i/>
          <w:color w:val="5D7693"/>
          <w:sz w:val="18"/>
        </w:rPr>
        <w:t>Figure 8-1. Step 5 - Translation Service.</w:t>
      </w:r>
    </w:p>
    <w:p>
      <w:pPr>
        <w:keepNext/>
        <w:jc w:val="center"/>
      </w:pPr>
      <w:r>
        <w:drawing>
          <wp:inline xmlns:a="http://schemas.openxmlformats.org/drawingml/2006/main" xmlns:pic="http://schemas.openxmlformats.org/drawingml/2006/picture">
            <wp:extent cx="5394960" cy="2157984"/>
            <wp:docPr id="12" name="Picture 12" descr="DeepL provider and plan selectors, masked API key, save, and test buttons" title="DeepL provider and plan selectors, masked API key, save, and test buttons"/>
            <wp:cNvGraphicFramePr>
              <a:graphicFrameLocks noChangeAspect="1"/>
            </wp:cNvGraphicFramePr>
            <a:graphic>
              <a:graphicData uri="http://schemas.openxmlformats.org/drawingml/2006/picture">
                <pic:pic>
                  <pic:nvPicPr>
                    <pic:cNvPr id="0" name="11-wizard-translation-service.png"/>
                    <pic:cNvPicPr/>
                  </pic:nvPicPr>
                  <pic:blipFill>
                    <a:blip r:embed="rId20"/>
                    <a:srcRect l="13000" t="17000" r="13000" b="25000"/>
                    <a:stretch>
                      <a:fillRect/>
                    </a:stretch>
                  </pic:blipFill>
                  <pic:spPr>
                    <a:xfrm>
                      <a:off x="0" y="0"/>
                      <a:ext cx="5394960" cy="2157984"/>
                    </a:xfrm>
                    <a:prstGeom prst="rect"/>
                  </pic:spPr>
                </pic:pic>
              </a:graphicData>
            </a:graphic>
          </wp:inline>
        </w:drawing>
      </w:r>
    </w:p>
    <w:p>
      <w:pPr>
        <w:spacing w:after="200"/>
        <w:jc w:val="center"/>
      </w:pPr>
      <w:r>
        <w:rPr>
          <w:rFonts w:ascii="Aptos" w:hAnsi="Aptos"/>
          <w:i/>
          <w:color w:val="5D7693"/>
          <w:sz w:val="18"/>
        </w:rPr>
        <w:t>Figure 8-2. Provider, key, and connection controls.</w:t>
      </w:r>
    </w:p>
    <w:p>
      <w:r>
        <w:t>DeepL is the first-run default and recommended provider. The Studio restores a previously saved provider/plan choice but never displays a stored secret back into the API-key edit. A blank field with a saved-key status is therefore correct.</w:t>
      </w:r>
    </w:p>
    <w:p>
      <w:r>
        <w:t>Test Connection runs a bounded asynchronous request. The Wizard must remain responsive, cancellation-aware, and able to close after the test completes or times out. A successful test proves only authentication and endpoint access; it does not approve language quality or quota for a large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Use DeepL unless project/account requirements call for Google.</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Match the key's actual account plan; ignored for Google.</w:t>
            </w:r>
          </w:p>
        </w:tc>
      </w:tr>
      <w:tr>
        <w:trPr>
          <w:cantSplit/>
        </w:trPr>
        <w:tc>
          <w:tcPr>
            <w:tcW w:type="dxa" w:w="1800"/>
            <w:vAlign w:val="center"/>
          </w:tcPr>
          <w:p>
            <w:r>
              <w:t>API key</w:t>
            </w:r>
          </w:p>
        </w:tc>
        <w:tc>
          <w:tcPr>
            <w:tcW w:type="dxa" w:w="3900"/>
            <w:vAlign w:val="center"/>
          </w:tcPr>
          <w:p>
            <w:r>
              <w:t>Accepts a new or replacement secret and masks it.</w:t>
            </w:r>
          </w:p>
        </w:tc>
        <w:tc>
          <w:tcPr>
            <w:tcW w:type="dxa" w:w="3660"/>
            <w:vAlign w:val="center"/>
          </w:tcPr>
          <w:p>
            <w:r>
              <w:t>Leave blank when the saved-key status says a usable credential exists.</w:t>
            </w:r>
          </w:p>
        </w:tc>
      </w:tr>
      <w:tr>
        <w:trPr>
          <w:cantSplit/>
        </w:trPr>
        <w:tc>
          <w:tcPr>
            <w:tcW w:type="dxa" w:w="1800"/>
            <w:vAlign w:val="center"/>
          </w:tcPr>
          <w:p>
            <w:r>
              <w:t>Remember securely</w:t>
            </w:r>
          </w:p>
        </w:tc>
        <w:tc>
          <w:tcPr>
            <w:tcW w:type="dxa" w:w="3900"/>
            <w:vAlign w:val="center"/>
          </w:tcPr>
          <w:p>
            <w:r>
              <w:t>Selects Windows Credential Manager instead of session-only memory.</w:t>
            </w:r>
          </w:p>
        </w:tc>
        <w:tc>
          <w:tcPr>
            <w:tcW w:type="dxa" w:w="3660"/>
            <w:vAlign w:val="center"/>
          </w:tcPr>
          <w:p>
            <w:r>
              <w:t>Use only on a trusted developer computer.</w:t>
            </w:r>
          </w:p>
        </w:tc>
      </w:tr>
      <w:tr>
        <w:trPr>
          <w:cantSplit/>
        </w:trPr>
        <w:tc>
          <w:tcPr>
            <w:tcW w:type="dxa" w:w="1800"/>
            <w:vAlign w:val="center"/>
          </w:tcPr>
          <w:p>
            <w:r>
              <w:t>Save / Replace Key</w:t>
            </w:r>
          </w:p>
        </w:tc>
        <w:tc>
          <w:tcPr>
            <w:tcW w:type="dxa" w:w="3900"/>
            <w:vAlign w:val="center"/>
          </w:tcPr>
          <w:p>
            <w:r>
              <w:t>Stores provider settings and the entered secret according to the remember policy.</w:t>
            </w:r>
          </w:p>
        </w:tc>
        <w:tc>
          <w:tcPr>
            <w:tcW w:type="dxa" w:w="3660"/>
            <w:vAlign w:val="center"/>
          </w:tcPr>
          <w:p>
            <w:r>
              <w:t>Use after pasting or rotating a key.</w:t>
            </w:r>
          </w:p>
        </w:tc>
      </w:tr>
      <w:tr>
        <w:trPr>
          <w:cantSplit/>
        </w:trPr>
        <w:tc>
          <w:tcPr>
            <w:tcW w:type="dxa" w:w="1800"/>
            <w:vAlign w:val="center"/>
          </w:tcPr>
          <w:p>
            <w:r>
              <w:t>Test Connection</w:t>
            </w:r>
          </w:p>
        </w:tc>
        <w:tc>
          <w:tcPr>
            <w:tcW w:type="dxa" w:w="3900"/>
            <w:vAlign w:val="center"/>
          </w:tcPr>
          <w:p>
            <w:r>
              <w:t>Performs one small provider request with timeout/cancellation.</w:t>
            </w:r>
          </w:p>
        </w:tc>
        <w:tc>
          <w:tcPr>
            <w:tcW w:type="dxa" w:w="3660"/>
            <w:vAlign w:val="center"/>
          </w:tcPr>
          <w:p>
            <w:r>
              <w:t>Continue only after a success result.</w:t>
            </w:r>
          </w:p>
        </w:tc>
      </w:tr>
      <w:tr>
        <w:trPr>
          <w:cantSplit/>
        </w:trPr>
        <w:tc>
          <w:tcPr>
            <w:tcW w:type="dxa" w:w="1800"/>
            <w:vAlign w:val="center"/>
          </w:tcPr>
          <w:p>
            <w:r>
              <w:t>Credential status</w:t>
            </w:r>
          </w:p>
        </w:tc>
        <w:tc>
          <w:tcPr>
            <w:tcW w:type="dxa" w:w="3900"/>
            <w:vAlign w:val="center"/>
          </w:tcPr>
          <w:p>
            <w:r>
              <w:t>Reports saved/session availability without revealing the key.</w:t>
            </w:r>
          </w:p>
        </w:tc>
        <w:tc>
          <w:tcPr>
            <w:tcW w:type="dxa" w:w="3660"/>
            <w:vAlign w:val="center"/>
          </w:tcPr>
          <w:p>
            <w:r>
              <w:t>Use it to distinguish an empty edit from a missing credential.</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Secret locations. </w:t>
            </w:r>
            <w:r>
              <w:t>Non-secret settings are in %LOCALAPPDATA%\DelphiAppTranslationStudio\provider-settings.json. Remembered secrets use Windows Generic Credential targets DelphiAppTranslationStudio/Providers/DeepL or DelphiAppTranslationStudio/Providers/Google Cloud Translation.</w:t>
            </w:r>
          </w:p>
        </w:tc>
      </w:tr>
    </w:tbl>
    <w:p>
      <w:pPr>
        <w:pStyle w:val="Heading1"/>
      </w:pPr>
      <w:r>
        <w:t>9. Step 6 - Scan Project</w:t>
      </w:r>
    </w:p>
    <w:p>
      <w:pPr>
        <w:keepNext/>
        <w:jc w:val="center"/>
      </w:pPr>
      <w:r>
        <w:drawing>
          <wp:inline xmlns:a="http://schemas.openxmlformats.org/drawingml/2006/main" xmlns:pic="http://schemas.openxmlformats.org/drawingml/2006/picture">
            <wp:extent cx="5897880" cy="3317558"/>
            <wp:docPr id="13" name="Picture 13" descr="Scan Project page showing unique catalog entries, raw observations, recovered semantic contracts, duplicate occurrences, and scan items" title="Scan Project page showing unique catalog entries, raw observations, recovered semantic contracts, duplicate occurrences, and scan items"/>
            <wp:cNvGraphicFramePr>
              <a:graphicFrameLocks noChangeAspect="1"/>
            </wp:cNvGraphicFramePr>
            <a:graphic>
              <a:graphicData uri="http://schemas.openxmlformats.org/drawingml/2006/picture">
                <pic:pic>
                  <pic:nvPicPr>
                    <pic:cNvPr id="0" name="12-wizard-scan.png"/>
                    <pic:cNvPicPr/>
                  </pic:nvPicPr>
                  <pic:blipFill>
                    <a:blip r:embed="rId21"/>
                    <a:stretch>
                      <a:fillRect/>
                    </a:stretch>
                  </pic:blipFill>
                  <pic:spPr>
                    <a:xfrm>
                      <a:off x="0" y="0"/>
                      <a:ext cx="5897880" cy="3317558"/>
                    </a:xfrm>
                    <a:prstGeom prst="rect"/>
                  </pic:spPr>
                </pic:pic>
              </a:graphicData>
            </a:graphic>
          </wp:inline>
        </w:drawing>
      </w:r>
    </w:p>
    <w:p>
      <w:pPr>
        <w:spacing w:after="200"/>
        <w:jc w:val="center"/>
      </w:pPr>
      <w:r>
        <w:rPr>
          <w:rFonts w:ascii="Aptos" w:hAnsi="Aptos"/>
          <w:i/>
          <w:color w:val="5D7693"/>
          <w:sz w:val="18"/>
        </w:rPr>
        <w:t>Figure 9-1. Step 6 - Scan Project.</w:t>
      </w:r>
    </w:p>
    <w:p>
      <w:pPr>
        <w:keepNext/>
        <w:jc w:val="center"/>
      </w:pPr>
      <w:r>
        <w:drawing>
          <wp:inline xmlns:a="http://schemas.openxmlformats.org/drawingml/2006/main" xmlns:pic="http://schemas.openxmlformats.org/drawingml/2006/picture">
            <wp:extent cx="5394960" cy="2074984"/>
            <wp:docPr id="14" name="Picture 14" descr="Scan totals and representative stable-key rows" title="Scan totals and representative stable-key rows"/>
            <wp:cNvGraphicFramePr>
              <a:graphicFrameLocks noChangeAspect="1"/>
            </wp:cNvGraphicFramePr>
            <a:graphic>
              <a:graphicData uri="http://schemas.openxmlformats.org/drawingml/2006/picture">
                <pic:pic>
                  <pic:nvPicPr>
                    <pic:cNvPr id="0" name="12-wizard-scan.png"/>
                    <pic:cNvPicPr/>
                  </pic:nvPicPr>
                  <pic:blipFill>
                    <a:blip r:embed="rId21"/>
                    <a:srcRect l="16000" t="22000" r="13000" b="26000"/>
                    <a:stretch>
                      <a:fillRect/>
                    </a:stretch>
                  </pic:blipFill>
                  <pic:spPr>
                    <a:xfrm>
                      <a:off x="0" y="0"/>
                      <a:ext cx="5394960" cy="2074984"/>
                    </a:xfrm>
                    <a:prstGeom prst="rect"/>
                  </pic:spPr>
                </pic:pic>
              </a:graphicData>
            </a:graphic>
          </wp:inline>
        </w:drawing>
      </w:r>
    </w:p>
    <w:p>
      <w:pPr>
        <w:spacing w:after="200"/>
        <w:jc w:val="center"/>
      </w:pPr>
      <w:r>
        <w:rPr>
          <w:rFonts w:ascii="Aptos" w:hAnsi="Aptos"/>
          <w:i/>
          <w:color w:val="5D7693"/>
          <w:sz w:val="18"/>
        </w:rPr>
        <w:t>Figure 9-2. Canonical scan-count explanation.</w:t>
      </w:r>
    </w:p>
    <w:p>
      <w:r>
        <w:t>The Wizard and Maintenance Studio call the same canonical scanner. The headline is the unique catalog-entry count. Raw observations can be lower or higher after semantic contracts are recovered and equivalent duplicate occurrences are collapsed; those supporting counts are displayed separately so the total is auditable.</w:t>
      </w:r>
    </w:p>
    <w:p>
      <w:r>
        <w:t>The scanner reads saved text DFM/FMX resources, Pascal resourcestrings, eligible runtime assignments, and explicitly authorized project resource manifests. It does not translate arbitrary identifiers, user data, database values, or every string literal in source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Scan Project</w:t>
            </w:r>
          </w:p>
        </w:tc>
        <w:tc>
          <w:tcPr>
            <w:tcW w:type="dxa" w:w="3900"/>
            <w:vAlign w:val="center"/>
          </w:tcPr>
          <w:p>
            <w:r>
              <w:t>Runs canonical project discovery and scan.</w:t>
            </w:r>
          </w:p>
        </w:tc>
        <w:tc>
          <w:tcPr>
            <w:tcW w:type="dxa" w:w="3660"/>
            <w:vAlign w:val="center"/>
          </w:tcPr>
          <w:p>
            <w:r>
              <w:t>Use after every saved source/form text change.</w:t>
            </w:r>
          </w:p>
        </w:tc>
      </w:tr>
      <w:tr>
        <w:trPr>
          <w:cantSplit/>
        </w:trPr>
        <w:tc>
          <w:tcPr>
            <w:tcW w:type="dxa" w:w="1800"/>
            <w:vAlign w:val="center"/>
          </w:tcPr>
          <w:p>
            <w:r>
              <w:t>Unique catalog entries</w:t>
            </w:r>
          </w:p>
        </w:tc>
        <w:tc>
          <w:tcPr>
            <w:tcW w:type="dxa" w:w="3900"/>
            <w:vAlign w:val="center"/>
          </w:tcPr>
          <w:p>
            <w:r>
              <w:t>The stable-key records that enter catalog merge.</w:t>
            </w:r>
          </w:p>
        </w:tc>
        <w:tc>
          <w:tcPr>
            <w:tcW w:type="dxa" w:w="3660"/>
            <w:vAlign w:val="center"/>
          </w:tcPr>
          <w:p>
            <w:r>
              <w:t>Use this as the Wizard/Maintenance comparison count.</w:t>
            </w:r>
          </w:p>
        </w:tc>
      </w:tr>
      <w:tr>
        <w:trPr>
          <w:cantSplit/>
        </w:trPr>
        <w:tc>
          <w:tcPr>
            <w:tcW w:type="dxa" w:w="1800"/>
            <w:vAlign w:val="center"/>
          </w:tcPr>
          <w:p>
            <w:r>
              <w:t>Raw observations</w:t>
            </w:r>
          </w:p>
        </w:tc>
        <w:tc>
          <w:tcPr>
            <w:tcW w:type="dxa" w:w="3900"/>
            <w:vAlign w:val="center"/>
          </w:tcPr>
          <w:p>
            <w:r>
              <w:t>Direct scanner observations before recovery/collapse.</w:t>
            </w:r>
          </w:p>
        </w:tc>
        <w:tc>
          <w:tcPr>
            <w:tcW w:type="dxa" w:w="3660"/>
            <w:vAlign w:val="center"/>
          </w:tcPr>
          <w:p>
            <w:r>
              <w:t>Use to explain how the unique total was formed.</w:t>
            </w:r>
          </w:p>
        </w:tc>
      </w:tr>
      <w:tr>
        <w:trPr>
          <w:cantSplit/>
        </w:trPr>
        <w:tc>
          <w:tcPr>
            <w:tcW w:type="dxa" w:w="1800"/>
            <w:vAlign w:val="center"/>
          </w:tcPr>
          <w:p>
            <w:r>
              <w:t>Recovered semantic contracts</w:t>
            </w:r>
          </w:p>
        </w:tc>
        <w:tc>
          <w:tcPr>
            <w:tcW w:type="dxa" w:w="3900"/>
            <w:vAlign w:val="center"/>
          </w:tcPr>
          <w:p>
            <w:r>
              <w:t>Known dynamic/application text restored through stable semantic rules.</w:t>
            </w:r>
          </w:p>
        </w:tc>
        <w:tc>
          <w:tcPr>
            <w:tcW w:type="dxa" w:w="3660"/>
            <w:vAlign w:val="center"/>
          </w:tcPr>
          <w:p>
            <w:r>
              <w:t>Review when runtime text coverage changes.</w:t>
            </w:r>
          </w:p>
        </w:tc>
      </w:tr>
      <w:tr>
        <w:trPr>
          <w:cantSplit/>
        </w:trPr>
        <w:tc>
          <w:tcPr>
            <w:tcW w:type="dxa" w:w="1800"/>
            <w:vAlign w:val="center"/>
          </w:tcPr>
          <w:p>
            <w:r>
              <w:t>Duplicate occurrences collapsed</w:t>
            </w:r>
          </w:p>
        </w:tc>
        <w:tc>
          <w:tcPr>
            <w:tcW w:type="dxa" w:w="3900"/>
            <w:vAlign w:val="center"/>
          </w:tcPr>
          <w:p>
            <w:r>
              <w:t>Equivalent repeated observations represented once.</w:t>
            </w:r>
          </w:p>
        </w:tc>
        <w:tc>
          <w:tcPr>
            <w:tcW w:type="dxa" w:w="3660"/>
            <w:vAlign w:val="center"/>
          </w:tcPr>
          <w:p>
            <w:r>
              <w:t>A nonzero value is expected when identical ownership contracts repeat.</w:t>
            </w:r>
          </w:p>
        </w:tc>
      </w:tr>
      <w:tr>
        <w:trPr>
          <w:cantSplit/>
        </w:trPr>
        <w:tc>
          <w:tcPr>
            <w:tcW w:type="dxa" w:w="1800"/>
            <w:vAlign w:val="center"/>
          </w:tcPr>
          <w:p>
            <w:r>
              <w:t>Scan list</w:t>
            </w:r>
          </w:p>
        </w:tc>
        <w:tc>
          <w:tcPr>
            <w:tcW w:type="dxa" w:w="3900"/>
            <w:vAlign w:val="center"/>
          </w:tcPr>
          <w:p>
            <w:r>
              <w:t>Shows stable key and source text.</w:t>
            </w:r>
          </w:p>
        </w:tc>
        <w:tc>
          <w:tcPr>
            <w:tcW w:type="dxa" w:w="3660"/>
            <w:vAlign w:val="center"/>
          </w:tcPr>
          <w:p>
            <w:r>
              <w:t>Inspect representative forms, components, properties, resourcestrings, and dynamic contracts.</w:t>
            </w:r>
          </w:p>
        </w:tc>
      </w:tr>
    </w:tbl>
    <w:p>
      <w:pPr>
        <w:pStyle w:val="Heading1"/>
      </w:pPr>
      <w:r>
        <w:t>10. Step 7 - Review and Authorize</w:t>
      </w:r>
    </w:p>
    <w:p>
      <w:pPr>
        <w:keepNext/>
        <w:jc w:val="center"/>
      </w:pPr>
      <w:r>
        <w:drawing>
          <wp:inline xmlns:a="http://schemas.openxmlformats.org/drawingml/2006/main" xmlns:pic="http://schemas.openxmlformats.org/drawingml/2006/picture">
            <wp:extent cx="5897880" cy="3979960"/>
            <wp:docPr id="15" name="Picture 15" descr="Review and Authorize page summarizing project, language, provider, scan, translation, backup, and authorization" title="Review and Authorize page summarizing project, language, provider, scan, translation, backup, and authorization"/>
            <wp:cNvGraphicFramePr>
              <a:graphicFrameLocks noChangeAspect="1"/>
            </wp:cNvGraphicFramePr>
            <a:graphic>
              <a:graphicData uri="http://schemas.openxmlformats.org/drawingml/2006/picture">
                <pic:pic>
                  <pic:nvPicPr>
                    <pic:cNvPr id="0" name="13-wizard-review.png"/>
                    <pic:cNvPicPr/>
                  </pic:nvPicPr>
                  <pic:blipFill>
                    <a:blip r:embed="rId22"/>
                    <a:stretch>
                      <a:fillRect/>
                    </a:stretch>
                  </pic:blipFill>
                  <pic:spPr>
                    <a:xfrm>
                      <a:off x="0" y="0"/>
                      <a:ext cx="5897880" cy="3979960"/>
                    </a:xfrm>
                    <a:prstGeom prst="rect"/>
                  </pic:spPr>
                </pic:pic>
              </a:graphicData>
            </a:graphic>
          </wp:inline>
        </w:drawing>
      </w:r>
    </w:p>
    <w:p>
      <w:pPr>
        <w:spacing w:after="200"/>
        <w:jc w:val="center"/>
      </w:pPr>
      <w:r>
        <w:rPr>
          <w:rFonts w:ascii="Aptos" w:hAnsi="Aptos"/>
          <w:i/>
          <w:color w:val="5D7693"/>
          <w:sz w:val="18"/>
        </w:rPr>
        <w:t>Figure 10-1. Step 7 - Review and Authorize content area.</w:t>
      </w:r>
    </w:p>
    <w:p>
      <w:r>
        <w:t>This is the final deliberate authorization point. The summary must describe the exact test project, framework, source/target locales, provider, scan state, unresolved work, backup, and component workflow that the developer intends.</w:t>
      </w:r>
    </w:p>
    <w:p>
      <w:r>
        <w:t>The target project must be closed in RAD Studio. An open DPROJ or form may leave unsaved buffers and makes the selected source snapshot unreliable even though the Wizard itself does not rewrite those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Review memo</w:t>
            </w:r>
          </w:p>
        </w:tc>
        <w:tc>
          <w:tcPr>
            <w:tcW w:type="dxa" w:w="3900"/>
            <w:vAlign w:val="center"/>
          </w:tcPr>
          <w:p>
            <w:r>
              <w:t>Prints the complete proposed operation in plain text.</w:t>
            </w:r>
          </w:p>
        </w:tc>
        <w:tc>
          <w:tcPr>
            <w:tcW w:type="dxa" w:w="3660"/>
            <w:vAlign w:val="center"/>
          </w:tcPr>
          <w:p>
            <w:r>
              <w:t>Read the path, application ID, locale, provider, counts, output, and backup line by line.</w:t>
            </w:r>
          </w:p>
        </w:tc>
      </w:tr>
      <w:tr>
        <w:trPr>
          <w:cantSplit/>
        </w:trPr>
        <w:tc>
          <w:tcPr>
            <w:tcW w:type="dxa" w:w="1800"/>
            <w:vAlign w:val="center"/>
          </w:tcPr>
          <w:p>
            <w:r>
              <w:t>Project closed confirmation</w:t>
            </w:r>
          </w:p>
        </w:tc>
        <w:tc>
          <w:tcPr>
            <w:tcW w:type="dxa" w:w="3900"/>
            <w:vAlign w:val="center"/>
          </w:tcPr>
          <w:p>
            <w:r>
              <w:t>Confirms RAD Studio no longer owns an in-memory target-project state.</w:t>
            </w:r>
          </w:p>
        </w:tc>
        <w:tc>
          <w:tcPr>
            <w:tcW w:type="dxa" w:w="3660"/>
            <w:vAlign w:val="center"/>
          </w:tcPr>
          <w:p>
            <w:r>
              <w:t>Close the project, then select it.</w:t>
            </w:r>
          </w:p>
        </w:tc>
      </w:tr>
      <w:tr>
        <w:trPr>
          <w:cantSplit/>
        </w:trPr>
        <w:tc>
          <w:tcPr>
            <w:tcW w:type="dxa" w:w="1800"/>
            <w:vAlign w:val="center"/>
          </w:tcPr>
          <w:p>
            <w:r>
              <w:t>Safety backup</w:t>
            </w:r>
          </w:p>
        </w:tc>
        <w:tc>
          <w:tcPr>
            <w:tcW w:type="dxa" w:w="3900"/>
            <w:vAlign w:val="center"/>
          </w:tcPr>
          <w:p>
            <w:r>
              <w:t>Requires the pre-processing ZIP.</w:t>
            </w:r>
          </w:p>
        </w:tc>
        <w:tc>
          <w:tcPr>
            <w:tcW w:type="dxa" w:w="3660"/>
            <w:vAlign w:val="center"/>
          </w:tcPr>
          <w:p>
            <w:r>
              <w:t>Leave enabled; final processing will not start without it.</w:t>
            </w:r>
          </w:p>
        </w:tc>
      </w:tr>
      <w:tr>
        <w:trPr>
          <w:cantSplit/>
        </w:trPr>
        <w:tc>
          <w:tcPr>
            <w:tcW w:type="dxa" w:w="1800"/>
            <w:vAlign w:val="center"/>
          </w:tcPr>
          <w:p>
            <w:r>
              <w:t>Authorization</w:t>
            </w:r>
          </w:p>
        </w:tc>
        <w:tc>
          <w:tcPr>
            <w:tcW w:type="dxa" w:w="3900"/>
            <w:vAlign w:val="center"/>
          </w:tcPr>
          <w:p>
            <w:r>
              <w:t>Records that the developer reviewed the operation.</w:t>
            </w:r>
          </w:p>
        </w:tc>
        <w:tc>
          <w:tcPr>
            <w:tcW w:type="dxa" w:w="3660"/>
            <w:vAlign w:val="center"/>
          </w:tcPr>
          <w:p>
            <w:r>
              <w:t>Select only after all summary values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and deployment.</w:t>
            </w:r>
          </w:p>
        </w:tc>
        <w:tc>
          <w:tcPr>
            <w:tcW w:type="dxa" w:w="3660"/>
            <w:vAlign w:val="center"/>
          </w:tcPr>
          <w:p>
            <w:r>
              <w:t>This is not a generic Next button; it crosses the controlled execution boundary.</w:t>
            </w:r>
          </w:p>
        </w:tc>
      </w:tr>
    </w:tbl>
    <w:p>
      <w:pPr>
        <w:pStyle w:val="Heading1"/>
      </w:pPr>
      <w:r>
        <w:t>11. Localization Review During Final Processing</w:t>
      </w:r>
    </w:p>
    <w:p>
      <w:r>
        <w:t>After provider translation and before final validation/export, the Wizard opens Localization Review automatically. This modal window is where machine output, glossary candidates, application-owned strings, layout findings, and per-language proposals are reviewed while all necessary translated text is available.</w:t>
      </w:r>
    </w:p>
    <w:p>
      <w:r>
        <w:t>Closing Localization Review does not abandon the Wizard. It saves accepted decisions and returns control to the suspended final-processing continuation, which then validates, exports, generates the kit, deploys, and writes the completion report.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Review area</w:t>
            </w:r>
          </w:p>
        </w:tc>
        <w:tc>
          <w:tcPr>
            <w:tcW w:type="dxa" w:w="3900"/>
            <w:shd w:fill="234C80"/>
          </w:tcPr>
          <w:p>
            <w:r>
              <w:rPr>
                <w:b/>
                <w:color w:val="FFFFFF"/>
              </w:rPr>
              <w:t>Engineering meaning</w:t>
            </w:r>
          </w:p>
        </w:tc>
        <w:tc>
          <w:tcPr>
            <w:tcW w:type="dxa" w:w="3660"/>
            <w:shd w:fill="234C80"/>
          </w:tcPr>
          <w:p>
            <w:r>
              <w:rPr>
                <w:b/>
                <w:color w:val="FFFFFF"/>
              </w:rPr>
              <w:t>Developer decision</w:t>
            </w:r>
          </w:p>
        </w:tc>
      </w:tr>
      <w:tr>
        <w:trPr>
          <w:cantSplit/>
        </w:trPr>
        <w:tc>
          <w:tcPr>
            <w:tcW w:type="dxa" w:w="1800"/>
            <w:vAlign w:val="center"/>
          </w:tcPr>
          <w:p>
            <w:r>
              <w:t>Findings</w:t>
            </w:r>
          </w:p>
        </w:tc>
        <w:tc>
          <w:tcPr>
            <w:tcW w:type="dxa" w:w="3900"/>
            <w:vAlign w:val="center"/>
          </w:tcPr>
          <w:p>
            <w:r>
              <w:t>Information, warning, and high-risk localization issues.</w:t>
            </w:r>
          </w:p>
        </w:tc>
        <w:tc>
          <w:tcPr>
            <w:tcW w:type="dxa" w:w="3660"/>
            <w:vAlign w:val="center"/>
          </w:tcPr>
          <w:p>
            <w:r>
              <w:t>Resolve high-risk issues before treating the language as release-ready.</w:t>
            </w:r>
          </w:p>
        </w:tc>
      </w:tr>
      <w:tr>
        <w:trPr>
          <w:cantSplit/>
        </w:trPr>
        <w:tc>
          <w:tcPr>
            <w:tcW w:type="dxa" w:w="1800"/>
            <w:vAlign w:val="center"/>
          </w:tcPr>
          <w:p>
            <w:r>
              <w:t>Project glossary</w:t>
            </w:r>
          </w:p>
        </w:tc>
        <w:tc>
          <w:tcPr>
            <w:tcW w:type="dxa" w:w="3900"/>
            <w:vAlign w:val="center"/>
          </w:tcPr>
          <w:p>
            <w:r>
              <w:t>Approved source/target terminology and matching rules.</w:t>
            </w:r>
          </w:p>
        </w:tc>
        <w:tc>
          <w:tcPr>
            <w:tcW w:type="dxa" w:w="3660"/>
            <w:vAlign w:val="center"/>
          </w:tcPr>
          <w:p>
            <w:r>
              <w:t>Add, edit, delete, and save only product-correct terms.</w:t>
            </w:r>
          </w:p>
        </w:tc>
      </w:tr>
      <w:tr>
        <w:trPr>
          <w:cantSplit/>
        </w:trPr>
        <w:tc>
          <w:tcPr>
            <w:tcW w:type="dxa" w:w="1800"/>
            <w:vAlign w:val="center"/>
          </w:tcPr>
          <w:p>
            <w:r>
              <w:t>Suggestions</w:t>
            </w:r>
          </w:p>
        </w:tc>
        <w:tc>
          <w:tcPr>
            <w:tcW w:type="dxa" w:w="3900"/>
            <w:vAlign w:val="center"/>
          </w:tcPr>
          <w:p>
            <w:r>
              <w:t>Translation-memory or terminology proposals with confidence/context.</w:t>
            </w:r>
          </w:p>
        </w:tc>
        <w:tc>
          <w:tcPr>
            <w:tcW w:type="dxa" w:w="3660"/>
            <w:vAlign w:val="center"/>
          </w:tcPr>
          <w:p>
            <w:r>
              <w:t>Accept, approve high-confidence, or reject explicitly.</w:t>
            </w:r>
          </w:p>
        </w:tc>
      </w:tr>
      <w:tr>
        <w:trPr>
          <w:cantSplit/>
        </w:trPr>
        <w:tc>
          <w:tcPr>
            <w:tcW w:type="dxa" w:w="1800"/>
            <w:vAlign w:val="center"/>
          </w:tcPr>
          <w:p>
            <w:r>
              <w:t>Layout proposals</w:t>
            </w:r>
          </w:p>
        </w:tc>
        <w:tc>
          <w:tcPr>
            <w:tcW w:type="dxa" w:w="3900"/>
            <w:vAlign w:val="center"/>
          </w:tcPr>
          <w:p>
            <w:r>
              <w:t>Conservative width/height/font/wrap/position changes scoped to locale and control.</w:t>
            </w:r>
          </w:p>
        </w:tc>
        <w:tc>
          <w:tcPr>
            <w:tcW w:type="dxa" w:w="3660"/>
            <w:vAlign w:val="center"/>
          </w:tcPr>
          <w:p>
            <w:r>
              <w:t>Accept only after inspecting current versus proposed geometry and ownership.</w:t>
            </w:r>
          </w:p>
        </w:tc>
      </w:tr>
      <w:tr>
        <w:trPr>
          <w:cantSplit/>
        </w:trPr>
        <w:tc>
          <w:tcPr>
            <w:tcW w:type="dxa" w:w="1800"/>
            <w:vAlign w:val="center"/>
          </w:tcPr>
          <w:p>
            <w:r>
              <w:t>Code-positioned controls</w:t>
            </w:r>
          </w:p>
        </w:tc>
        <w:tc>
          <w:tcPr>
            <w:tcW w:type="dxa" w:w="3900"/>
            <w:vAlign w:val="center"/>
          </w:tcPr>
          <w:p>
            <w:r>
              <w:t>Controls whose geometry is intentionally assigned in Pascal.</w:t>
            </w:r>
          </w:p>
        </w:tc>
        <w:tc>
          <w:tcPr>
            <w:tcW w:type="dxa" w:w="3660"/>
            <w:vAlign w:val="center"/>
          </w:tcPr>
          <w:p>
            <w:r>
              <w:t>Leave them alone unless the application design is changed deliberately.</w:t>
            </w:r>
          </w:p>
        </w:tc>
      </w:tr>
      <w:tr>
        <w:trPr>
          <w:cantSplit/>
        </w:trPr>
        <w:tc>
          <w:tcPr>
            <w:tcW w:type="dxa" w:w="1800"/>
            <w:vAlign w:val="center"/>
          </w:tcPr>
          <w:p>
            <w:r>
              <w:t>Review package</w:t>
            </w:r>
          </w:p>
        </w:tc>
        <w:tc>
          <w:tcPr>
            <w:tcW w:type="dxa" w:w="3900"/>
            <w:vAlign w:val="center"/>
          </w:tcPr>
          <w:p>
            <w:r>
              <w:t>HTML and JSON audit artifacts for later review.</w:t>
            </w:r>
          </w:p>
        </w:tc>
        <w:tc>
          <w:tcPr>
            <w:tcW w:type="dxa" w:w="3660"/>
            <w:vAlign w:val="center"/>
          </w:tcPr>
          <w:p>
            <w:r>
              <w:t>Generate/open it when a printable or browser-based audit trail is useful.</w:t>
            </w:r>
          </w:p>
        </w:tc>
      </w:tr>
      <w:tr>
        <w:trPr>
          <w:cantSplit/>
        </w:trPr>
        <w:tc>
          <w:tcPr>
            <w:tcW w:type="dxa" w:w="1800"/>
            <w:vAlign w:val="center"/>
          </w:tcPr>
          <w:p>
            <w:r>
              <w:t>Close</w:t>
            </w:r>
          </w:p>
        </w:tc>
        <w:tc>
          <w:tcPr>
            <w:tcW w:type="dxa" w:w="3900"/>
            <w:vAlign w:val="center"/>
          </w:tcPr>
          <w:p>
            <w:r>
              <w:t>Returns accepted decisions to Wizard processing.</w:t>
            </w:r>
          </w:p>
        </w:tc>
        <w:tc>
          <w:tcPr>
            <w:tcW w:type="dxa" w:w="3660"/>
            <w:vAlign w:val="center"/>
          </w:tcPr>
          <w:p>
            <w:r>
              <w:t>Close only after saving the decisions that should enter the pack.</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Layout decision rule. </w:t>
            </w:r>
            <w:r>
              <w:t>Use natural word wrapping first, then intelligent hyphenation for long unbroken words, then a modest readable font reduction only when necessary. Never shift neighboring columns or controls merely to make one translated heading fit.</w:t>
            </w:r>
          </w:p>
        </w:tc>
      </w:tr>
    </w:tbl>
    <w:p>
      <w:pPr>
        <w:pStyle w:val="Heading1"/>
      </w:pPr>
      <w:r>
        <w:t>12. Step 8 - Process and Finish</w:t>
      </w:r>
    </w:p>
    <w:p>
      <w:pPr>
        <w:keepNext/>
        <w:jc w:val="center"/>
      </w:pPr>
      <w:r>
        <w:drawing>
          <wp:inline xmlns:a="http://schemas.openxmlformats.org/drawingml/2006/main" xmlns:pic="http://schemas.openxmlformats.org/drawingml/2006/picture">
            <wp:extent cx="5897880" cy="2098889"/>
            <wp:docPr id="16" name="Picture 16" descr="Processing and completion page with operation text and progress memo" title="Processing and completion page with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3"/>
                    <a:srcRect l="27400" t="18600" r="1800" b="43600"/>
                    <a:stretch>
                      <a:fillRect/>
                    </a:stretch>
                  </pic:blipFill>
                  <pic:spPr>
                    <a:xfrm>
                      <a:off x="0" y="0"/>
                      <a:ext cx="5897880" cy="2098889"/>
                    </a:xfrm>
                    <a:prstGeom prst="rect"/>
                  </pic:spPr>
                </pic:pic>
              </a:graphicData>
            </a:graphic>
          </wp:inline>
        </w:drawing>
      </w:r>
    </w:p>
    <w:p>
      <w:pPr>
        <w:spacing w:after="200"/>
        <w:jc w:val="center"/>
      </w:pPr>
      <w:r>
        <w:rPr>
          <w:rFonts w:ascii="Aptos" w:hAnsi="Aptos"/>
          <w:i/>
          <w:color w:val="5D7693"/>
          <w:sz w:val="18"/>
        </w:rPr>
        <w:t>Figure 12-1. Step 8 - Process and Finish status area.</w:t>
      </w:r>
    </w:p>
    <w:p>
      <w:r>
        <w:t>The progress memo is the authoritative sequence record. It reports backup, catalog save, provider work, review return, glossary application, validation, source/target pack export, kit generation, output deployment, optional destination deployment, and completion-report creation.</w:t>
      </w:r>
    </w:p>
    <w:p>
      <w:r>
        <w:t>A line prefixed STOPPED is a controlled failure, not permission to ignore the problem. Read the last successful line and the stopped reason, preserve the artifacts, correct the cause, and rerun. On success the page states that target Pascal, form, DPR, and DPROJ files were not modified.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Progress memo</w:t>
            </w:r>
          </w:p>
        </w:tc>
        <w:tc>
          <w:tcPr>
            <w:tcW w:type="dxa" w:w="3900"/>
            <w:vAlign w:val="center"/>
          </w:tcPr>
          <w:p>
            <w:r>
              <w:t>Timestamped operation and diagnostic history.</w:t>
            </w:r>
          </w:p>
        </w:tc>
        <w:tc>
          <w:tcPr>
            <w:tcW w:type="dxa" w:w="3660"/>
            <w:vAlign w:val="center"/>
          </w:tcPr>
          <w:p>
            <w:r>
              <w:t>Read from the last line upward when a run stops.</w:t>
            </w:r>
          </w:p>
        </w:tc>
      </w:tr>
      <w:tr>
        <w:trPr>
          <w:cantSplit/>
        </w:trPr>
        <w:tc>
          <w:tcPr>
            <w:tcW w:type="dxa" w:w="1800"/>
            <w:vAlign w:val="center"/>
          </w:tcPr>
          <w:p>
            <w:r>
              <w:t>Optional application folder</w:t>
            </w:r>
          </w:p>
        </w:tc>
        <w:tc>
          <w:tcPr>
            <w:tcW w:type="dxa" w:w="3900"/>
            <w:vAlign w:val="center"/>
          </w:tcPr>
          <w:p>
            <w:r>
              <w:t>Deploys packs to one new/temporary executable folder.</w:t>
            </w:r>
          </w:p>
        </w:tc>
        <w:tc>
          <w:tcPr>
            <w:tcW w:type="dxa" w:w="3660"/>
            <w:vAlign w:val="center"/>
          </w:tcPr>
          <w:p>
            <w:r>
              <w:t>Use only when the folder was not already configured in Deployment.</w:t>
            </w:r>
          </w:p>
        </w:tc>
      </w:tr>
      <w:tr>
        <w:trPr>
          <w:cantSplit/>
        </w:trPr>
        <w:tc>
          <w:tcPr>
            <w:tcW w:type="dxa" w:w="1800"/>
            <w:vAlign w:val="center"/>
          </w:tcPr>
          <w:p>
            <w:r>
              <w:t>Rebuild before deploying</w:t>
            </w:r>
          </w:p>
        </w:tc>
        <w:tc>
          <w:tcPr>
            <w:tcW w:type="dxa" w:w="3900"/>
            <w:vAlign w:val="center"/>
          </w:tcPr>
          <w:p>
            <w:r>
              <w:t>Requests a selected build before optional deployment.</w:t>
            </w:r>
          </w:p>
        </w:tc>
        <w:tc>
          <w:tcPr>
            <w:tcW w:type="dxa" w:w="3660"/>
            <w:vAlign w:val="center"/>
          </w:tcPr>
          <w:p>
            <w:r>
              <w:t>Normally leave clear; select only when another compile is actually required.</w:t>
            </w:r>
          </w:p>
        </w:tc>
      </w:tr>
      <w:tr>
        <w:trPr>
          <w:cantSplit/>
        </w:trPr>
        <w:tc>
          <w:tcPr>
            <w:tcW w:type="dxa" w:w="1800"/>
            <w:vAlign w:val="center"/>
          </w:tcPr>
          <w:p>
            <w:r>
              <w:t>Platform / configuration</w:t>
            </w:r>
          </w:p>
        </w:tc>
        <w:tc>
          <w:tcPr>
            <w:tcW w:type="dxa" w:w="3900"/>
            <w:vAlign w:val="center"/>
          </w:tcPr>
          <w:p>
            <w:r>
              <w:t>Selects a supported Win32/Win64 Debug/Release build.</w:t>
            </w:r>
          </w:p>
        </w:tc>
        <w:tc>
          <w:tcPr>
            <w:tcW w:type="dxa" w:w="3660"/>
            <w:vAlign w:val="center"/>
          </w:tcPr>
          <w:p>
            <w:r>
              <w:t>Do not select unsupported targets.</w:t>
            </w:r>
          </w:p>
        </w:tc>
      </w:tr>
      <w:tr>
        <w:trPr>
          <w:cantSplit/>
        </w:trPr>
        <w:tc>
          <w:tcPr>
            <w:tcW w:type="dxa" w:w="1800"/>
            <w:vAlign w:val="center"/>
          </w:tcPr>
          <w:p>
            <w:r>
              <w:t>Deploy to Application Folders</w:t>
            </w:r>
          </w:p>
        </w:tc>
        <w:tc>
          <w:tcPr>
            <w:tcW w:type="dxa" w:w="3900"/>
            <w:vAlign w:val="center"/>
          </w:tcPr>
          <w:p>
            <w:r>
              <w:t>Deploys the just-built result and packs to configured destinations.</w:t>
            </w:r>
          </w:p>
        </w:tc>
        <w:tc>
          <w:tcPr>
            <w:tcW w:type="dxa" w:w="3660"/>
            <w:vAlign w:val="center"/>
          </w:tcPr>
          <w:p>
            <w:r>
              <w:t>Use when optional destination deployment is part of this run.</w:t>
            </w:r>
          </w:p>
        </w:tc>
      </w:tr>
      <w:tr>
        <w:trPr>
          <w:cantSplit/>
        </w:trPr>
        <w:tc>
          <w:tcPr>
            <w:tcW w:type="dxa" w:w="1800"/>
            <w:vAlign w:val="center"/>
          </w:tcPr>
          <w:p>
            <w:r>
              <w:t>Finish</w:t>
            </w:r>
          </w:p>
        </w:tc>
        <w:tc>
          <w:tcPr>
            <w:tcW w:type="dxa" w:w="3900"/>
            <w:vAlign w:val="center"/>
          </w:tcPr>
          <w:p>
            <w:r>
              <w:t>Closes a successful completed Wizard.</w:t>
            </w:r>
          </w:p>
        </w:tc>
        <w:tc>
          <w:tcPr>
            <w:tcW w:type="dxa" w:w="3660"/>
            <w:vAlign w:val="center"/>
          </w:tcPr>
          <w:p>
            <w:r>
              <w:t>Default action after reviewing success.</w:t>
            </w:r>
          </w:p>
        </w:tc>
      </w:tr>
      <w:tr>
        <w:trPr>
          <w:cantSplit/>
        </w:trPr>
        <w:tc>
          <w:tcPr>
            <w:tcW w:type="dxa" w:w="1800"/>
            <w:vAlign w:val="center"/>
          </w:tcPr>
          <w:p>
            <w:r>
              <w:t>Cancel after STOPPED</w:t>
            </w:r>
          </w:p>
        </w:tc>
        <w:tc>
          <w:tcPr>
            <w:tcW w:type="dxa" w:w="3900"/>
            <w:vAlign w:val="center"/>
          </w:tcPr>
          <w:p>
            <w:r>
              <w:t>Closes a stopped run after diagnostics are preserved.</w:t>
            </w:r>
          </w:p>
        </w:tc>
        <w:tc>
          <w:tcPr>
            <w:tcW w:type="dxa" w:w="3660"/>
            <w:vAlign w:val="center"/>
          </w:tcPr>
          <w:p>
            <w:r>
              <w:t>Use only when Finish is unavailable because processing did not complete.</w:t>
            </w:r>
          </w:p>
        </w:tc>
      </w:tr>
    </w:tbl>
    <w:p>
      <w:pPr>
        <w:pStyle w:val="Heading1"/>
      </w:pPr>
      <w:r>
        <w:t>13. Component Kit and dependencies Folder</w:t>
      </w:r>
    </w:p>
    <w:p>
      <w:r>
        <w:t>The generated kit is under &lt;Studio&gt;\export\component-integration\&lt;ApplicationId&gt;. ComponentSource contains the complete current framework-appropriate unit set. The Studio does not automatically create a dependencies folder inside the target project.</w:t>
      </w:r>
    </w:p>
    <w:p>
      <w:r>
        <w:t>A project-local dependencies folder is an optional vendoring strategy: &lt;Target Project&gt;\dependencies\DelphiAppTranslation\source. It makes the target build independent of the Studio repository path and lets Git record the exact runtime source shipped with that application.</w:t>
      </w:r>
    </w:p>
    <w:p>
      <w:pPr>
        <w:pStyle w:val="ListNumber"/>
        <w:numPr>
          <w:ilvl w:val="0"/>
          <w:numId w:val="12"/>
        </w:numPr>
      </w:pPr>
      <w:r>
        <w:t>Open &lt;Studio&gt;\export\component-integration\&lt;ApplicationId&gt;\ComponentSource.</w:t>
      </w:r>
    </w:p>
    <w:p>
      <w:pPr>
        <w:pStyle w:val="ListNumber"/>
        <w:numPr>
          <w:ilvl w:val="0"/>
          <w:numId w:val="12"/>
        </w:numPr>
      </w:pPr>
      <w:r>
        <w:t>Create &lt;Target Project&gt;\dependencies\DelphiAppTranslation\source if the project will vendor the runtime.</w:t>
      </w:r>
    </w:p>
    <w:p>
      <w:pPr>
        <w:pStyle w:val="ListNumber"/>
        <w:numPr>
          <w:ilvl w:val="0"/>
          <w:numId w:val="12"/>
        </w:numPr>
      </w:pPr>
      <w:r>
        <w:t>Copy every PAS unit from ComponentSource into that source folder. Do not select only the five files that happened to be named in one compiler error.</w:t>
      </w:r>
    </w:p>
    <w:p>
      <w:pPr>
        <w:pStyle w:val="ListNumber"/>
        <w:numPr>
          <w:ilvl w:val="0"/>
          <w:numId w:val="12"/>
        </w:numPr>
      </w:pPr>
      <w:r>
        <w:t>When the Studio/runtime changes, regenerate the kit and refresh the entire vendored set together so interfaces and implementations remain compatible.</w:t>
      </w:r>
    </w:p>
    <w:p>
      <w:pPr>
        <w:pStyle w:val="ListNumber"/>
        <w:numPr>
          <w:ilvl w:val="0"/>
          <w:numId w:val="12"/>
        </w:numPr>
      </w:pPr>
      <w:r>
        <w:t>Commit the dependency source with the target test project when licensing and repository policy permit. Never copy provider credentials or development catalogs with 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Framework scope</w:t>
            </w:r>
          </w:p>
        </w:tc>
        <w:tc>
          <w:tcPr>
            <w:tcW w:type="dxa" w:w="6660"/>
            <w:shd w:fill="234C80"/>
          </w:tcPr>
          <w:p>
            <w:r>
              <w:rPr>
                <w:b/>
                <w:color w:val="FFFFFF"/>
              </w:rPr>
              <w:t>Complete unit set</w:t>
            </w:r>
          </w:p>
        </w:tc>
      </w:tr>
      <w:tr>
        <w:trPr>
          <w:cantSplit/>
        </w:trPr>
        <w:tc>
          <w:tcPr>
            <w:tcW w:type="dxa" w:w="2700"/>
            <w:vAlign w:val="center"/>
          </w:tcPr>
          <w:p>
            <w:r>
              <w:t>Shared by VCL and FMX</w:t>
            </w:r>
          </w:p>
        </w:tc>
        <w:tc>
          <w:tcPr>
            <w:tcW w:type="dxa" w:w="66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700"/>
            <w:vAlign w:val="center"/>
          </w:tcPr>
          <w:p>
            <w:r>
              <w:t>VCL-specific additions</w:t>
            </w:r>
          </w:p>
        </w:tc>
        <w:tc>
          <w:tcPr>
            <w:tcW w:type="dxa" w:w="6660"/>
            <w:vAlign w:val="center"/>
          </w:tcPr>
          <w:p>
            <w:r>
              <w:t>DAT.Runtime.VCL; DAT.Runtime.SplashTranslation.VCL; DAT.Runtime.TemplateRewrite.VCL; DAT.Components.VCL; DAT.Components.VCL.LanguageSelector</w:t>
            </w:r>
          </w:p>
        </w:tc>
      </w:tr>
      <w:tr>
        <w:trPr>
          <w:cantSplit/>
        </w:trPr>
        <w:tc>
          <w:tcPr>
            <w:tcW w:type="dxa" w:w="2700"/>
            <w:vAlign w:val="center"/>
          </w:tcPr>
          <w:p>
            <w:r>
              <w:t>FMX-specific additions</w:t>
            </w:r>
          </w:p>
        </w:tc>
        <w:tc>
          <w:tcPr>
            <w:tcW w:type="dxa" w:w="6660"/>
            <w:vAlign w:val="center"/>
          </w:tcPr>
          <w:p>
            <w:r>
              <w:t>DAT.Runtime.FMX; DAT.Runtime.SplashTranslation.FMX; DAT.Runtime.TemplateRewrite.FMX; DAT.Components.FMX; DAT.Components.FMX.LanguageSelector</w:t>
            </w:r>
          </w:p>
        </w:tc>
      </w:tr>
    </w:tbl>
    <w:p>
      <w:pPr>
        <w:pStyle w:val="Heading1"/>
      </w:pPr>
      <w:r>
        <w:t>14. Delphi Compiler Search Path</w:t>
      </w:r>
    </w:p>
    <w:p>
      <w:r>
        <w:t>The Wizard passes ComponentSource temporarily to Wizard-initiated build commands but does not edit DPROJ. A manual RAD Studio build therefore needs a permanent Search path entry that resolves the current ComponentSource or vendored dependency folder.</w:t>
      </w:r>
    </w:p>
    <w:p>
      <w:pPr>
        <w:pStyle w:val="ListNumber"/>
        <w:numPr>
          <w:ilvl w:val="0"/>
          <w:numId w:val="13"/>
        </w:numPr>
      </w:pPr>
      <w:r>
        <w:t>Open the target project in RAD Studio and choose Project &gt; Options.</w:t>
      </w:r>
    </w:p>
    <w:p>
      <w:pPr>
        <w:pStyle w:val="ListNumber"/>
        <w:numPr>
          <w:ilvl w:val="0"/>
          <w:numId w:val="13"/>
        </w:numPr>
      </w:pPr>
      <w:r>
        <w:t>At the top choose All configurations and All platforms unless the project intentionally uses distinct paths.</w:t>
      </w:r>
    </w:p>
    <w:p>
      <w:pPr>
        <w:pStyle w:val="ListNumber"/>
        <w:numPr>
          <w:ilvl w:val="0"/>
          <w:numId w:val="13"/>
        </w:numPr>
      </w:pPr>
      <w:r>
        <w:t>Open Building &gt; Delphi Compiler and locate Search path.</w:t>
      </w:r>
    </w:p>
    <w:p>
      <w:pPr>
        <w:pStyle w:val="ListNumber"/>
        <w:numPr>
          <w:ilvl w:val="0"/>
          <w:numId w:val="13"/>
        </w:numPr>
      </w:pPr>
      <w:r>
        <w:t>Append .\dependencies\DelphiAppTranslation\source when using the recommended project-local folder. An absolute example is C:\New Delphi Projects\MyApplication\dependencies\DelphiAppTranslation\source.</w:t>
      </w:r>
    </w:p>
    <w:p>
      <w:pPr>
        <w:pStyle w:val="ListNumber"/>
        <w:numPr>
          <w:ilvl w:val="0"/>
          <w:numId w:val="13"/>
        </w:numPr>
      </w:pPr>
      <w:r>
        <w:t>Preserve every existing path and the inherited $(DCC_UnitSearchPath) value. Do not replace the field with only the DAT path.</w:t>
      </w:r>
    </w:p>
    <w:p>
      <w:pPr>
        <w:pStyle w:val="ListNumber"/>
        <w:numPr>
          <w:ilvl w:val="0"/>
          <w:numId w:val="13"/>
        </w:numPr>
      </w:pPr>
      <w:r>
        <w:t>Save the option, clean, and build every configuration/platform that will ship.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Verified toolchain path. </w:t>
            </w:r>
            <w:r>
              <w:t>RAD Studio environment: C:\Program Files (x86)\Embarcadero\Studio\37.0\bin\rsvars.bat. Win32 compiler: C:\Program Files (x86)\Embarcadero\Studio\37.0\bin\dcc32.exe.</w:t>
            </w:r>
          </w:p>
        </w:tc>
      </w:tr>
    </w:tbl>
    <w:p>
      <w:pPr>
        <w:pStyle w:val="Heading1"/>
      </w:pPr>
      <w:r>
        <w:t>15. Files and Folders Created or Used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600"/>
        <w:gridCol w:w="5760"/>
      </w:tblGrid>
      <w:tr>
        <w:trPr>
          <w:tblHeader w:val="true"/>
        </w:trPr>
        <w:tc>
          <w:tcPr>
            <w:tcW w:type="dxa" w:w="3600"/>
            <w:shd w:fill="234C80"/>
          </w:tcPr>
          <w:p>
            <w:r>
              <w:rPr>
                <w:b/>
                <w:color w:val="FFFFFF"/>
              </w:rPr>
              <w:t>Path or file</w:t>
            </w:r>
          </w:p>
        </w:tc>
        <w:tc>
          <w:tcPr>
            <w:tcW w:type="dxa" w:w="5760"/>
            <w:shd w:fill="234C80"/>
          </w:tcPr>
          <w:p>
            <w:r>
              <w:rPr>
                <w:b/>
                <w:color w:val="FFFFFF"/>
              </w:rPr>
              <w:t>Contents and reason</w:t>
            </w:r>
          </w:p>
        </w:tc>
      </w:tr>
      <w:tr>
        <w:trPr>
          <w:cantSplit/>
        </w:trPr>
        <w:tc>
          <w:tcPr>
            <w:tcW w:type="dxa" w:w="3600"/>
            <w:vAlign w:val="center"/>
          </w:tcPr>
          <w:p>
            <w:r>
              <w:t>%LOCALAPPDATA%\DelphiAppTranslationStudio\provider-settings.json</w:t>
            </w:r>
          </w:p>
        </w:tc>
        <w:tc>
          <w:tcPr>
            <w:tcW w:type="dxa" w:w="5760"/>
            <w:vAlign w:val="center"/>
          </w:tcPr>
          <w:p>
            <w:r>
              <w:t>Contains provider, plan, remember policy, timeout, and batch size, but never the API key. It restores non-secret Studio provider behavior.</w:t>
            </w:r>
          </w:p>
        </w:tc>
      </w:tr>
      <w:tr>
        <w:trPr>
          <w:cantSplit/>
        </w:trPr>
        <w:tc>
          <w:tcPr>
            <w:tcW w:type="dxa" w:w="3600"/>
            <w:vAlign w:val="center"/>
          </w:tcPr>
          <w:p>
            <w:r>
              <w:t>%LOCALAPPDATA%\DelphiAppTranslationStudio\language.ini</w:t>
            </w:r>
          </w:p>
        </w:tc>
        <w:tc>
          <w:tcPr>
            <w:tcW w:type="dxa" w:w="5760"/>
            <w:vAlign w:val="center"/>
          </w:tcPr>
          <w:p>
            <w:r>
              <w:t>Contains the Studio interface locale. It keeps the Studio UI language independent of target projects.</w:t>
            </w:r>
          </w:p>
        </w:tc>
      </w:tr>
      <w:tr>
        <w:trPr>
          <w:cantSplit/>
        </w:trPr>
        <w:tc>
          <w:tcPr>
            <w:tcW w:type="dxa" w:w="3600"/>
            <w:vAlign w:val="center"/>
          </w:tcPr>
          <w:p>
            <w:r>
              <w:t>%LOCALAPPDATA%\DelphiAppTranslationStudio\Workspaces\&lt;ApplicationId&gt;\Development</w:t>
            </w:r>
          </w:p>
        </w:tc>
        <w:tc>
          <w:tcPr>
            <w:tcW w:type="dxa" w:w="5760"/>
            <w:vAlign w:val="center"/>
          </w:tcPr>
          <w:p>
            <w:r>
              <w:t>Contains full development catalogs. It preserves stable keys, source, translations, status, context, and scan provenance.</w:t>
            </w:r>
          </w:p>
        </w:tc>
      </w:tr>
      <w:tr>
        <w:trPr>
          <w:cantSplit/>
        </w:trPr>
        <w:tc>
          <w:tcPr>
            <w:tcW w:type="dxa" w:w="3600"/>
            <w:vAlign w:val="center"/>
          </w:tcPr>
          <w:p>
            <w:r>
              <w:t>...\Languages</w:t>
            </w:r>
          </w:p>
        </w:tc>
        <w:tc>
          <w:tcPr>
            <w:tcW w:type="dxa" w:w="5760"/>
            <w:vAlign w:val="center"/>
          </w:tcPr>
          <w:p>
            <w:r>
              <w:t>Contains canonical source and translated runtime packs. It provides the workspace copy used for kit generation and deployment.</w:t>
            </w:r>
          </w:p>
        </w:tc>
      </w:tr>
      <w:tr>
        <w:trPr>
          <w:cantSplit/>
        </w:trPr>
        <w:tc>
          <w:tcPr>
            <w:tcW w:type="dxa" w:w="3600"/>
            <w:vAlign w:val="center"/>
          </w:tcPr>
          <w:p>
            <w:r>
              <w:t>...\Glossaries</w:t>
            </w:r>
          </w:p>
        </w:tc>
        <w:tc>
          <w:tcPr>
            <w:tcW w:type="dxa" w:w="5760"/>
            <w:vAlign w:val="center"/>
          </w:tcPr>
          <w:p>
            <w:r>
              <w:t>Contains project terminology JSON. It preserves approved product wording across runs.</w:t>
            </w:r>
          </w:p>
        </w:tc>
      </w:tr>
      <w:tr>
        <w:trPr>
          <w:cantSplit/>
        </w:trPr>
        <w:tc>
          <w:tcPr>
            <w:tcW w:type="dxa" w:w="3600"/>
            <w:vAlign w:val="center"/>
          </w:tcPr>
          <w:p>
            <w:r>
              <w:t>...\Deployment</w:t>
            </w:r>
          </w:p>
        </w:tc>
        <w:tc>
          <w:tcPr>
            <w:tcW w:type="dxa" w:w="5760"/>
            <w:vAlign w:val="center"/>
          </w:tcPr>
          <w:p>
            <w:r>
              <w:t>Contains additional application destinations. It remembers authorized pack-deployment folders.</w:t>
            </w:r>
          </w:p>
        </w:tc>
      </w:tr>
      <w:tr>
        <w:trPr>
          <w:cantSplit/>
        </w:trPr>
        <w:tc>
          <w:tcPr>
            <w:tcW w:type="dxa" w:w="3600"/>
            <w:vAlign w:val="center"/>
          </w:tcPr>
          <w:p>
            <w:r>
              <w:t>%LOCALAPPDATA%\&lt;ApplicationId&gt;\language.ini</w:t>
            </w:r>
          </w:p>
        </w:tc>
        <w:tc>
          <w:tcPr>
            <w:tcW w:type="dxa" w:w="5760"/>
            <w:vAlign w:val="center"/>
          </w:tcPr>
          <w:p>
            <w:r>
              <w:t>Contains the target application's selected locale unless PreferenceLocation is customized. It restores the end user's language at startup.</w:t>
            </w:r>
          </w:p>
        </w:tc>
      </w:tr>
      <w:tr>
        <w:trPr>
          <w:cantSplit/>
        </w:trPr>
        <w:tc>
          <w:tcPr>
            <w:tcW w:type="dxa" w:w="3600"/>
            <w:vAlign w:val="center"/>
          </w:tcPr>
          <w:p>
            <w:r>
              <w:t>&lt;Studio&gt;\export\localization-review\&lt;ApplicationId&gt;\&lt;locale&gt;</w:t>
            </w:r>
          </w:p>
        </w:tc>
        <w:tc>
          <w:tcPr>
            <w:tcW w:type="dxa" w:w="5760"/>
            <w:vAlign w:val="center"/>
          </w:tcPr>
          <w:p>
            <w:r>
              <w:t>Contains HTML/JSON review artifacts. It creates a durable linguistic and layout audit trail.</w:t>
            </w:r>
          </w:p>
        </w:tc>
      </w:tr>
      <w:tr>
        <w:trPr>
          <w:cantSplit/>
        </w:trPr>
        <w:tc>
          <w:tcPr>
            <w:tcW w:type="dxa" w:w="3600"/>
            <w:vAlign w:val="center"/>
          </w:tcPr>
          <w:p>
            <w:r>
              <w:t>&lt;Studio&gt;\export\component-integration\&lt;ApplicationId&gt;</w:t>
            </w:r>
          </w:p>
        </w:tc>
        <w:tc>
          <w:tcPr>
            <w:tcW w:type="dxa" w:w="5760"/>
            <w:vAlign w:val="center"/>
          </w:tcPr>
          <w:p>
            <w:r>
              <w:t>Contains ComponentSource, packs, README, manifest, script, and completion report. It supplies the complete target integration set without source injection.</w:t>
            </w:r>
          </w:p>
        </w:tc>
      </w:tr>
      <w:tr>
        <w:trPr>
          <w:cantSplit/>
        </w:trPr>
        <w:tc>
          <w:tcPr>
            <w:tcW w:type="dxa" w:w="3600"/>
            <w:vAlign w:val="center"/>
          </w:tcPr>
          <w:p>
            <w:r>
              <w:t>&lt;Target EXE&gt;\Localization\Languages</w:t>
            </w:r>
          </w:p>
        </w:tc>
        <w:tc>
          <w:tcPr>
            <w:tcW w:type="dxa" w:w="5760"/>
            <w:vAlign w:val="center"/>
          </w:tcPr>
          <w:p>
            <w:r>
              <w:t>Contains deployed runtime packs. This is the default path resolved by LanguagesFolder.</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Atomic recovery files. </w:t>
            </w:r>
            <w:r>
              <w:t>A .tmp file is an interrupted candidate, .previous is the last known-good version, and .corrupt-&lt;timestamp&gt; is quarantined invalid content. Do not delete recovery files until the active JSON has been validated and backed up.</w:t>
            </w:r>
          </w:p>
        </w:tc>
      </w:tr>
    </w:tbl>
    <w:p>
      <w:pPr>
        <w:pStyle w:val="Heading1"/>
      </w:pPr>
      <w:r>
        <w:t>16. Build and Deployment Procedure</w:t>
      </w:r>
    </w:p>
    <w:p>
      <w:pPr>
        <w:pStyle w:val="ListNumber"/>
        <w:numPr>
          <w:ilvl w:val="0"/>
          <w:numId w:val="14"/>
        </w:numPr>
      </w:pPr>
      <w:r>
        <w:t>Confirm the complete dependency source and Search path before compiling.</w:t>
      </w:r>
    </w:p>
    <w:p>
      <w:pPr>
        <w:pStyle w:val="ListNumber"/>
        <w:numPr>
          <w:ilvl w:val="0"/>
          <w:numId w:val="14"/>
        </w:numPr>
      </w:pPr>
      <w:r>
        <w:t>Build Win32 Debug and Win32 Release. Build Win64 only when the target application will ship it and the target's dependencies support it.</w:t>
      </w:r>
    </w:p>
    <w:p>
      <w:pPr>
        <w:pStyle w:val="ListNumber"/>
        <w:numPr>
          <w:ilvl w:val="0"/>
          <w:numId w:val="14"/>
        </w:numPr>
      </w:pPr>
      <w:r>
        <w:t>Copy the canonical source pack and every translated pack to each executable's Localization\Languages folder, or use the Wizard deployment action.</w:t>
      </w:r>
    </w:p>
    <w:p>
      <w:pPr>
        <w:pStyle w:val="ListNumber"/>
        <w:numPr>
          <w:ilvl w:val="0"/>
          <w:numId w:val="14"/>
        </w:numPr>
      </w:pPr>
      <w:r>
        <w:t>Run the executable from the output folder you just built, not an older copy elsewhere on disk.</w:t>
      </w:r>
    </w:p>
    <w:p>
      <w:pPr>
        <w:pStyle w:val="ListNumber"/>
        <w:numPr>
          <w:ilvl w:val="0"/>
          <w:numId w:val="14"/>
        </w:numPr>
      </w:pPr>
      <w:r>
        <w:t>Repeat pack deployment after any catalog, glossary, layout-decision, or source-pack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Build</w:t>
            </w:r>
          </w:p>
        </w:tc>
        <w:tc>
          <w:tcPr>
            <w:tcW w:type="dxa" w:w="3900"/>
            <w:shd w:fill="234C80"/>
          </w:tcPr>
          <w:p>
            <w:r>
              <w:rPr>
                <w:b/>
                <w:color w:val="FFFFFF"/>
              </w:rPr>
              <w:t>Minimum deployment check</w:t>
            </w:r>
          </w:p>
        </w:tc>
        <w:tc>
          <w:tcPr>
            <w:tcW w:type="dxa" w:w="3660"/>
            <w:shd w:fill="234C80"/>
          </w:tcPr>
          <w:p>
            <w:r>
              <w:rPr>
                <w:b/>
                <w:color w:val="FFFFFF"/>
              </w:rPr>
              <w:t>Runtime check</w:t>
            </w:r>
          </w:p>
        </w:tc>
      </w:tr>
      <w:tr>
        <w:trPr>
          <w:cantSplit/>
        </w:trPr>
        <w:tc>
          <w:tcPr>
            <w:tcW w:type="dxa" w:w="1800"/>
            <w:vAlign w:val="center"/>
          </w:tcPr>
          <w:p>
            <w:r>
              <w:t>Win32 Debug</w:t>
            </w:r>
          </w:p>
        </w:tc>
        <w:tc>
          <w:tcPr>
            <w:tcW w:type="dxa" w:w="3900"/>
            <w:vAlign w:val="center"/>
          </w:tcPr>
          <w:p>
            <w:r>
              <w:t>EXE plus source/target packs in its output tree.</w:t>
            </w:r>
          </w:p>
        </w:tc>
        <w:tc>
          <w:tcPr>
            <w:tcW w:type="dxa" w:w="3660"/>
            <w:vAlign w:val="center"/>
          </w:tcPr>
          <w:p>
            <w:r>
              <w:t>Detailed first-pass diagnostics and all language switching.</w:t>
            </w:r>
          </w:p>
        </w:tc>
      </w:tr>
      <w:tr>
        <w:trPr>
          <w:cantSplit/>
        </w:trPr>
        <w:tc>
          <w:tcPr>
            <w:tcW w:type="dxa" w:w="1800"/>
            <w:vAlign w:val="center"/>
          </w:tcPr>
          <w:p>
            <w:r>
              <w:t>Win32 Release</w:t>
            </w:r>
          </w:p>
        </w:tc>
        <w:tc>
          <w:tcPr>
            <w:tcW w:type="dxa" w:w="3900"/>
            <w:vAlign w:val="center"/>
          </w:tcPr>
          <w:p>
            <w:r>
              <w:t>Independent Release output receives identical pack set.</w:t>
            </w:r>
          </w:p>
        </w:tc>
        <w:tc>
          <w:tcPr>
            <w:tcW w:type="dxa" w:w="3660"/>
            <w:vAlign w:val="center"/>
          </w:tcPr>
          <w:p>
            <w:r>
              <w:t>Release candidate behavior and startup preference.</w:t>
            </w:r>
          </w:p>
        </w:tc>
      </w:tr>
      <w:tr>
        <w:trPr>
          <w:cantSplit/>
        </w:trPr>
        <w:tc>
          <w:tcPr>
            <w:tcW w:type="dxa" w:w="1800"/>
            <w:vAlign w:val="center"/>
          </w:tcPr>
          <w:p>
            <w:r>
              <w:t>Win64 Debug</w:t>
            </w:r>
          </w:p>
        </w:tc>
        <w:tc>
          <w:tcPr>
            <w:tcW w:type="dxa" w:w="3900"/>
            <w:vAlign w:val="center"/>
          </w:tcPr>
          <w:p>
            <w:r>
              <w:t>Only when the application supports Win64.</w:t>
            </w:r>
          </w:p>
        </w:tc>
        <w:tc>
          <w:tcPr>
            <w:tcW w:type="dxa" w:w="3660"/>
            <w:vAlign w:val="center"/>
          </w:tcPr>
          <w:p>
            <w:r>
              <w:t>Architecture-specific runtime and layout behavior.</w:t>
            </w:r>
          </w:p>
        </w:tc>
      </w:tr>
      <w:tr>
        <w:trPr>
          <w:cantSplit/>
        </w:trPr>
        <w:tc>
          <w:tcPr>
            <w:tcW w:type="dxa" w:w="1800"/>
            <w:vAlign w:val="center"/>
          </w:tcPr>
          <w:p>
            <w:r>
              <w:t>Win64 Release</w:t>
            </w:r>
          </w:p>
        </w:tc>
        <w:tc>
          <w:tcPr>
            <w:tcW w:type="dxa" w:w="3900"/>
            <w:vAlign w:val="center"/>
          </w:tcPr>
          <w:p>
            <w:r>
              <w:t>Only when it will ship.</w:t>
            </w:r>
          </w:p>
        </w:tc>
        <w:tc>
          <w:tcPr>
            <w:tcW w:type="dxa" w:w="3660"/>
            <w:vAlign w:val="center"/>
          </w:tcPr>
          <w:p>
            <w:r>
              <w:t>Final Win64 release candidate.</w:t>
            </w:r>
          </w:p>
        </w:tc>
      </w:tr>
      <w:tr>
        <w:trPr>
          <w:cantSplit/>
        </w:trPr>
        <w:tc>
          <w:tcPr>
            <w:tcW w:type="dxa" w:w="1800"/>
            <w:vAlign w:val="center"/>
          </w:tcPr>
          <w:p>
            <w:r>
              <w:t>Installed/portable folder</w:t>
            </w:r>
          </w:p>
        </w:tc>
        <w:tc>
          <w:tcPr>
            <w:tcW w:type="dxa" w:w="3900"/>
            <w:vAlign w:val="center"/>
          </w:tcPr>
          <w:p>
            <w:r>
              <w:t>Executable identity verified before copying packs.</w:t>
            </w:r>
          </w:p>
        </w:tc>
        <w:tc>
          <w:tcPr>
            <w:tcW w:type="dxa" w:w="3660"/>
            <w:vAlign w:val="center"/>
          </w:tcPr>
          <w:p>
            <w:r>
              <w:t>Run in place, including removable/network availability rules.</w:t>
            </w:r>
          </w:p>
        </w:tc>
      </w:tr>
    </w:tbl>
    <w:p>
      <w:pPr>
        <w:pStyle w:val="Heading1"/>
      </w:pPr>
      <w:r>
        <w:t>17. Complete Runtime Verification</w:t>
      </w:r>
    </w:p>
    <w:p>
      <w:pPr>
        <w:pStyle w:val="ListNumber"/>
        <w:numPr>
          <w:ilvl w:val="0"/>
          <w:numId w:val="15"/>
        </w:numPr>
      </w:pPr>
      <w:r>
        <w:t>Start in canonical English/source language and inspect every form, dialog, menu, tab, grid, report, HTML page, message, and dynamic status area.</w:t>
      </w:r>
    </w:p>
    <w:p>
      <w:pPr>
        <w:pStyle w:val="ListNumber"/>
        <w:numPr>
          <w:ilvl w:val="0"/>
          <w:numId w:val="15"/>
        </w:numPr>
      </w:pPr>
      <w:r>
        <w:t>Switch to each translated LTR language. Confirm static controls, dynamic strings, templates, HTML/report content, accelerator keys, placeholders, and persisted data.</w:t>
      </w:r>
    </w:p>
    <w:p>
      <w:pPr>
        <w:pStyle w:val="ListNumber"/>
        <w:numPr>
          <w:ilvl w:val="0"/>
          <w:numId w:val="15"/>
        </w:numPr>
      </w:pPr>
      <w:r>
        <w:t>Switch between two non-English languages without returning to English. No previous-language text or image may remain.</w:t>
      </w:r>
    </w:p>
    <w:p>
      <w:pPr>
        <w:pStyle w:val="ListNumber"/>
        <w:numPr>
          <w:ilvl w:val="0"/>
          <w:numId w:val="15"/>
        </w:numPr>
      </w:pPr>
      <w:r>
        <w:t>For Arabic, Hebrew, and Urdu, confirm paragraph direction and control alignment are RTL while identifiers, file paths, numbers, WinAPI, FMX, and other protected LTR tokens remain readable.</w:t>
      </w:r>
    </w:p>
    <w:p>
      <w:pPr>
        <w:pStyle w:val="ListNumber"/>
        <w:numPr>
          <w:ilvl w:val="0"/>
          <w:numId w:val="15"/>
        </w:numPr>
      </w:pPr>
      <w:r>
        <w:t>Switch back to English. The current screen must repaint immediately; no blank content panel or delayed click is acceptable.</w:t>
      </w:r>
    </w:p>
    <w:p>
      <w:pPr>
        <w:pStyle w:val="ListNumber"/>
        <w:numPr>
          <w:ilvl w:val="0"/>
          <w:numId w:val="15"/>
        </w:numPr>
      </w:pPr>
      <w:r>
        <w:t>Close and restart in each representative locale. Confirm the preference loads quickly and an invalid/missing pack falls back safely to the canonical source pack.</w:t>
      </w:r>
    </w:p>
    <w:p>
      <w:pPr>
        <w:pStyle w:val="ListNumber"/>
        <w:numPr>
          <w:ilvl w:val="0"/>
          <w:numId w:val="15"/>
        </w:numPr>
      </w:pPr>
      <w:r>
        <w:t>Inspect long headings and paragraphs at normal DPI and any supported scaling. Use natural space wrapping, intelligent hyphenation, and only modest font fitting; reject clipping, overlap, premature wrapping, or shifted neighboring columns.</w:t>
      </w:r>
    </w:p>
    <w:p>
      <w:pPr>
        <w:pStyle w:val="ListNumber"/>
        <w:numPr>
          <w:ilvl w:val="0"/>
          <w:numId w:val="15"/>
        </w:numPr>
      </w:pPr>
      <w:r>
        <w:t>Repeat the complete matrix for each shipped platform/configuration and record any exception by stable key, form, component, locale, and build.</w:t>
      </w:r>
    </w:p>
    <w:p>
      <w:pPr>
        <w:pStyle w:val="Heading1"/>
      </w:pPr>
      <w:r>
        <w:t>18. Updating, Resuming, and Adding Languages</w:t>
      </w:r>
    </w:p>
    <w:p>
      <w:r>
        <w:t>A later scan merges into the same application/locale catalog. Matching stable key and source text preserve existing work; changed source becomes attention-required; new entries are added; missing entries become obsolete rather than disappearing silently.</w:t>
      </w:r>
    </w:p>
    <w:p>
      <w:r>
        <w:t>The provider receives only eligible unresolved records. Reviewed, approved, excluded, obsolete, and unchanged translated records are not retranslated merely because the Wizard runs again.</w:t>
      </w:r>
    </w:p>
    <w:p>
      <w:pPr>
        <w:pStyle w:val="ListNumber"/>
        <w:numPr>
          <w:ilvl w:val="0"/>
          <w:numId w:val="16"/>
        </w:numPr>
      </w:pPr>
      <w:r>
        <w:t>Make source/form changes in the test project and choose Save All.</w:t>
      </w:r>
    </w:p>
    <w:p>
      <w:pPr>
        <w:pStyle w:val="ListNumber"/>
        <w:numPr>
          <w:ilvl w:val="0"/>
          <w:numId w:val="16"/>
        </w:numPr>
      </w:pPr>
      <w:r>
        <w:t>Run the Wizard with the same ApplicationId and target locale, then scan again.</w:t>
      </w:r>
    </w:p>
    <w:p>
      <w:pPr>
        <w:pStyle w:val="ListNumber"/>
        <w:numPr>
          <w:ilvl w:val="0"/>
          <w:numId w:val="16"/>
        </w:numPr>
      </w:pPr>
      <w:r>
        <w:t>Review new, changed, unchanged, recovered, and obsolete counts before authorization.</w:t>
      </w:r>
    </w:p>
    <w:p>
      <w:pPr>
        <w:pStyle w:val="ListNumber"/>
        <w:numPr>
          <w:ilvl w:val="0"/>
          <w:numId w:val="16"/>
        </w:numPr>
      </w:pPr>
      <w:r>
        <w:t>Translate unresolved work, complete Localization Review, validate, export, regenerate the kit, and redeploy.</w:t>
      </w:r>
    </w:p>
    <w:p>
      <w:pPr>
        <w:pStyle w:val="ListNumber"/>
        <w:numPr>
          <w:ilvl w:val="0"/>
          <w:numId w:val="16"/>
        </w:numPr>
      </w:pPr>
      <w:r>
        <w:t>Refresh the complete vendored dependency set only when runtime/component source changed; do not replace it for ordinary catalog-only updates.</w:t>
      </w:r>
    </w:p>
    <w:p>
      <w:pPr>
        <w:pStyle w:val="ListNumber"/>
        <w:numPr>
          <w:ilvl w:val="0"/>
          <w:numId w:val="16"/>
        </w:numPr>
      </w:pPr>
      <w:r>
        <w:t>For another language, select that target locale and repeat scan/translation/review/export. Deploy the canonical source pack and all translated packs together.</w:t>
      </w:r>
    </w:p>
    <w:p>
      <w:pPr>
        <w:pStyle w:val="Heading1"/>
      </w:pPr>
      <w:r>
        <w:t>19. Failure Recovery and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Most likely cause</w:t>
            </w:r>
          </w:p>
        </w:tc>
        <w:tc>
          <w:tcPr>
            <w:tcW w:type="dxa" w:w="3660"/>
            <w:shd w:fill="234C80"/>
          </w:tcPr>
          <w:p>
            <w:r>
              <w:rPr>
                <w:b/>
                <w:color w:val="FFFFFF"/>
              </w:rPr>
              <w:t>Required correction</w:t>
            </w:r>
          </w:p>
        </w:tc>
      </w:tr>
      <w:tr>
        <w:trPr>
          <w:cantSplit/>
        </w:trPr>
        <w:tc>
          <w:tcPr>
            <w:tcW w:type="dxa" w:w="1800"/>
            <w:vAlign w:val="center"/>
          </w:tcPr>
          <w:p>
            <w:r>
              <w:t>Project is not recognized</w:t>
            </w:r>
          </w:p>
        </w:tc>
        <w:tc>
          <w:tcPr>
            <w:tcW w:type="dxa" w:w="3900"/>
            <w:vAlign w:val="center"/>
          </w:tcPr>
          <w:p>
            <w:r>
              <w:t>Wrong/partial DPR/DPROJ or unsupported metadata.</w:t>
            </w:r>
          </w:p>
        </w:tc>
        <w:tc>
          <w:tcPr>
            <w:tcW w:type="dxa" w:w="3660"/>
            <w:vAlign w:val="center"/>
          </w:tcPr>
          <w:p>
            <w:r>
              <w:t>Select the saved DPROJ from the complete test copy and verify it opens in RAD Studio.</w:t>
            </w:r>
          </w:p>
        </w:tc>
      </w:tr>
      <w:tr>
        <w:trPr>
          <w:cantSplit/>
        </w:trPr>
        <w:tc>
          <w:tcPr>
            <w:tcW w:type="dxa" w:w="1800"/>
            <w:vAlign w:val="center"/>
          </w:tcPr>
          <w:p>
            <w:r>
              <w:t>Scan is zero or unexpectedly small</w:t>
            </w:r>
          </w:p>
        </w:tc>
        <w:tc>
          <w:tcPr>
            <w:tcW w:type="dxa" w:w="3900"/>
            <w:vAlign w:val="center"/>
          </w:tcPr>
          <w:p>
            <w:r>
              <w:t>Wrong project, unsaved forms, binary/unreadable resources, or incomplete source closure.</w:t>
            </w:r>
          </w:p>
        </w:tc>
        <w:tc>
          <w:tcPr>
            <w:tcW w:type="dxa" w:w="3660"/>
            <w:vAlign w:val="center"/>
          </w:tcPr>
          <w:p>
            <w:r>
              <w:t>Save All, verify text resources and detected counts, then rescan.</w:t>
            </w:r>
          </w:p>
        </w:tc>
      </w:tr>
      <w:tr>
        <w:trPr>
          <w:cantSplit/>
        </w:trPr>
        <w:tc>
          <w:tcPr>
            <w:tcW w:type="dxa" w:w="1800"/>
            <w:vAlign w:val="center"/>
          </w:tcPr>
          <w:p>
            <w:r>
              <w:t>Wizard and Maintenance totals differ</w:t>
            </w:r>
          </w:p>
        </w:tc>
        <w:tc>
          <w:tcPr>
            <w:tcW w:type="dxa" w:w="3900"/>
            <w:vAlign w:val="center"/>
          </w:tcPr>
          <w:p>
            <w:r>
              <w:t>Different project/source snapshot, old catalog merge basis, or comparing unique entries with raw observations.</w:t>
            </w:r>
          </w:p>
        </w:tc>
        <w:tc>
          <w:tcPr>
            <w:tcW w:type="dxa" w:w="3660"/>
            <w:vAlign w:val="center"/>
          </w:tcPr>
          <w:p>
            <w:r>
              <w:t>Use the same project and compare the same unique-entry headline and supporting counts.</w:t>
            </w:r>
          </w:p>
        </w:tc>
      </w:tr>
      <w:tr>
        <w:trPr>
          <w:cantSplit/>
        </w:trPr>
        <w:tc>
          <w:tcPr>
            <w:tcW w:type="dxa" w:w="1800"/>
            <w:vAlign w:val="center"/>
          </w:tcPr>
          <w:p>
            <w:r>
              <w:t>Connection test never completes</w:t>
            </w:r>
          </w:p>
        </w:tc>
        <w:tc>
          <w:tcPr>
            <w:tcW w:type="dxa" w:w="3900"/>
            <w:vAlign w:val="center"/>
          </w:tcPr>
          <w:p>
            <w:r>
              <w:t>Network/provider request did not honor timeout/cancellation or an old build is running.</w:t>
            </w:r>
          </w:p>
        </w:tc>
        <w:tc>
          <w:tcPr>
            <w:tcW w:type="dxa" w:w="3660"/>
            <w:vAlign w:val="center"/>
          </w:tcPr>
          <w:p>
            <w:r>
              <w:t>Run the current build, verify timeout/settings, provider endpoint, firewall, and account; do not kill processing before diagnostics.</w:t>
            </w:r>
          </w:p>
        </w:tc>
      </w:tr>
      <w:tr>
        <w:trPr>
          <w:cantSplit/>
        </w:trPr>
        <w:tc>
          <w:tcPr>
            <w:tcW w:type="dxa" w:w="1800"/>
            <w:vAlign w:val="center"/>
          </w:tcPr>
          <w:p>
            <w:r>
              <w:t>401/403</w:t>
            </w:r>
          </w:p>
        </w:tc>
        <w:tc>
          <w:tcPr>
            <w:tcW w:type="dxa" w:w="3900"/>
            <w:vAlign w:val="center"/>
          </w:tcPr>
          <w:p>
            <w:r>
              <w:t>Invalid key, wrong DeepL plan, disabled Google API, billing, or restriction problem.</w:t>
            </w:r>
          </w:p>
        </w:tc>
        <w:tc>
          <w:tcPr>
            <w:tcW w:type="dxa" w:w="3660"/>
            <w:vAlign w:val="center"/>
          </w:tcPr>
          <w:p>
            <w:r>
              <w:t>Correct account/endpoint/key restrictions and retest.</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for the provider window, reduce work/batch pressure, or correct quota/billing.</w:t>
            </w:r>
          </w:p>
        </w:tc>
      </w:tr>
      <w:tr>
        <w:trPr>
          <w:cantSplit/>
        </w:trPr>
        <w:tc>
          <w:tcPr>
            <w:tcW w:type="dxa" w:w="1800"/>
            <w:vAlign w:val="center"/>
          </w:tcPr>
          <w:p>
            <w:r>
              <w:t>Selector is empty</w:t>
            </w:r>
          </w:p>
        </w:tc>
        <w:tc>
          <w:tcPr>
            <w:tcW w:type="dxa" w:w="3900"/>
            <w:vAlign w:val="center"/>
          </w:tcPr>
          <w:p>
            <w:r>
              <w:t>Packs missing, invalid, wrong ApplicationId/framework/version, or wrong executable folder.</w:t>
            </w:r>
          </w:p>
        </w:tc>
        <w:tc>
          <w:tcPr>
            <w:tcW w:type="dxa" w:w="3660"/>
            <w:vAlign w:val="center"/>
          </w:tcPr>
          <w:p>
            <w:r>
              <w:t>Inspect the actual running EXE folder and validate source/target pack headers.</w:t>
            </w:r>
          </w:p>
        </w:tc>
      </w:tr>
      <w:tr>
        <w:trPr>
          <w:cantSplit/>
        </w:trPr>
        <w:tc>
          <w:tcPr>
            <w:tcW w:type="dxa" w:w="1800"/>
            <w:vAlign w:val="center"/>
          </w:tcPr>
          <w:p>
            <w:r>
              <w:t>Language switch is slow</w:t>
            </w:r>
          </w:p>
        </w:tc>
        <w:tc>
          <w:tcPr>
            <w:tcW w:type="dxa" w:w="3900"/>
            <w:vAlign w:val="center"/>
          </w:tcPr>
          <w:p>
            <w:r>
              <w:t>Repeated disk discovery, unnecessary full-form work, synchronous provider/network logic, or lifecycle loop.</w:t>
            </w:r>
          </w:p>
        </w:tc>
        <w:tc>
          <w:tcPr>
            <w:tcW w:type="dxa" w:w="3660"/>
            <w:vAlign w:val="center"/>
          </w:tcPr>
          <w:p>
            <w:r>
              <w:t>Profile runtime switching; it must use admitted in-memory packs and bounded open-form application only.</w:t>
            </w:r>
          </w:p>
        </w:tc>
      </w:tr>
      <w:tr>
        <w:trPr>
          <w:cantSplit/>
        </w:trPr>
        <w:tc>
          <w:tcPr>
            <w:tcW w:type="dxa" w:w="1800"/>
            <w:vAlign w:val="center"/>
          </w:tcPr>
          <w:p>
            <w:r>
              <w:t>Mixed languages remain</w:t>
            </w:r>
          </w:p>
        </w:tc>
        <w:tc>
          <w:tcPr>
            <w:tcW w:type="dxa" w:w="3900"/>
            <w:vAlign w:val="center"/>
          </w:tcPr>
          <w:p>
            <w:r>
              <w:t>Previous-language dynamic/template text was not restored before applying the new pack.</w:t>
            </w:r>
          </w:p>
        </w:tc>
        <w:tc>
          <w:tcPr>
            <w:tcW w:type="dxa" w:w="3660"/>
            <w:vAlign w:val="center"/>
          </w:tcPr>
          <w:p>
            <w:r>
              <w:t>Verify source snapshot/dynamic reverse mapping and language-change refresh contracts.</w:t>
            </w:r>
          </w:p>
        </w:tc>
      </w:tr>
      <w:tr>
        <w:trPr>
          <w:cantSplit/>
        </w:trPr>
        <w:tc>
          <w:tcPr>
            <w:tcW w:type="dxa" w:w="1800"/>
            <w:vAlign w:val="center"/>
          </w:tcPr>
          <w:p>
            <w:r>
              <w:t>English switch shows a blank page</w:t>
            </w:r>
          </w:p>
        </w:tc>
        <w:tc>
          <w:tcPr>
            <w:tcW w:type="dxa" w:w="3900"/>
            <w:vAlign w:val="center"/>
          </w:tcPr>
          <w:p>
            <w:r>
              <w:t>Current page was cleared without immediate rebuild/repaint.</w:t>
            </w:r>
          </w:p>
        </w:tc>
        <w:tc>
          <w:tcPr>
            <w:tcW w:type="dxa" w:w="3660"/>
            <w:vAlign w:val="center"/>
          </w:tcPr>
          <w:p>
            <w:r>
              <w:t>Verify the language-changed handler rebuilds current dynamic/HTML content synchronously.</w:t>
            </w:r>
          </w:p>
        </w:tc>
      </w:tr>
      <w:tr>
        <w:trPr>
          <w:cantSplit/>
        </w:trPr>
        <w:tc>
          <w:tcPr>
            <w:tcW w:type="dxa" w:w="1800"/>
            <w:vAlign w:val="center"/>
          </w:tcPr>
          <w:p>
            <w:r>
              <w:t>RTL text is left aligned</w:t>
            </w:r>
          </w:p>
        </w:tc>
        <w:tc>
          <w:tcPr>
            <w:tcW w:type="dxa" w:w="3900"/>
            <w:vAlign w:val="center"/>
          </w:tcPr>
          <w:p>
            <w:r>
              <w:t>A paragraph/control direction contract is absent or overridden.</w:t>
            </w:r>
          </w:p>
        </w:tc>
        <w:tc>
          <w:tcPr>
            <w:tcW w:type="dxa" w:w="3660"/>
            <w:vAlign w:val="center"/>
          </w:tcPr>
          <w:p>
            <w:r>
              <w:t>Verify pack direction, framework applicator, and per-control ownership; preserve protected LTR tokens.</w:t>
            </w:r>
          </w:p>
        </w:tc>
      </w:tr>
      <w:tr>
        <w:trPr>
          <w:cantSplit/>
        </w:trPr>
        <w:tc>
          <w:tcPr>
            <w:tcW w:type="dxa" w:w="1800"/>
            <w:vAlign w:val="center"/>
          </w:tcPr>
          <w:p>
            <w:r>
              <w:t>Compiler cannot find DAT units</w:t>
            </w:r>
          </w:p>
        </w:tc>
        <w:tc>
          <w:tcPr>
            <w:tcW w:type="dxa" w:w="3900"/>
            <w:vAlign w:val="center"/>
          </w:tcPr>
          <w:p>
            <w:r>
              <w:t>ComponentSource/dependency folder is missing or Search path is wrong for the active configuration.</w:t>
            </w:r>
          </w:p>
        </w:tc>
        <w:tc>
          <w:tcPr>
            <w:tcW w:type="dxa" w:w="3660"/>
            <w:vAlign w:val="center"/>
          </w:tcPr>
          <w:p>
            <w:r>
              <w:t>Copy the full unit set and correct All configurations/All platforms Search path.</w:t>
            </w:r>
          </w:p>
        </w:tc>
      </w:tr>
      <w:tr>
        <w:trPr>
          <w:cantSplit/>
        </w:trPr>
        <w:tc>
          <w:tcPr>
            <w:tcW w:type="dxa" w:w="1800"/>
            <w:vAlign w:val="center"/>
          </w:tcPr>
          <w:p>
            <w:r>
              <w:t>STOPPED in final log</w:t>
            </w:r>
          </w:p>
        </w:tc>
        <w:tc>
          <w:tcPr>
            <w:tcW w:type="dxa" w:w="3900"/>
            <w:vAlign w:val="center"/>
          </w:tcPr>
          <w:p>
            <w:r>
              <w:t>Controlled backup, translation, review, validation, export, kit, build, or deployment failure.</w:t>
            </w:r>
          </w:p>
        </w:tc>
        <w:tc>
          <w:tcPr>
            <w:tcW w:type="dxa" w:w="3660"/>
            <w:vAlign w:val="center"/>
          </w:tcPr>
          <w:p>
            <w:r>
              <w:t>Preserve the log/report, correct the specific last error, and rerun; do not treat partial output as complete.</w:t>
            </w:r>
          </w:p>
        </w:tc>
      </w:tr>
    </w:tbl>
    <w:p>
      <w:pPr>
        <w:pStyle w:val="Heading1"/>
      </w:pPr>
      <w:r>
        <w:t>20. Security and Privacy</w:t>
      </w:r>
    </w:p>
    <w:p>
      <w:pPr>
        <w:pStyle w:val="ListBullet"/>
      </w:pPr>
      <w:r>
        <w:t>Provider API keys never belong in PAS/DFM/FMX/DPR/DPROJ, JSON catalogs, runtime packs, kits, logs, screenshots, documentation, email, issue trackers, or Git.</w:t>
      </w:r>
    </w:p>
    <w:p>
      <w:pPr>
        <w:pStyle w:val="ListBullet"/>
      </w:pPr>
      <w:r>
        <w:t>Remembered keys are Windows Generic Credentials for the current user; session-only keys exist only in process memory.</w:t>
      </w:r>
    </w:p>
    <w:p>
      <w:pPr>
        <w:pStyle w:val="ListBullet"/>
      </w:pPr>
      <w:r>
        <w:t>Provider-settings JSON contains no secret. Review it before source distribution only to confirm it contains non-secret configuration.</w:t>
      </w:r>
    </w:p>
    <w:p>
      <w:pPr>
        <w:pStyle w:val="ListBullet"/>
      </w:pPr>
      <w:r>
        <w:t>The deployed target is offline and should not contain provider client code or credentials.</w:t>
      </w:r>
    </w:p>
    <w:p>
      <w:pPr>
        <w:pStyle w:val="ListBullet"/>
      </w:pPr>
      <w:r>
        <w:t>Atomic persistence and required safety ZIP protect recoverability, but Git remains the authoritative engineering history for Studio and target projects.</w:t>
      </w:r>
    </w:p>
    <w:p>
      <w:pPr>
        <w:pStyle w:val="ListBullet"/>
      </w:pPr>
      <w:r>
        <w:t>A component kit contains source and language packs. Review catalog/pack licensing and proprietary text before publishing it.</w:t>
      </w:r>
    </w:p>
    <w:p>
      <w:pPr>
        <w:pStyle w:val="Heading1"/>
      </w:pPr>
      <w:r>
        <w:t>21. Printable Completion Checklist</w:t>
      </w:r>
    </w:p>
    <w:p>
      <w:pPr>
        <w:pStyle w:val="ListBullet"/>
      </w:pPr>
      <w:r>
        <w:t>[ ] Complete repository downloaded or cloned; Studio builds and starts.</w:t>
      </w:r>
    </w:p>
    <w:p>
      <w:pPr>
        <w:pStyle w:val="ListBullet"/>
      </w:pPr>
      <w:r>
        <w:t>[ ] Pristine target backup exists; disposable test copy builds before localization.</w:t>
      </w:r>
    </w:p>
    <w:p>
      <w:pPr>
        <w:pStyle w:val="ListBullet"/>
      </w:pPr>
      <w:r>
        <w:t>[ ] Correct VCL/FMX Win32 Release design BPL installed through Install Packages.</w:t>
      </w:r>
    </w:p>
    <w:p>
      <w:pPr>
        <w:pStyle w:val="ListBullet"/>
      </w:pPr>
      <w:r>
        <w:t>[ ] One manager and one connected selector saved on the primary form.</w:t>
      </w:r>
    </w:p>
    <w:p>
      <w:pPr>
        <w:pStyle w:val="ListBullet"/>
      </w:pPr>
      <w:r>
        <w:t>[ ] ApplicationId, LanguagesFolder, and SourceLanguage verified in Object Inspector.</w:t>
      </w:r>
    </w:p>
    <w:p>
      <w:pPr>
        <w:pStyle w:val="ListBullet"/>
      </w:pPr>
      <w:r>
        <w:t>[ ] Target project saved and closed before final processing.</w:t>
      </w:r>
    </w:p>
    <w:p>
      <w:pPr>
        <w:pStyle w:val="ListBullet"/>
      </w:pPr>
      <w:r>
        <w:t>[ ] DeepL/Google key stored with intended policy and Test Connection passed.</w:t>
      </w:r>
    </w:p>
    <w:p>
      <w:pPr>
        <w:pStyle w:val="ListBullet"/>
      </w:pPr>
      <w:r>
        <w:t>[ ] Project, source locale, target locale, native name, direction, and locale facts verified.</w:t>
      </w:r>
    </w:p>
    <w:p>
      <w:pPr>
        <w:pStyle w:val="ListBullet"/>
      </w:pPr>
      <w:r>
        <w:t>[ ] Scan headline and supporting raw/recovered/duplicate counts reviewed.</w:t>
      </w:r>
    </w:p>
    <w:p>
      <w:pPr>
        <w:pStyle w:val="ListBullet"/>
      </w:pPr>
      <w:r>
        <w:t>[ ] Review and Authorize summary, safety ZIP, project-closed check, and authorization confirmed.</w:t>
      </w:r>
    </w:p>
    <w:p>
      <w:pPr>
        <w:pStyle w:val="ListBullet"/>
      </w:pPr>
      <w:r>
        <w:t>[ ] Localization Review findings, glossary, suggestions, and layout decisions completed.</w:t>
      </w:r>
    </w:p>
    <w:p>
      <w:pPr>
        <w:pStyle w:val="ListBullet"/>
      </w:pPr>
      <w:r>
        <w:t>[ ] Progress ends successfully; completion report and component kit exist.</w:t>
      </w:r>
    </w:p>
    <w:p>
      <w:pPr>
        <w:pStyle w:val="ListBullet"/>
      </w:pPr>
      <w:r>
        <w:t>[ ] Full ComponentSource copied to optional project dependencies folder when vendoring.</w:t>
      </w:r>
    </w:p>
    <w:p>
      <w:pPr>
        <w:pStyle w:val="ListBullet"/>
      </w:pPr>
      <w:r>
        <w:t>[ ] Delphi Search path includes the exact dependency source for all shipped targets.</w:t>
      </w:r>
    </w:p>
    <w:p>
      <w:pPr>
        <w:pStyle w:val="ListBullet"/>
      </w:pPr>
      <w:r>
        <w:t>[ ] Canonical source pack and every target pack deployed beside each actual EXE.</w:t>
      </w:r>
    </w:p>
    <w:p>
      <w:pPr>
        <w:pStyle w:val="ListBullet"/>
      </w:pPr>
      <w:r>
        <w:t>[ ] LTR, RTL, non-English-to-non-English, switch-back, restart, dynamic, HTML, and layout matrix passes.</w:t>
      </w:r>
    </w:p>
    <w:p>
      <w:r>
        <w:br w:type="page"/>
      </w:r>
    </w:p>
    <w:p>
      <w:pPr>
        <w:pStyle w:val="Heading1"/>
      </w:pPr>
      <w:r>
        <w:t>22. Quick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Exact or relative path</w:t>
            </w:r>
          </w:p>
        </w:tc>
      </w:tr>
      <w:tr>
        <w:trPr>
          <w:cantSplit/>
        </w:trPr>
        <w:tc>
          <w:tcPr>
            <w:tcW w:type="dxa" w:w="2700"/>
            <w:vAlign w:val="center"/>
          </w:tcPr>
          <w:p>
            <w:r>
              <w:t>Studio repository</w:t>
            </w:r>
          </w:p>
        </w:tc>
        <w:tc>
          <w:tcPr>
            <w:tcW w:type="dxa" w:w="6660"/>
            <w:vAlign w:val="center"/>
          </w:tcPr>
          <w:p>
            <w:r>
              <w:t>C:\New Delphi Projects\Delphi App Translation (example)</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&lt;Studio&gt;\export\component-integration\&lt;ApplicationId&gt;</w:t>
            </w:r>
          </w:p>
        </w:tc>
      </w:tr>
      <w:tr>
        <w:trPr>
          <w:cantSplit/>
        </w:trPr>
        <w:tc>
          <w:tcPr>
            <w:tcW w:type="dxa" w:w="2700"/>
            <w:vAlign w:val="center"/>
          </w:tcPr>
          <w:p>
            <w:r>
              <w:t>Vendored dependencies</w:t>
            </w:r>
          </w:p>
        </w:tc>
        <w:tc>
          <w:tcPr>
            <w:tcW w:type="dxa" w:w="6660"/>
            <w:vAlign w:val="center"/>
          </w:tcPr>
          <w:p>
            <w:r>
              <w:t>&lt;Target&gt;\dependencies\DelphiAppTranslation\source</w:t>
            </w:r>
          </w:p>
        </w:tc>
      </w:tr>
      <w:tr>
        <w:trPr>
          <w:cantSplit/>
        </w:trPr>
        <w:tc>
          <w:tcPr>
            <w:tcW w:type="dxa" w:w="2700"/>
            <w:vAlign w:val="center"/>
          </w:tcPr>
          <w:p>
            <w:r>
              <w:t>Search path entry</w:t>
            </w:r>
          </w:p>
        </w:tc>
        <w:tc>
          <w:tcPr>
            <w:tcW w:type="dxa" w:w="6660"/>
            <w:vAlign w:val="center"/>
          </w:tcPr>
          <w:p>
            <w:r>
              <w:t>.\dependencies\DelphiAppTranslation\source</w:t>
            </w:r>
          </w:p>
        </w:tc>
      </w:tr>
      <w:tr>
        <w:trPr>
          <w:cantSplit/>
        </w:trPr>
        <w:tc>
          <w:tcPr>
            <w:tcW w:type="dxa" w:w="2700"/>
            <w:vAlign w:val="center"/>
          </w:tcPr>
          <w:p>
            <w:r>
              <w:t>Runtime packs</w:t>
            </w:r>
          </w:p>
        </w:tc>
        <w:tc>
          <w:tcPr>
            <w:tcW w:type="dxa" w:w="6660"/>
            <w:vAlign w:val="center"/>
          </w:tcPr>
          <w:p>
            <w:r>
              <w:t>&lt;Target EXE&gt;\Localization\Languages</w:t>
            </w:r>
          </w:p>
        </w:tc>
      </w:tr>
      <w:tr>
        <w:trPr>
          <w:cantSplit/>
        </w:trPr>
        <w:tc>
          <w:tcPr>
            <w:tcW w:type="dxa" w:w="2700"/>
            <w:vAlign w:val="center"/>
          </w:tcPr>
          <w:p>
            <w:r>
              <w:t>Target preference</w:t>
            </w:r>
          </w:p>
        </w:tc>
        <w:tc>
          <w:tcPr>
            <w:tcW w:type="dxa" w:w="6660"/>
            <w:vAlign w:val="center"/>
          </w:tcPr>
          <w:p>
            <w:r>
              <w:t>%LOCALAPPDATA%\&lt;ApplicationId&gt;\language.ini</w:t>
            </w:r>
          </w:p>
        </w:tc>
      </w:tr>
    </w:tbl>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