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First-Time User's Path from Delphi Project to Offline Translation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10,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t>The table of contents is refreshed during document finalization.</w:t>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Expected Result</w:t>
      </w:r>
    </w:p>
    <w:p>
      <w:r>
        <w:t>The Setup Wizard is the recommended way to localize a Delphi application for the first time. It presents one decision at a time, verifies prerequisites before allowing the next step, and records the files and commands needed to finish the integration.</w:t>
      </w:r>
    </w:p>
    <w:p>
      <w: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w:t>
      </w:r>
    </w:p>
    <w:p>
      <w:r>
        <w:t>The Wizard cannot perform Delphi's design-time work on the developer's behalf. RAD Studio must install the design package through its normal Install Packages dialog, and the developer must place and configure the language manager and visible selector on the target application's primary form. These visible IDE changes are deliberate safeguards.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pPr>
        <w:pStyle w:val="Heading1"/>
      </w:pPr>
      <w:r>
        <w:t>2. Prepare Before Starting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Requirement</w:t>
            </w:r>
          </w:p>
        </w:tc>
        <w:tc>
          <w:tcPr>
            <w:tcW w:type="dxa" w:w="3900"/>
            <w:shd w:fill="234C80"/>
          </w:tcPr>
          <w:p>
            <w:r>
              <w:rPr>
                <w:b/>
                <w:color w:val="FFFFFF"/>
              </w:rPr>
              <w:t>What to prepare</w:t>
            </w:r>
          </w:p>
        </w:tc>
        <w:tc>
          <w:tcPr>
            <w:tcW w:type="dxa" w:w="3660"/>
            <w:shd w:fill="234C80"/>
          </w:tcPr>
          <w:p>
            <w:r>
              <w:rPr>
                <w:b/>
                <w:color w:val="FFFFFF"/>
              </w:rPr>
              <w:t>Why it matters</w:t>
            </w:r>
          </w:p>
        </w:tc>
      </w:tr>
      <w:tr>
        <w:trPr>
          <w:cantSplit/>
        </w:trPr>
        <w:tc>
          <w:tcPr>
            <w:tcW w:type="dxa" w:w="1800"/>
            <w:vAlign w:val="center"/>
          </w:tcPr>
          <w:p>
            <w:r>
              <w:t>Target project</w:t>
            </w:r>
          </w:p>
        </w:tc>
        <w:tc>
          <w:tcPr>
            <w:tcW w:type="dxa" w:w="3900"/>
            <w:vAlign w:val="center"/>
          </w:tcPr>
          <w:p>
            <w:r>
              <w:t>A .dproj file is preferred; .dpr is accepted.</w:t>
            </w:r>
          </w:p>
        </w:tc>
        <w:tc>
          <w:tcPr>
            <w:tcW w:type="dxa" w:w="3660"/>
            <w:vAlign w:val="center"/>
          </w:tcPr>
          <w:p>
            <w:r>
              <w:t>The Wizard identifies VCL or FMX, supported Windows platforms, and form resources.</w:t>
            </w:r>
          </w:p>
        </w:tc>
      </w:tr>
      <w:tr>
        <w:trPr>
          <w:cantSplit/>
        </w:trPr>
        <w:tc>
          <w:tcPr>
            <w:tcW w:type="dxa" w:w="1800"/>
            <w:vAlign w:val="center"/>
          </w:tcPr>
          <w:p>
            <w:r>
              <w:t>Safe working copy</w:t>
            </w:r>
          </w:p>
        </w:tc>
        <w:tc>
          <w:tcPr>
            <w:tcW w:type="dxa" w:w="3900"/>
            <w:vAlign w:val="center"/>
          </w:tcPr>
          <w:p>
            <w:r>
              <w:t>Use a clearly named test copy and confirm it builds before localization.</w:t>
            </w:r>
          </w:p>
        </w:tc>
        <w:tc>
          <w:tcPr>
            <w:tcW w:type="dxa" w:w="3660"/>
            <w:vAlign w:val="center"/>
          </w:tcPr>
          <w:p>
            <w:r>
              <w:t>The original application remains available even if the evaluation is abandoned.</w:t>
            </w:r>
          </w:p>
        </w:tc>
      </w:tr>
      <w:tr>
        <w:trPr>
          <w:cantSplit/>
        </w:trPr>
        <w:tc>
          <w:tcPr>
            <w:tcW w:type="dxa" w:w="1800"/>
            <w:vAlign w:val="center"/>
          </w:tcPr>
          <w:p>
            <w:r>
              <w:t>Backup method</w:t>
            </w:r>
          </w:p>
        </w:tc>
        <w:tc>
          <w:tcPr>
            <w:tcW w:type="dxa" w:w="3900"/>
            <w:vAlign w:val="center"/>
          </w:tcPr>
          <w:p>
            <w:r>
              <w:t>Git is optional. A verified folder copy, archive, or normal backup system is sufficient.</w:t>
            </w:r>
          </w:p>
        </w:tc>
        <w:tc>
          <w:tcPr>
            <w:tcW w:type="dxa" w:w="3660"/>
            <w:vAlign w:val="center"/>
          </w:tcPr>
          <w:p>
            <w:r>
              <w:t>The Wizard does not assume every Delphi developer uses Git.</w:t>
            </w:r>
          </w:p>
        </w:tc>
      </w:tr>
      <w:tr>
        <w:trPr>
          <w:cantSplit/>
        </w:trPr>
        <w:tc>
          <w:tcPr>
            <w:tcW w:type="dxa" w:w="1800"/>
            <w:vAlign w:val="center"/>
          </w:tcPr>
          <w:p>
            <w:r>
              <w:t>Translation provider</w:t>
            </w:r>
          </w:p>
        </w:tc>
        <w:tc>
          <w:tcPr>
            <w:tcW w:type="dxa" w:w="3900"/>
            <w:vAlign w:val="center"/>
          </w:tcPr>
          <w:p>
            <w:r>
              <w:t>A working Google Cloud Translation Basic v2 or DeepL API key.</w:t>
            </w:r>
          </w:p>
        </w:tc>
        <w:tc>
          <w:tcPr>
            <w:tcW w:type="dxa" w:w="3660"/>
            <w:vAlign w:val="center"/>
          </w:tcPr>
          <w:p>
            <w:r>
              <w:t>Automatic translation cannot run without provider authentication.</w:t>
            </w:r>
          </w:p>
        </w:tc>
      </w:tr>
      <w:tr>
        <w:trPr>
          <w:cantSplit/>
        </w:trPr>
        <w:tc>
          <w:tcPr>
            <w:tcW w:type="dxa" w:w="1800"/>
            <w:vAlign w:val="center"/>
          </w:tcPr>
          <w:p>
            <w:r>
              <w:t>RAD Studio</w:t>
            </w:r>
          </w:p>
        </w:tc>
        <w:tc>
          <w:tcPr>
            <w:tcW w:type="dxa" w:w="3900"/>
            <w:vAlign w:val="center"/>
          </w:tcPr>
          <w:p>
            <w:r>
              <w:t>The current release is verified with RAD Studio 13 Florence.</w:t>
            </w:r>
          </w:p>
        </w:tc>
        <w:tc>
          <w:tcPr>
            <w:tcW w:type="dxa" w:w="3660"/>
            <w:vAlign w:val="center"/>
          </w:tcPr>
          <w:p>
            <w:r>
              <w:t>RAD Studio performs the approved design-package and component-placement steps.</w:t>
            </w:r>
          </w:p>
        </w:tc>
      </w:tr>
      <w:tr>
        <w:trPr>
          <w:cantSplit/>
        </w:trPr>
        <w:tc>
          <w:tcPr>
            <w:tcW w:type="dxa" w:w="1800"/>
            <w:vAlign w:val="center"/>
          </w:tcPr>
          <w:p>
            <w:r>
              <w:t>Healthy target build</w:t>
            </w:r>
          </w:p>
        </w:tc>
        <w:tc>
          <w:tcPr>
            <w:tcW w:type="dxa" w:w="3900"/>
            <w:vAlign w:val="center"/>
          </w:tcPr>
          <w:p>
            <w:r>
              <w:t>Build at least one intended Windows configuration successfully.</w:t>
            </w:r>
          </w:p>
        </w:tc>
        <w:tc>
          <w:tcPr>
            <w:tcW w:type="dxa" w:w="3660"/>
            <w:vAlign w:val="center"/>
          </w:tcPr>
          <w:p>
            <w:r>
              <w:t>A localization test should not begin with unrelated compiler or form-streaming failures.</w:t>
            </w:r>
          </w:p>
        </w:tc>
      </w:tr>
    </w:tbl>
    <w:p>
      <w:pPr>
        <w:pStyle w:val="ListNumber"/>
        <w:numPr>
          <w:ilvl w:val="0"/>
          <w:numId w:val="10"/>
        </w:numPr>
      </w:pPr>
      <w:r>
        <w:t>Close the target application if it is running.</w:t>
      </w:r>
    </w:p>
    <w:p>
      <w:pPr>
        <w:pStyle w:val="ListNumber"/>
        <w:numPr>
          <w:ilvl w:val="0"/>
          <w:numId w:val="10"/>
        </w:numPr>
      </w:pPr>
      <w:r>
        <w:t>Create the pristine or otherwise protected copy, then create a separate test copy for the Wizard.</w:t>
      </w:r>
    </w:p>
    <w:p>
      <w:pPr>
        <w:pStyle w:val="ListNumber"/>
        <w:numPr>
          <w:ilvl w:val="0"/>
          <w:numId w:val="10"/>
        </w:numPr>
      </w:pPr>
      <w:r>
        <w:t>Open the test copy in RAD Studio, build it, run it briefly, then close RAD Studio or close the project before starting the Wizard.</w:t>
      </w:r>
    </w:p>
    <w:p>
      <w:pPr>
        <w:pStyle w:val="ListNumber"/>
        <w:numPr>
          <w:ilvl w:val="0"/>
          <w:numId w:val="10"/>
        </w:numPr>
      </w:pPr>
      <w:r>
        <w:t>Have the provider API key available. Do not paste it into source code, JSON files, email, screenshots, or issue reports.</w:t>
      </w:r>
    </w:p>
    <w:p>
      <w:pPr>
        <w:pStyle w:val="Heading1"/>
      </w:pPr>
      <w:r>
        <w:t>3. Start and Navigate the Setup Wizard</w:t>
      </w:r>
    </w:p>
    <w:p>
      <w:pPr>
        <w:pStyle w:val="ListNumber"/>
        <w:numPr>
          <w:ilvl w:val="0"/>
          <w:numId w:val="11"/>
        </w:numPr>
      </w:pPr>
      <w:r>
        <w:t>Run DelphiAppTranslationStudio.exe from the selected Win32 or Win64 Debug or Release folder.</w:t>
      </w:r>
    </w:p>
    <w:p>
      <w:pPr>
        <w:pStyle w:val="ListNumber"/>
        <w:numPr>
          <w:ilvl w:val="0"/>
          <w:numId w:val="11"/>
        </w:numPr>
      </w:pPr>
      <w:r>
        <w:t>On the Project page, select Start Setup Wizard. The separate Open Project button begins the advanced manual workflow and is not required for this guide.</w:t>
      </w:r>
    </w:p>
    <w:p>
      <w:pPr>
        <w:pStyle w:val="ListNumber"/>
        <w:numPr>
          <w:ilvl w:val="0"/>
          <w:numId w:val="11"/>
        </w:numPr>
      </w:pPr>
      <w:r>
        <w:t>Read the Welcome page, especially the orange safety notice, then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Navigation control</w:t>
            </w:r>
          </w:p>
        </w:tc>
        <w:tc>
          <w:tcPr>
            <w:tcW w:type="dxa" w:w="6660"/>
            <w:shd w:fill="234C80"/>
          </w:tcPr>
          <w:p>
            <w:r>
              <w:rPr>
                <w:b/>
                <w:color w:val="FFFFFF"/>
              </w:rPr>
              <w:t>Behavior</w:t>
            </w:r>
          </w:p>
        </w:tc>
      </w:tr>
      <w:tr>
        <w:trPr>
          <w:cantSplit/>
        </w:trPr>
        <w:tc>
          <w:tcPr>
            <w:tcW w:type="dxa" w:w="2700"/>
            <w:vAlign w:val="center"/>
          </w:tcPr>
          <w:p>
            <w:r>
              <w:t>Next</w:t>
            </w:r>
          </w:p>
        </w:tc>
        <w:tc>
          <w:tcPr>
            <w:tcW w:type="dxa" w:w="6660"/>
            <w:vAlign w:val="center"/>
          </w:tcPr>
          <w:p>
            <w:r>
              <w:t>Validates the current step and moves forward only when required information is present.</w:t>
            </w:r>
          </w:p>
        </w:tc>
      </w:tr>
      <w:tr>
        <w:trPr>
          <w:cantSplit/>
        </w:trPr>
        <w:tc>
          <w:tcPr>
            <w:tcW w:type="dxa" w:w="2700"/>
            <w:vAlign w:val="center"/>
          </w:tcPr>
          <w:p>
            <w:r>
              <w:t>Back</w:t>
            </w:r>
          </w:p>
        </w:tc>
        <w:tc>
          <w:tcPr>
            <w:tcW w:type="dxa" w:w="6660"/>
            <w:vAlign w:val="center"/>
          </w:tcPr>
          <w:p>
            <w:r>
              <w:t>Returns to the previous step before final processing.</w:t>
            </w:r>
          </w:p>
        </w:tc>
      </w:tr>
      <w:tr>
        <w:trPr>
          <w:cantSplit/>
        </w:trPr>
        <w:tc>
          <w:tcPr>
            <w:tcW w:type="dxa" w:w="2700"/>
            <w:vAlign w:val="center"/>
          </w:tcPr>
          <w:p>
            <w:r>
              <w:t>Left step rail</w:t>
            </w:r>
          </w:p>
        </w:tc>
        <w:tc>
          <w:tcPr>
            <w:tcW w:type="dxa" w:w="6660"/>
            <w:vAlign w:val="center"/>
          </w:tcPr>
          <w:p>
            <w:r>
              <w:t>Selects a step already reached. Future steps remain unavailable, preventing required work from being skipped.</w:t>
            </w:r>
          </w:p>
        </w:tc>
      </w:tr>
      <w:tr>
        <w:trPr>
          <w:cantSplit/>
        </w:trPr>
        <w:tc>
          <w:tcPr>
            <w:tcW w:type="dxa" w:w="2700"/>
            <w:vAlign w:val="center"/>
          </w:tcPr>
          <w:p>
            <w:r>
              <w:t>Cancel</w:t>
            </w:r>
          </w:p>
        </w:tc>
        <w:tc>
          <w:tcPr>
            <w:tcW w:type="dxa" w:w="6660"/>
            <w:vAlign w:val="center"/>
          </w:tcPr>
          <w:p>
            <w:r>
              <w:t>Closes the Wizard before final processing. The target project remains unchanged; a deliberately saved provider credential may remain in Windows Credential Manager.</w:t>
            </w:r>
          </w:p>
        </w:tc>
      </w:tr>
      <w:tr>
        <w:trPr>
          <w:cantSplit/>
        </w:trPr>
        <w:tc>
          <w:tcPr>
            <w:tcW w:type="dxa" w:w="2700"/>
            <w:vAlign w:val="center"/>
          </w:tcPr>
          <w:p>
            <w:r>
              <w:t>Begin Final Processing</w:t>
            </w:r>
          </w:p>
        </w:tc>
        <w:tc>
          <w:tcPr>
            <w:tcW w:type="dxa" w:w="6660"/>
            <w:vAlign w:val="center"/>
          </w:tcPr>
          <w:p>
            <w:r>
              <w:t>Starts the controlled translation/export sequence. Back, Cancel, the left rail, and window closing are disabled until the sequence completes or stops safely.</w:t>
            </w:r>
          </w:p>
        </w:tc>
      </w:tr>
      <w:tr>
        <w:trPr>
          <w:cantSplit/>
        </w:trPr>
        <w:tc>
          <w:tcPr>
            <w:tcW w:type="dxa" w:w="2700"/>
            <w:vAlign w:val="center"/>
          </w:tcPr>
          <w:p>
            <w:r>
              <w:t>Finish</w:t>
            </w:r>
          </w:p>
        </w:tc>
        <w:tc>
          <w:tcPr>
            <w:tcW w:type="dxa" w:w="6660"/>
            <w:vAlign w:val="center"/>
          </w:tcPr>
          <w:p>
            <w:r>
              <w:t>Becomes available only after final processing succeeds.</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Cancel boundary. </w:t>
            </w:r>
            <w:r>
              <w:t>Cancel is safe through the Review and Authorize page, before Begin Final Processing is selected. During final processing the Wizard cannot be closed. If a failure occurs after the controlled DPROJ update, the transaction restores the prior project configuration automatically. Pascal and form source are not rewritten.</w:t>
            </w:r>
          </w:p>
        </w:tc>
      </w:tr>
    </w:tbl>
    <w:p>
      <w:pPr>
        <w:pStyle w:val="Heading1"/>
      </w:pPr>
      <w:r>
        <w:t>4. Complete the Eight Wizard Steps</w:t>
      </w:r>
    </w:p>
    <w:p>
      <w:pPr>
        <w:pStyle w:val="Heading2"/>
      </w:pPr>
      <w:r>
        <w:t>4.1 Step 1 - Welcome</w:t>
      </w:r>
    </w:p>
    <w:p>
      <w:r>
        <w:t>The Welcome page summarizes the complete job and the safety boundary. No project has been selected and no target file is being written at this point.</w:t>
      </w:r>
    </w:p>
    <w:p>
      <w:pPr>
        <w:pStyle w:val="ListNumber"/>
        <w:numPr>
          <w:ilvl w:val="0"/>
          <w:numId w:val="12"/>
        </w:numPr>
      </w:pPr>
      <w:r>
        <w:t>Read the safety notice.</w:t>
      </w:r>
    </w:p>
    <w:p>
      <w:pPr>
        <w:pStyle w:val="ListNumber"/>
        <w:numPr>
          <w:ilvl w:val="0"/>
          <w:numId w:val="12"/>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Delphi Project step opens and Step 1 remains selectable in the left rail.</w:t>
            </w:r>
          </w:p>
        </w:tc>
      </w:tr>
    </w:tbl>
    <w:p>
      <w:pPr>
        <w:pStyle w:val="Heading2"/>
      </w:pPr>
      <w:r>
        <w:t>4.2 Step 2 - Delphi Project</w:t>
      </w:r>
    </w:p>
    <w:p>
      <w: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13"/>
        </w:numPr>
      </w:pPr>
      <w:r>
        <w:t>Select Browse.</w:t>
      </w:r>
    </w:p>
    <w:p>
      <w:pPr>
        <w:pStyle w:val="ListNumber"/>
        <w:numPr>
          <w:ilvl w:val="0"/>
          <w:numId w:val="13"/>
        </w:numPr>
      </w:pPr>
      <w:r>
        <w:t>Navigate to the test copy and select its .dproj file.</w:t>
      </w:r>
    </w:p>
    <w:p>
      <w:pPr>
        <w:pStyle w:val="ListNumber"/>
        <w:numPr>
          <w:ilvl w:val="0"/>
          <w:numId w:val="13"/>
        </w:numPr>
      </w:pPr>
      <w:r>
        <w:t>Confirm the displayed project name, VCL or FireMonkey framework, Windows targets, and form-resource count.</w:t>
      </w:r>
    </w:p>
    <w:p>
      <w:pPr>
        <w:pStyle w:val="ListNumber"/>
        <w:numPr>
          <w:ilvl w:val="0"/>
          <w:numId w:val="13"/>
        </w:numPr>
      </w:pPr>
      <w:r>
        <w:t>Confirm the detected Application ID. It is the project filename without .dproj, such as Carillon for Carillon.dproj. Use Copy ID if the value will be needed in RAD Studio.</w:t>
      </w:r>
    </w:p>
    <w:p>
      <w:pPr>
        <w:pStyle w:val="ListNumber"/>
        <w:numPr>
          <w:ilvl w:val="0"/>
          <w:numId w:val="13"/>
        </w:numPr>
      </w:pPr>
      <w:r>
        <w:t>If the project is wrong, select Browse again before continuing.</w:t>
      </w:r>
    </w:p>
    <w:p>
      <w:pPr>
        <w:pStyle w:val="ListNumber"/>
        <w:numPr>
          <w:ilvl w:val="0"/>
          <w:numId w:val="13"/>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footer reports that the project was identified and no target file was changed. The exact Application ID is displayed explicitly rather than inferred from the folder name.</w:t>
            </w:r>
          </w:p>
        </w:tc>
      </w:tr>
    </w:tbl>
    <w:p>
      <w:pPr>
        <w:pStyle w:val="Heading2"/>
      </w:pPr>
      <w:r>
        <w:t>4.3 Step 3 - Languages</w:t>
      </w:r>
    </w:p>
    <w:p>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14"/>
        </w:numPr>
      </w:pPr>
      <w:r>
        <w:t>Leave Source language as English (United States) [en-US] when the application was authored in U.S. English.</w:t>
      </w:r>
    </w:p>
    <w:p>
      <w:pPr>
        <w:pStyle w:val="ListNumber"/>
        <w:numPr>
          <w:ilvl w:val="0"/>
          <w:numId w:val="14"/>
        </w:numPr>
      </w:pPr>
      <w:r>
        <w:t>Choose the target language from the list.</w:t>
      </w:r>
    </w:p>
    <w:p>
      <w:pPr>
        <w:pStyle w:val="ListNumber"/>
        <w:numPr>
          <w:ilvl w:val="0"/>
          <w:numId w:val="14"/>
        </w:numPr>
      </w:pPr>
      <w:r>
        <w:t>Confirm the native language name. This is the human-readable name displayed to the application's users.</w:t>
      </w:r>
    </w:p>
    <w:p>
      <w:pPr>
        <w:pStyle w:val="ListNumber"/>
        <w:numPr>
          <w:ilvl w:val="0"/>
          <w:numId w:val="14"/>
        </w:numPr>
      </w:pPr>
      <w:r>
        <w:t>Read the locale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pPr>
        <w:pStyle w:val="Heading2"/>
      </w:pPr>
      <w:r>
        <w:t>4.4 Step 4 - Translation Service</w:t>
      </w:r>
    </w:p>
    <w:p>
      <w: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15"/>
        </w:numPr>
      </w:pPr>
      <w:r>
        <w:t>Select Google Cloud Translation or DeepL. For DeepL, also select API Free or API Pro to match the account.</w:t>
      </w:r>
    </w:p>
    <w:p>
      <w:pPr>
        <w:pStyle w:val="ListNumber"/>
        <w:numPr>
          <w:ilvl w:val="0"/>
          <w:numId w:val="15"/>
        </w:numPr>
      </w:pPr>
      <w:r>
        <w:t>If a key is already stored for this provider, the status reports that it is available. Otherwise paste a new key into the masked API key field.</w:t>
      </w:r>
    </w:p>
    <w:p>
      <w:pPr>
        <w:pStyle w:val="ListNumber"/>
        <w:numPr>
          <w:ilvl w:val="0"/>
          <w:numId w:val="15"/>
        </w:numPr>
      </w:pPr>
      <w:r>
        <w:t>Leave Remember securely on this computer selected for Windows Credential Manager storage, or clear it for this Studio session only.</w:t>
      </w:r>
    </w:p>
    <w:p>
      <w:pPr>
        <w:pStyle w:val="ListNumber"/>
        <w:numPr>
          <w:ilvl w:val="0"/>
          <w:numId w:val="15"/>
        </w:numPr>
      </w:pPr>
      <w:r>
        <w:t>Select Save / Replace Key when a new key was entered.</w:t>
      </w:r>
    </w:p>
    <w:p>
      <w:pPr>
        <w:pStyle w:val="ListNumber"/>
        <w:numPr>
          <w:ilvl w:val="0"/>
          <w:numId w:val="15"/>
        </w:numPr>
      </w:pPr>
      <w:r>
        <w:t>Select Test Connection and wait for Connection test passed. Do not continue after an authentication, billing, quota, restriction, or network failure.</w:t>
      </w:r>
    </w:p>
    <w:p>
      <w:pPr>
        <w:pStyle w:val="ListNumber"/>
        <w:numPr>
          <w:ilvl w:val="0"/>
          <w:numId w:val="15"/>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provider connection succeeds using one small test translation. No target application text has been sent yet.</w:t>
            </w:r>
          </w:p>
        </w:tc>
      </w:tr>
    </w:tbl>
    <w:p>
      <w:pPr>
        <w:pStyle w:val="Heading2"/>
      </w:pPr>
      <w:r>
        <w:t>4.5 Step 5 - Scan Project</w:t>
      </w:r>
    </w:p>
    <w:p>
      <w: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16"/>
        </w:numPr>
      </w:pPr>
      <w:r>
        <w:t>Select Scan Project.</w:t>
      </w:r>
    </w:p>
    <w:p>
      <w:pPr>
        <w:pStyle w:val="ListNumber"/>
        <w:numPr>
          <w:ilvl w:val="0"/>
          <w:numId w:val="16"/>
        </w:numPr>
      </w:pPr>
      <w:r>
        <w:t>Review the summary for total, new, changed, unchanged, and obsolete entries.</w:t>
      </w:r>
    </w:p>
    <w:p>
      <w:pPr>
        <w:pStyle w:val="ListNumber"/>
        <w:numPr>
          <w:ilvl w:val="0"/>
          <w:numId w:val="16"/>
        </w:numPr>
      </w:pPr>
      <w:r>
        <w:t>Scroll through representative rows and confirm that keys and source text belong to the selected project.</w:t>
      </w:r>
    </w:p>
    <w:p>
      <w:pPr>
        <w:pStyle w:val="ListNumber"/>
        <w:numPr>
          <w:ilvl w:val="0"/>
          <w:numId w:val="16"/>
        </w:numPr>
      </w:pPr>
      <w:r>
        <w:t>If the count is zero, stop and verify that the forms are text resources and that the correct project was selected.</w:t>
      </w:r>
    </w:p>
    <w:p>
      <w:pPr>
        <w:pStyle w:val="ListNumber"/>
        <w:numPr>
          <w:ilvl w:val="0"/>
          <w:numId w:val="16"/>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footer reports that the development catalog is ready. The scan itself remains read-only with respect to the target project.</w:t>
            </w:r>
          </w:p>
        </w:tc>
      </w:tr>
    </w:tbl>
    <w:p>
      <w:pPr>
        <w:pStyle w:val="Heading2"/>
      </w:pPr>
      <w:r>
        <w:t>4.6 Step 6 - Delphi Component</w:t>
      </w:r>
    </w:p>
    <w:p>
      <w:r>
        <w:t>This page explains the remaining manual RAD Studio phase that cannot safely be performed by the Wizard. The design-time BPL makes the manager and selector available on the DAT Localization Tool Palette page. Installing it is normally a one-time operation for the current RAD Studio installation; placing and arranging components remains designer-owned work.</w:t>
      </w:r>
    </w:p>
    <w:p>
      <w:pPr>
        <w:pStyle w:val="ListNumber"/>
        <w:numPr>
          <w:ilvl w:val="0"/>
          <w:numId w:val="17"/>
        </w:numPr>
      </w:pPr>
      <w:r>
        <w:t>Read all eight instructions shown on the page.</w:t>
      </w:r>
    </w:p>
    <w:p>
      <w:pPr>
        <w:pStyle w:val="ListNumber"/>
        <w:numPr>
          <w:ilvl w:val="0"/>
          <w:numId w:val="17"/>
        </w:numPr>
      </w:pPr>
      <w:r>
        <w:t>Optionally select Show Design BPL now to confirm that the exact verified VCL or FMX Win32 Release design package exists. File Explorer selects the file; the Wizard does not install it.</w:t>
      </w:r>
    </w:p>
    <w:p>
      <w:pPr>
        <w:pStyle w:val="ListNumber"/>
        <w:numPr>
          <w:ilvl w:val="0"/>
          <w:numId w:val="17"/>
        </w:numPr>
      </w:pPr>
      <w:r>
        <w:t>Select I understand this manual RAD Studio step.</w:t>
      </w:r>
    </w:p>
    <w:p>
      <w:pPr>
        <w:pStyle w:val="ListNumber"/>
        <w:numPr>
          <w:ilvl w:val="0"/>
          <w:numId w:val="17"/>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Wizard records that the manual step is understood; no BPL registry entry and no target-form component has been created yet.</w:t>
            </w:r>
          </w:p>
        </w:tc>
      </w:tr>
    </w:tbl>
    <w:p>
      <w:pPr>
        <w:pStyle w:val="Heading2"/>
      </w:pPr>
      <w:r>
        <w:t>4.7 Step 7 - Review and Authorize</w:t>
      </w:r>
    </w:p>
    <w:p>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18"/>
        </w:numPr>
      </w:pPr>
      <w:r>
        <w:t>Confirm the project path and application name.</w:t>
      </w:r>
    </w:p>
    <w:p>
      <w:pPr>
        <w:pStyle w:val="ListNumber"/>
        <w:numPr>
          <w:ilvl w:val="0"/>
          <w:numId w:val="18"/>
        </w:numPr>
      </w:pPr>
      <w:r>
        <w:t>Confirm the target language and provider.</w:t>
      </w:r>
    </w:p>
    <w:p>
      <w:pPr>
        <w:pStyle w:val="ListNumber"/>
        <w:numPr>
          <w:ilvl w:val="0"/>
          <w:numId w:val="18"/>
        </w:numPr>
      </w:pPr>
      <w:r>
        <w:t>Compare Scanned entries with Unresolved entries to translate. A lower unresolved count is normal when entries are protected, excluded, obsolete, or already translated.</w:t>
      </w:r>
    </w:p>
    <w:p>
      <w:pPr>
        <w:pStyle w:val="ListNumber"/>
        <w:numPr>
          <w:ilvl w:val="0"/>
          <w:numId w:val="18"/>
        </w:numPr>
      </w:pPr>
      <w:r>
        <w:t>Close the target project in RAD Studio, then select Required: the target project is closed in RAD Studio. This prevents the IDE from overwriting the controlled DPROJ update with an older in-memory copy.</w:t>
      </w:r>
    </w:p>
    <w:p>
      <w:pPr>
        <w:pStyle w:val="ListNumber"/>
        <w:numPr>
          <w:ilvl w:val="0"/>
          <w:numId w:val="18"/>
        </w:numPr>
      </w:pPr>
      <w:r>
        <w:t>Confirm that the required timestamped ZIP safety backup is selected. It cannot be disabled because final processing adds controlled properties inside Delphi's native Base compiler group.</w:t>
      </w:r>
    </w:p>
    <w:p>
      <w:pPr>
        <w:pStyle w:val="ListNumber"/>
        <w:numPr>
          <w:ilvl w:val="0"/>
          <w:numId w:val="18"/>
        </w:numPr>
      </w:pPr>
      <w:r>
        <w:t>Select I reviewed these choices and authorize final processing.</w:t>
      </w:r>
    </w:p>
    <w:p>
      <w:pPr>
        <w:pStyle w:val="ListNumber"/>
        <w:numPr>
          <w:ilvl w:val="0"/>
          <w:numId w:val="18"/>
        </w:numPr>
      </w:pPr>
      <w:r>
        <w:t>Select Begin Final Processing only when every item is correct.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Wizard moves to Process and Finish, disables cancellation and navigation, and begins the logged operation sequence.</w:t>
            </w:r>
          </w:p>
        </w:tc>
      </w:tr>
    </w:tbl>
    <w:p>
      <w:pPr>
        <w:pStyle w:val="Heading2"/>
      </w:pPr>
      <w:r>
        <w:t>4.8 Step 8 - Process and Finish</w:t>
      </w:r>
    </w:p>
    <w:p>
      <w:r>
        <w:t>Final processing runs in a fixed order: required ZIP backup, automatic translation of eligible unresolved entries, development-catalog save, structural validation, runtime-pack export, component-kit generation, deployment to existing output folders, backed-up transactional DPROJ configuration, and completion-report creation.</w:t>
      </w:r>
    </w:p>
    <w:p>
      <w: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19"/>
        </w:numPr>
      </w:pPr>
      <w:r>
        <w:t>Watch the timestamped progress log. Do not terminate the Studio or Windows while processing is active.</w:t>
      </w:r>
    </w:p>
    <w:p>
      <w:pPr>
        <w:pStyle w:val="ListNumber"/>
        <w:numPr>
          <w:ilvl w:val="0"/>
          <w:numId w:val="19"/>
        </w:numPr>
      </w:pPr>
      <w:r>
        <w:t>When processing completes, select the blue component-kit path or Open Kit Folder.</w:t>
      </w:r>
    </w:p>
    <w:p>
      <w:pPr>
        <w:pStyle w:val="ListNumber"/>
        <w:numPr>
          <w:ilvl w:val="0"/>
          <w:numId w:val="19"/>
        </w:numPr>
      </w:pPr>
      <w:r>
        <w:t>Keep the Wizard open while completing the RAD Studio steps in Chapter 5; the generated commands and paths remain visible.</w:t>
      </w:r>
    </w:p>
    <w:p>
      <w:pPr>
        <w:pStyle w:val="ListNumber"/>
        <w:numPr>
          <w:ilvl w:val="0"/>
          <w:numId w:val="19"/>
        </w:numPr>
      </w:pPr>
      <w:r>
        <w:t>Build the target configurations. The Wizard's post-build step automatically deploys the current JSON packs to the executable's Localization\Languages folder.</w:t>
      </w:r>
    </w:p>
    <w:p>
      <w:pPr>
        <w:pStyle w:val="ListNumber"/>
        <w:numPr>
          <w:ilvl w:val="0"/>
          <w:numId w:val="19"/>
        </w:numPr>
      </w:pPr>
      <w:r>
        <w:t>Use Deploy Build Outputs to refresh detected build folders. For a portable, USB, or custom installation, choose Deploy to App Folder and select the folder containing the exact application EXE. The Wizard verifies the EXE before copying anything.</w:t>
      </w:r>
    </w:p>
    <w:p>
      <w:pPr>
        <w:pStyle w:val="ListNumber"/>
        <w:numPr>
          <w:ilvl w:val="0"/>
          <w:numId w:val="19"/>
        </w:numPr>
      </w:pPr>
      <w:r>
        <w:t>Use Copy Fallback Commands only for troubleshooting or a deliberately manual deployment.</w:t>
      </w:r>
    </w:p>
    <w:p>
      <w:pPr>
        <w:pStyle w:val="ListNumber"/>
        <w:numPr>
          <w:ilvl w:val="0"/>
          <w:numId w:val="19"/>
        </w:numPr>
      </w:pPr>
      <w:r>
        <w:t>Select Finish after reviewing the completion results.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Expected result. </w:t>
            </w:r>
            <w:r>
              <w:t>The progress log ends successfully, the component-kit folder exists, Wizard-Completion-Report.txt records the exact Application ID, Search Path, backups, and deployments, and the DPROJ contains one marked Wizard block.</w:t>
            </w:r>
          </w:p>
        </w:tc>
      </w:tr>
    </w:tbl>
    <w:p>
      <w:pPr>
        <w:pStyle w:val="Heading1"/>
      </w:pPr>
      <w:r>
        <w:t>5. Complete the Manual RAD Studio Step</w:t>
      </w:r>
    </w:p>
    <w:p>
      <w:r>
        <w:t>The Wizard creates files but deliberately does not alter RAD Studio's package registry or place components on forms. Complete these steps after final processing. If DAT Localization is already visible in the Tool Palette, do not reinstall the package; proceed to component placement.</w:t>
      </w:r>
    </w:p>
    <w:p>
      <w:pPr>
        <w:pStyle w:val="Heading2"/>
      </w:pPr>
      <w:r>
        <w:t>5.1 Install the Design Package</w:t>
      </w:r>
    </w:p>
    <w:p>
      <w:pPr>
        <w:pStyle w:val="ListNumber"/>
        <w:numPr>
          <w:ilvl w:val="0"/>
          <w:numId w:val="20"/>
        </w:numPr>
      </w:pPr>
      <w:r>
        <w:t>Start RAD Studio without opening the target form. If the target project opens automatically, close the project before changing installed packages.</w:t>
      </w:r>
    </w:p>
    <w:p>
      <w:pPr>
        <w:pStyle w:val="ListNumber"/>
        <w:numPr>
          <w:ilvl w:val="0"/>
          <w:numId w:val="20"/>
        </w:numPr>
      </w:pPr>
      <w:r>
        <w:t>In the Wizard select Show Design BPL, or browse to the exact path recorded in the completion report.</w:t>
      </w:r>
    </w:p>
    <w:p>
      <w:pPr>
        <w:pStyle w:val="ListNumber"/>
        <w:numPr>
          <w:ilvl w:val="0"/>
          <w:numId w:val="20"/>
        </w:numPr>
      </w:pPr>
      <w:r>
        <w:t>In RAD Studio choose Component &gt; Install Packages.</w:t>
      </w:r>
    </w:p>
    <w:p>
      <w:pPr>
        <w:pStyle w:val="ListNumber"/>
        <w:numPr>
          <w:ilvl w:val="0"/>
          <w:numId w:val="20"/>
        </w:numPr>
      </w:pPr>
      <w:r>
        <w:t>Select Add, choose DATLanguageManagerFMXDesign.bpl for an FMX target or DATLanguageManagerVCLDesign.bpl for a VCL target, and select Open.</w:t>
      </w:r>
    </w:p>
    <w:p>
      <w:pPr>
        <w:pStyle w:val="ListNumber"/>
        <w:numPr>
          <w:ilvl w:val="0"/>
          <w:numId w:val="20"/>
        </w:numPr>
      </w:pPr>
      <w:r>
        <w:t>Confirm that the DAT Language Manager design-time package appears in the package list and is checked, then select OK.</w:t>
      </w:r>
    </w:p>
    <w:p>
      <w:pPr>
        <w:pStyle w:val="ListNumber"/>
        <w:numPr>
          <w:ilvl w:val="0"/>
          <w:numId w:val="20"/>
        </w:numPr>
      </w:pPr>
      <w:r>
        <w:t>Open any matching VCL or FMX form and confirm that the DAT Localization Tool Palette page contains the language manager and language combo-box components.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Use the correct Delphi command. </w:t>
            </w:r>
            <w:r>
              <w:t>Do not use Component &gt; Install Component, do not select a .dpk, and do not install a BPL from a generated per-project kit. Install the stable Win32 Release design BPL selected by the Wizard.</w:t>
            </w:r>
          </w:p>
        </w:tc>
      </w:tr>
    </w:tbl>
    <w:p>
      <w:pPr>
        <w:pStyle w:val="Heading2"/>
      </w:pPr>
      <w:r>
        <w:t>5.2 Place and Configure the Components</w:t>
      </w:r>
    </w:p>
    <w:p>
      <w:pPr>
        <w:pStyle w:val="ListNumber"/>
        <w:numPr>
          <w:ilvl w:val="0"/>
          <w:numId w:val="21"/>
        </w:numPr>
      </w:pPr>
      <w:r>
        <w:t>Open the target test project and its primary form in the Form Designer.</w:t>
      </w:r>
    </w:p>
    <w:p>
      <w:pPr>
        <w:pStyle w:val="ListNumber"/>
        <w:numPr>
          <w:ilvl w:val="0"/>
          <w:numId w:val="21"/>
        </w:numPr>
      </w:pPr>
      <w:r>
        <w:t>Place one TDATFMXLanguageManager for an FMX project or one TDATVCLLanguageManager for a VCL project. One manager supervises the application; it is not placed on all forms.</w:t>
      </w:r>
    </w:p>
    <w:p>
      <w:pPr>
        <w:pStyle w:val="ListNumber"/>
        <w:numPr>
          <w:ilvl w:val="0"/>
          <w:numId w:val="21"/>
        </w:numPr>
      </w:pPr>
      <w:r>
        <w:t>Set ApplicationId to the exact value shown in Detected Application ID. For example, Carillon.dproj produces Carillon regardless of the containing folder name.</w:t>
      </w:r>
    </w:p>
    <w:p>
      <w:pPr>
        <w:pStyle w:val="ListNumber"/>
        <w:numPr>
          <w:ilvl w:val="0"/>
          <w:numId w:val="21"/>
        </w:numPr>
      </w:pPr>
      <w:r>
        <w:t>Leave LanguagesFolder as Localization\Languages unless the application has an intentional custom deployment layout.</w:t>
      </w:r>
    </w:p>
    <w:p>
      <w:pPr>
        <w:pStyle w:val="ListNumber"/>
        <w:numPr>
          <w:ilvl w:val="0"/>
          <w:numId w:val="21"/>
        </w:numPr>
      </w:pPr>
      <w:r>
        <w:t>Set SourceLanguage to en-US when English (United States) is the source.</w:t>
      </w:r>
    </w:p>
    <w:p>
      <w:pPr>
        <w:pStyle w:val="ListNumber"/>
        <w:numPr>
          <w:ilvl w:val="0"/>
          <w:numId w:val="21"/>
        </w:numPr>
      </w:pPr>
      <w:r>
        <w:t>Place the matching TDAT language combo box. In Object Inspector, set its LanguageManager property to the manager component; do not leave this property blank. Position it where users can select a language. A connected Language menu may replace the combo box, but a visible language choice is required.</w:t>
      </w:r>
    </w:p>
    <w:p>
      <w:pPr>
        <w:pStyle w:val="ListNumber"/>
        <w:numPr>
          <w:ilvl w:val="0"/>
          <w:numId w:val="21"/>
        </w:numPr>
      </w:pPr>
      <w:r>
        <w:t>Save the form and project. Delphi makes the normal visible form-resource, Pascal-field, and uses-clause changes. The Wizard has already configured the DPROJ Search Path and post-build deployment.</w:t>
      </w:r>
    </w:p>
    <w:p>
      <w:pPr>
        <w:pStyle w:val="Heading2"/>
      </w:pPr>
      <w:r>
        <w:t>5.3 Verify the Automatic Search Path</w:t>
      </w:r>
    </w:p>
    <w:p>
      <w:r>
        <w:t>The Wizard adds the generated kit's ComponentSource directory under the DPROJ Base configuration. Base inheritance makes the same path available to Debug and Release on both Win32 and Win64. No four-way manual entry is normally required.</w:t>
      </w:r>
    </w:p>
    <w:p>
      <w: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Manual fallback screen reference. </w:t>
            </w:r>
            <w: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pPr>
      <w:r>
        <w:t>6. Build and Deploy the Language Packs</w:t>
      </w:r>
    </w:p>
    <w:p>
      <w: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w:t>
      </w:r>
    </w:p>
    <w:p>
      <w:pPr>
        <w:pStyle w:val="ListNumber"/>
        <w:numPr>
          <w:ilvl w:val="0"/>
          <w:numId w:val="22"/>
        </w:numPr>
      </w:pPr>
      <w:r>
        <w:t>Build each target platform/configuration that will be tested or released.</w:t>
      </w:r>
    </w:p>
    <w:p>
      <w:pPr>
        <w:pStyle w:val="ListNumber"/>
        <w:numPr>
          <w:ilvl w:val="0"/>
          <w:numId w:val="22"/>
        </w:numPr>
      </w:pPr>
      <w:r>
        <w:t>Confirm each successful build reports language-pack deployment in its build output. The command runs PowerShell with -NoProfile -ExecutionPolicy Bypass.</w:t>
      </w:r>
    </w:p>
    <w:p>
      <w:pPr>
        <w:pStyle w:val="ListNumber"/>
        <w:numPr>
          <w:ilvl w:val="0"/>
          <w:numId w:val="22"/>
        </w:numPr>
      </w:pPr>
      <w:r>
        <w:t>For each executable, verify that Localization\Languages contains the English source pack and the translated target pack.</w:t>
      </w:r>
    </w:p>
    <w:p>
      <w:pPr>
        <w:pStyle w:val="ListNumber"/>
        <w:numPr>
          <w:ilvl w:val="0"/>
          <w:numId w:val="22"/>
        </w:numPr>
      </w:pPr>
      <w:r>
        <w:t>If an already-built output needs refreshing, select Deploy Build Outputs. Copy Fallback Commands remains available for troubleshooting.</w:t>
      </w:r>
    </w:p>
    <w:p>
      <w:pPr>
        <w:pStyle w:val="ListNumber"/>
        <w:numPr>
          <w:ilvl w:val="0"/>
          <w:numId w:val="22"/>
        </w:numPr>
      </w:pPr>
      <w:r>
        <w:t>For a portable or USB copy, select Deploy to App Folder and choose the folder containing &lt;ProjectName&gt;.exe. The LanguagesFolder component property remains the relative value Localization\Languages, while the physical destination includes the drive, for example F:\Localization\Languages.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pPr>
      <w:r>
        <w:t>7. Verify the Translated Application</w:t>
      </w:r>
    </w:p>
    <w:p>
      <w:pPr>
        <w:pStyle w:val="ListNumber"/>
        <w:numPr>
          <w:ilvl w:val="0"/>
          <w:numId w:val="23"/>
        </w:numPr>
      </w:pPr>
      <w:r>
        <w:t>Run the target executable from one deployed build folder.</w:t>
      </w:r>
    </w:p>
    <w:p>
      <w:pPr>
        <w:pStyle w:val="ListNumber"/>
        <w:numPr>
          <w:ilvl w:val="0"/>
          <w:numId w:val="23"/>
        </w:numPr>
      </w:pPr>
      <w:r>
        <w:t>Confirm that the language selector lists English and the translated language.</w:t>
      </w:r>
    </w:p>
    <w:p>
      <w:pPr>
        <w:pStyle w:val="ListNumber"/>
        <w:numPr>
          <w:ilvl w:val="0"/>
          <w:numId w:val="23"/>
        </w:numPr>
      </w:pPr>
      <w:r>
        <w:t>Choose the translated language. Open forms should update immediately without restarting the application.</w:t>
      </w:r>
    </w:p>
    <w:p>
      <w:pPr>
        <w:pStyle w:val="ListNumber"/>
        <w:numPr>
          <w:ilvl w:val="0"/>
          <w:numId w:val="23"/>
        </w:numPr>
      </w:pPr>
      <w:r>
        <w:t>Open secondary forms and pages. Confirm captions, labels, prompts, column headings, and other scanned static text use the selected language.</w:t>
      </w:r>
    </w:p>
    <w:p>
      <w:pPr>
        <w:pStyle w:val="ListNumber"/>
        <w:numPr>
          <w:ilvl w:val="0"/>
          <w:numId w:val="23"/>
        </w:numPr>
      </w:pPr>
      <w:r>
        <w:t>Confirm that live data, identifiers, dates, numeric values, selections, focused controls, and application connection state remain intact.</w:t>
      </w:r>
    </w:p>
    <w:p>
      <w:pPr>
        <w:pStyle w:val="ListNumber"/>
        <w:numPr>
          <w:ilvl w:val="0"/>
          <w:numId w:val="23"/>
        </w:numPr>
      </w:pPr>
      <w:r>
        <w:t>Close and restart the application. Confirm that the selected language is remembered.</w:t>
      </w:r>
    </w:p>
    <w:p>
      <w:pPr>
        <w:pStyle w:val="ListNumber"/>
        <w:numPr>
          <w:ilvl w:val="0"/>
          <w:numId w:val="23"/>
        </w:numPr>
      </w:pPr>
      <w:r>
        <w:t>Switch back to English and confirm that the English source pack restores the source text.</w:t>
      </w:r>
    </w:p>
    <w:p>
      <w:pPr>
        <w:pStyle w:val="ListNumber"/>
        <w:numPr>
          <w:ilvl w:val="0"/>
          <w:numId w:val="23"/>
        </w:numPr>
      </w:pPr>
      <w:r>
        <w:t>Repeat the test for every built Win32 and Win64 configuration intended for release.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c>
          <w:tcPr>
            <w:tcW w:type="dxa" w:w="9360"/>
            <w:shd w:fill="EAF3FF"/>
            <w:vAlign w:val="center"/>
          </w:tcPr>
          <w:p>
            <w:pPr>
              <w:pStyle w:val="Callout"/>
            </w:pPr>
            <w:r>
              <w:rPr>
                <w:b/>
                <w:color w:val="234C80"/>
              </w:rPr>
              <w:t xml:space="preserve">Translation length is application-specific. </w:t>
            </w:r>
            <w:r>
              <w:t>A correct translation can be longer than its English source. If text clips, adjust the target form's wrapping, AutoSize, margins, or control dimensions in Delphi. The language pack should not guess or rewrite the application's visual design.</w:t>
            </w:r>
          </w:p>
        </w:tc>
      </w:tr>
    </w:tbl>
    <w:p>
      <w:pPr>
        <w:pStyle w:val="Heading1"/>
      </w:pPr>
      <w:r>
        <w:t>8. Files Created by the Wizard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 or file</w:t>
            </w:r>
          </w:p>
        </w:tc>
        <w:tc>
          <w:tcPr>
            <w:tcW w:type="dxa" w:w="6660"/>
            <w:shd w:fill="234C80"/>
          </w:tcPr>
          <w:p>
            <w:r>
              <w:rPr>
                <w:b/>
                <w:color w:val="FFFFFF"/>
              </w:rPr>
              <w:t>Purpose</w:t>
            </w:r>
          </w:p>
        </w:tc>
      </w:tr>
      <w:tr>
        <w:trPr>
          <w:cantSplit/>
        </w:trPr>
        <w:tc>
          <w:tcPr>
            <w:tcW w:type="dxa" w:w="2700"/>
            <w:vAlign w:val="center"/>
          </w:tcPr>
          <w:p>
            <w:r>
              <w:t>&lt;Target&gt;\Localization\Development\&lt;Project&gt;.&lt;locale&gt;.translation-project.json</w:t>
            </w:r>
          </w:p>
        </w:tc>
        <w:tc>
          <w:tcPr>
            <w:tcW w:type="dxa" w:w="6660"/>
            <w:vAlign w:val="center"/>
          </w:tcPr>
          <w:p>
            <w:r>
              <w:t>Detailed working catalog retained for later rescans, updates, and review.</w:t>
            </w:r>
          </w:p>
        </w:tc>
      </w:tr>
      <w:tr>
        <w:trPr>
          <w:cantSplit/>
        </w:trPr>
        <w:tc>
          <w:tcPr>
            <w:tcW w:type="dxa" w:w="2700"/>
            <w:vAlign w:val="center"/>
          </w:tcPr>
          <w:p>
            <w:r>
              <w:t>&lt;Target&gt;\Localization\Languages\&lt;locale&gt;.json</w:t>
            </w:r>
          </w:p>
        </w:tc>
        <w:tc>
          <w:tcPr>
            <w:tcW w:type="dxa" w:w="6660"/>
            <w:vAlign w:val="center"/>
          </w:tcPr>
          <w:p>
            <w:r>
              <w:t>Compact runtime pack for deployment beside the application.</w:t>
            </w:r>
          </w:p>
        </w:tc>
      </w:tr>
      <w:tr>
        <w:trPr>
          <w:cantSplit/>
        </w:trPr>
        <w:tc>
          <w:tcPr>
            <w:tcW w:type="dxa" w:w="2700"/>
            <w:vAlign w:val="center"/>
          </w:tcPr>
          <w:p>
            <w:r>
              <w:t>Documents\Delphi App Translation Backups\&lt;Project&gt;\&lt;timestamp&gt;.zip</w:t>
            </w:r>
          </w:p>
        </w:tc>
        <w:tc>
          <w:tcPr>
            <w:tcW w:type="dxa" w:w="6660"/>
            <w:vAlign w:val="center"/>
          </w:tcPr>
          <w:p>
            <w:r>
              <w:t>Required pre-processing safety backup.</w:t>
            </w:r>
          </w:p>
        </w:tc>
      </w:tr>
      <w:tr>
        <w:trPr>
          <w:cantSplit/>
        </w:trPr>
        <w:tc>
          <w:tcPr>
            <w:tcW w:type="dxa" w:w="2700"/>
            <w:vAlign w:val="center"/>
          </w:tcPr>
          <w:p>
            <w:r>
              <w:t>&lt;Target&gt;.dproj marked Wizard block</w:t>
            </w:r>
          </w:p>
        </w:tc>
        <w:tc>
          <w:tcPr>
            <w:tcW w:type="dxa" w:w="6660"/>
            <w:vAlign w:val="center"/>
          </w:tcPr>
          <w:p>
            <w:r>
              <w:t>Inherits ComponentSource through all configurations/platforms and runs pack deployment after builds.</w:t>
            </w:r>
          </w:p>
        </w:tc>
      </w:tr>
      <w:tr>
        <w:trPr>
          <w:cantSplit/>
        </w:trPr>
        <w:tc>
          <w:tcPr>
            <w:tcW w:type="dxa" w:w="2700"/>
            <w:vAlign w:val="center"/>
          </w:tcPr>
          <w:p>
            <w:r>
              <w:t>&lt;Studio&gt;\export\component-integration\&lt;Project&gt;</w:t>
            </w:r>
          </w:p>
        </w:tc>
        <w:tc>
          <w:tcPr>
            <w:tcW w:type="dxa" w:w="6660"/>
            <w:vAlign w:val="center"/>
          </w:tcPr>
          <w:p>
            <w:r>
              <w:t>Generated component integration kit.</w:t>
            </w:r>
          </w:p>
        </w:tc>
      </w:tr>
      <w:tr>
        <w:trPr>
          <w:cantSplit/>
        </w:trPr>
        <w:tc>
          <w:tcPr>
            <w:tcW w:type="dxa" w:w="2700"/>
            <w:vAlign w:val="center"/>
          </w:tcPr>
          <w:p>
            <w:r>
              <w:t>ComponentSource</w:t>
            </w:r>
          </w:p>
        </w:tc>
        <w:tc>
          <w:tcPr>
            <w:tcW w:type="dxa" w:w="6660"/>
            <w:vAlign w:val="center"/>
          </w:tcPr>
          <w:p>
            <w:r>
              <w:t>Framework-neutral and VCL/FMX component/runtime units needed by the target.</w:t>
            </w:r>
          </w:p>
        </w:tc>
      </w:tr>
      <w:tr>
        <w:trPr>
          <w:cantSplit/>
        </w:trPr>
        <w:tc>
          <w:tcPr>
            <w:tcW w:type="dxa" w:w="2700"/>
            <w:vAlign w:val="center"/>
          </w:tcPr>
          <w:p>
            <w:r>
              <w:t>Deploy-LanguagePacks.ps1</w:t>
            </w:r>
          </w:p>
        </w:tc>
        <w:tc>
          <w:tcPr>
            <w:tcW w:type="dxa" w:w="6660"/>
            <w:vAlign w:val="center"/>
          </w:tcPr>
          <w:p>
            <w:r>
              <w:t>Copies the kit's Localization folder to a specified executable directory.</w:t>
            </w:r>
          </w:p>
        </w:tc>
      </w:tr>
      <w:tr>
        <w:trPr>
          <w:cantSplit/>
        </w:trPr>
        <w:tc>
          <w:tcPr>
            <w:tcW w:type="dxa" w:w="2700"/>
            <w:vAlign w:val="center"/>
          </w:tcPr>
          <w:p>
            <w:r>
              <w:t>component-integration.json</w:t>
            </w:r>
          </w:p>
        </w:tc>
        <w:tc>
          <w:tcPr>
            <w:tcW w:type="dxa" w:w="6660"/>
            <w:vAlign w:val="center"/>
          </w:tcPr>
          <w:p>
            <w:r>
              <w:t>Machine-readable integration manifest.</w:t>
            </w:r>
          </w:p>
        </w:tc>
      </w:tr>
      <w:tr>
        <w:trPr>
          <w:cantSplit/>
        </w:trPr>
        <w:tc>
          <w:tcPr>
            <w:tcW w:type="dxa" w:w="2700"/>
            <w:vAlign w:val="center"/>
          </w:tcPr>
          <w:p>
            <w:r>
              <w:t>README.txt</w:t>
            </w:r>
          </w:p>
        </w:tc>
        <w:tc>
          <w:tcPr>
            <w:tcW w:type="dxa" w:w="6660"/>
            <w:vAlign w:val="center"/>
          </w:tcPr>
          <w:p>
            <w:r>
              <w:t>Project-specific manual integration instructions.</w:t>
            </w:r>
          </w:p>
        </w:tc>
      </w:tr>
      <w:tr>
        <w:trPr>
          <w:cantSplit/>
        </w:trPr>
        <w:tc>
          <w:tcPr>
            <w:tcW w:type="dxa" w:w="2700"/>
            <w:vAlign w:val="center"/>
          </w:tcPr>
          <w:p>
            <w:r>
              <w:t>Wizard-Completion-Report.txt</w:t>
            </w:r>
          </w:p>
        </w:tc>
        <w:tc>
          <w:tcPr>
            <w:tcW w:type="dxa" w:w="6660"/>
            <w:vAlign w:val="center"/>
          </w:tcPr>
          <w:p>
            <w:r>
              <w:t>Final record of project, language, catalog, pack, backup, kit, manual step, and commands.</w:t>
            </w:r>
          </w:p>
        </w:tc>
      </w:tr>
    </w:tbl>
    <w:p>
      <w:pPr>
        <w:pStyle w:val="Heading1"/>
      </w:pPr>
      <w:r>
        <w:t>9. Repeat, Resume, or Add Another Language</w:t>
      </w:r>
    </w:p>
    <w:p>
      <w:pPr>
        <w:pStyle w:val="ListBullet"/>
      </w:pPr>
      <w:r>
        <w:t>Completed steps may be revisited from the left rail while the Wizard remains open and final processing is not running.</w:t>
      </w:r>
    </w:p>
    <w:p>
      <w:pPr>
        <w:pStyle w:val="ListBullet"/>
      </w:pPr>
      <w:r>
        <w:t>Selecting a different project clears downstream scan/catalog state. Run the scan again.</w:t>
      </w:r>
    </w:p>
    <w:p>
      <w:pPr>
        <w:pStyle w:val="ListBullet"/>
      </w:pPr>
      <w:r>
        <w:t>Selecting a different target language creates or opens that language's own development catalog and also requires a new scan in the Wizard session.</w:t>
      </w:r>
    </w:p>
    <w:p>
      <w:pPr>
        <w:pStyle w:val="ListBullet"/>
      </w:pPr>
      <w:r>
        <w:t>A later scan preserves matching translations, marks changed source text for attention, adds new entries, and retains removed entries as obsolete.</w:t>
      </w:r>
    </w:p>
    <w:p>
      <w:pPr>
        <w:pStyle w:val="ListBullet"/>
      </w:pPr>
      <w:r>
        <w:t>Automatic translation sends only eligible unresolved entries. Existing reviewed and approved work is preserved.</w:t>
      </w:r>
    </w:p>
    <w:p>
      <w:pPr>
        <w:pStyle w:val="ListBullet"/>
      </w:pPr>
      <w:r>
        <w:t>Run the Wizard again when adding another language. Deploy all generated packs to each executable folder and refresh or restart the target application as required by its integration.</w:t>
      </w:r>
    </w:p>
    <w:p>
      <w:pPr>
        <w:pStyle w:val="Heading1"/>
      </w:pPr>
      <w:r>
        <w:t>10.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Problem</w:t>
            </w:r>
          </w:p>
        </w:tc>
        <w:tc>
          <w:tcPr>
            <w:tcW w:type="dxa" w:w="3900"/>
            <w:shd w:fill="234C80"/>
          </w:tcPr>
          <w:p>
            <w:r>
              <w:rPr>
                <w:b/>
                <w:color w:val="FFFFFF"/>
              </w:rPr>
              <w:t>What it means</w:t>
            </w:r>
          </w:p>
        </w:tc>
        <w:tc>
          <w:tcPr>
            <w:tcW w:type="dxa" w:w="3660"/>
            <w:shd w:fill="234C80"/>
          </w:tcPr>
          <w:p>
            <w:r>
              <w:rPr>
                <w:b/>
                <w:color w:val="FFFFFF"/>
              </w:rPr>
              <w:t>Action</w:t>
            </w:r>
          </w:p>
        </w:tc>
      </w:tr>
      <w:tr>
        <w:trPr>
          <w:cantSplit/>
        </w:trPr>
        <w:tc>
          <w:tcPr>
            <w:tcW w:type="dxa" w:w="1800"/>
            <w:vAlign w:val="center"/>
          </w:tcPr>
          <w:p>
            <w:r>
              <w:t>Project browse or identification fails</w:t>
            </w:r>
          </w:p>
        </w:tc>
        <w:tc>
          <w:tcPr>
            <w:tcW w:type="dxa" w:w="3900"/>
            <w:vAlign w:val="center"/>
          </w:tcPr>
          <w:p>
            <w:r>
              <w:t>An old Wizard build may be running, or the selected file lacks recognizable VCL/FMX metadata.</w:t>
            </w:r>
          </w:p>
        </w:tc>
        <w:tc>
          <w:tcPr>
            <w:tcW w:type="dxa" w:w="3660"/>
            <w:vAlign w:val="center"/>
          </w:tcPr>
          <w:p>
            <w:r>
              <w:t>Use the current executable, select the .dproj rather than .dpr, and confirm the project opens normally in RAD Studio.</w:t>
            </w:r>
          </w:p>
        </w:tc>
      </w:tr>
      <w:tr>
        <w:trPr>
          <w:cantSplit/>
        </w:trPr>
        <w:tc>
          <w:tcPr>
            <w:tcW w:type="dxa" w:w="1800"/>
            <w:vAlign w:val="center"/>
          </w:tcPr>
          <w:p>
            <w:r>
              <w:t>Connection test fails</w:t>
            </w:r>
          </w:p>
        </w:tc>
        <w:tc>
          <w:tcPr>
            <w:tcW w:type="dxa" w:w="3900"/>
            <w:vAlign w:val="center"/>
          </w:tcPr>
          <w:p>
            <w:r>
              <w:t>Provider authentication, billing, restriction, quota, plan, or network setup is incomplete.</w:t>
            </w:r>
          </w:p>
        </w:tc>
        <w:tc>
          <w:tcPr>
            <w:tcW w:type="dxa" w:w="3660"/>
            <w:vAlign w:val="center"/>
          </w:tcPr>
          <w:p>
            <w:r>
              <w:t>Correct the provider account before scanning or final processing.</w:t>
            </w:r>
          </w:p>
        </w:tc>
      </w:tr>
      <w:tr>
        <w:trPr>
          <w:cantSplit/>
        </w:trPr>
        <w:tc>
          <w:tcPr>
            <w:tcW w:type="dxa" w:w="1800"/>
            <w:vAlign w:val="center"/>
          </w:tcPr>
          <w:p>
            <w:r>
              <w:t>Scan returns zero</w:t>
            </w:r>
          </w:p>
        </w:tc>
        <w:tc>
          <w:tcPr>
            <w:tcW w:type="dxa" w:w="3900"/>
            <w:vAlign w:val="center"/>
          </w:tcPr>
          <w:p>
            <w:r>
              <w:t>The wrong project was selected or the forms are not readable text resources.</w:t>
            </w:r>
          </w:p>
        </w:tc>
        <w:tc>
          <w:tcPr>
            <w:tcW w:type="dxa" w:w="3660"/>
            <w:vAlign w:val="center"/>
          </w:tcPr>
          <w:p>
            <w:r>
              <w:t>Verify the project path and convert binary DFM resources through Delphi.</w:t>
            </w:r>
          </w:p>
        </w:tc>
      </w:tr>
      <w:tr>
        <w:trPr>
          <w:cantSplit/>
        </w:trPr>
        <w:tc>
          <w:tcPr>
            <w:tcW w:type="dxa" w:w="1800"/>
            <w:vAlign w:val="center"/>
          </w:tcPr>
          <w:p>
            <w:r>
              <w:t>Unresolved count is lower than scan count</w:t>
            </w:r>
          </w:p>
        </w:tc>
        <w:tc>
          <w:tcPr>
            <w:tcW w:type="dxa" w:w="3900"/>
            <w:vAlign w:val="center"/>
          </w:tcPr>
          <w:p>
            <w:r>
              <w:t>Some entries are dynamic, excluded, obsolete, protected, or already translated.</w:t>
            </w:r>
          </w:p>
        </w:tc>
        <w:tc>
          <w:tcPr>
            <w:tcW w:type="dxa" w:w="3660"/>
            <w:vAlign w:val="center"/>
          </w:tcPr>
          <w:p>
            <w:r>
              <w:t>This is normally correct; review classifications in the full Studio when needed.</w:t>
            </w:r>
          </w:p>
        </w:tc>
      </w:tr>
      <w:tr>
        <w:trPr>
          <w:cantSplit/>
        </w:trPr>
        <w:tc>
          <w:tcPr>
            <w:tcW w:type="dxa" w:w="1800"/>
            <w:vAlign w:val="center"/>
          </w:tcPr>
          <w:p>
            <w:r>
              <w:t>Package or DAT Localization is unavailable</w:t>
            </w:r>
          </w:p>
        </w:tc>
        <w:tc>
          <w:tcPr>
            <w:tcW w:type="dxa" w:w="3900"/>
            <w:vAlign w:val="center"/>
          </w:tcPr>
          <w:p>
            <w:r>
              <w:t>The design package is not built, installed, or enabled in this RAD Studio installation.</w:t>
            </w:r>
          </w:p>
        </w:tc>
        <w:tc>
          <w:tcPr>
            <w:tcW w:type="dxa" w:w="3660"/>
            <w:vAlign w:val="center"/>
          </w:tcPr>
          <w:p>
            <w:r>
              <w:t>Build the package set if needed, then use Component &gt; Install Packages &gt; Add with the exact Win32 Release design BPL.</w:t>
            </w:r>
          </w:p>
        </w:tc>
      </w:tr>
      <w:tr>
        <w:trPr>
          <w:cantSplit/>
        </w:trPr>
        <w:tc>
          <w:tcPr>
            <w:tcW w:type="dxa" w:w="1800"/>
            <w:vAlign w:val="center"/>
          </w:tcPr>
          <w:p>
            <w:r>
              <w:t>Packs are absent after a build</w:t>
            </w:r>
          </w:p>
        </w:tc>
        <w:tc>
          <w:tcPr>
            <w:tcW w:type="dxa" w:w="3900"/>
            <w:vAlign w:val="center"/>
          </w:tcPr>
          <w:p>
            <w:r>
              <w:t>The marked DPROJ settings are missing, the kit moved, or the post-build command failed.</w:t>
            </w:r>
          </w:p>
        </w:tc>
        <w:tc>
          <w:tcPr>
            <w:tcW w:type="dxa" w:w="3660"/>
            <w:vAlign w:val="center"/>
          </w:tcPr>
          <w:p>
            <w:r>
              <w:t>Inspect the build output, verify the kit path, and use Deploy Build Outputs, Deploy to App Folder, or the documented manual fallback.</w:t>
            </w:r>
          </w:p>
        </w:tc>
      </w:tr>
      <w:tr>
        <w:trPr>
          <w:cantSplit/>
        </w:trPr>
        <w:tc>
          <w:tcPr>
            <w:tcW w:type="dxa" w:w="1800"/>
            <w:vAlign w:val="center"/>
          </w:tcPr>
          <w:p>
            <w:r>
              <w:t>Selector is empty</w:t>
            </w:r>
          </w:p>
        </w:tc>
        <w:tc>
          <w:tcPr>
            <w:tcW w:type="dxa" w:w="3900"/>
            <w:vAlign w:val="center"/>
          </w:tcPr>
          <w:p>
            <w:r>
              <w:t>Packs are missing, invalid, or have a different applicationId.</w:t>
            </w:r>
          </w:p>
        </w:tc>
        <w:tc>
          <w:tcPr>
            <w:tcW w:type="dxa" w:w="3660"/>
            <w:vAlign w:val="center"/>
          </w:tcPr>
          <w:p>
            <w:r>
              <w:t>Check Localization\Languages beside the running executable and verify ApplicationId.</w:t>
            </w:r>
          </w:p>
        </w:tc>
      </w:tr>
      <w:tr>
        <w:trPr>
          <w:cantSplit/>
        </w:trPr>
        <w:tc>
          <w:tcPr>
            <w:tcW w:type="dxa" w:w="1800"/>
            <w:vAlign w:val="center"/>
          </w:tcPr>
          <w:p>
            <w:r>
              <w:t>Some text remains English</w:t>
            </w:r>
          </w:p>
        </w:tc>
        <w:tc>
          <w:tcPr>
            <w:tcW w:type="dxa" w:w="3900"/>
            <w:vAlign w:val="center"/>
          </w:tcPr>
          <w:p>
            <w:r>
              <w:t>The text may be dynamic, excluded, added after the scan, or not wired as a resourcestring.</w:t>
            </w:r>
          </w:p>
        </w:tc>
        <w:tc>
          <w:tcPr>
            <w:tcW w:type="dxa" w:w="3660"/>
            <w:vAlign w:val="center"/>
          </w:tcPr>
          <w:p>
            <w:r>
              <w:t>Rescan and translate new entries; use the full Studio to inspect runtime classifications and manual wiring warnings.</w:t>
            </w:r>
          </w:p>
        </w:tc>
      </w:tr>
    </w:tbl>
    <w:p>
      <w:pPr>
        <w:pStyle w:val="Heading1"/>
      </w:pPr>
      <w:r>
        <w:t>11. Where to Learn More</w:t>
      </w:r>
    </w:p>
    <w:p>
      <w:pPr>
        <w:pStyle w:val="ListBullet"/>
      </w:pPr>
      <w:r>
        <w:t>User Guide: full manual workflow, provider setup, catalog review, validation, export, integration, troubleshooting, security, and folder reference.</w:t>
      </w:r>
    </w:p>
    <w:p>
      <w:pPr>
        <w:pStyle w:val="ListBullet"/>
      </w:pPr>
      <w:r>
        <w:t>Engineering Guide: architecture, JSON schema, scanners, provider clients, runtime managers, packages, lifecycle, security, and validation strategy.</w:t>
      </w:r>
    </w:p>
    <w:p>
      <w:pPr>
        <w:pStyle w:val="ListBullet"/>
      </w:pPr>
      <w:r>
        <w:t>Generated kit README.txt: exact instructions for the selected target project and framework.</w:t>
      </w:r>
    </w:p>
    <w:p>
      <w:pPr>
        <w:pStyle w:val="ListBullet"/>
      </w:pPr>
      <w:r>
        <w:t>Wizard-Completion-Report.txt: exact paths and commands produced by the completed Wizard run.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