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t>The table of contents is refreshed during document finalization.</w:t>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About This Guide</w:t>
      </w:r>
    </w:p>
    <w:p>
      <w: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r>
        <w:t>The Studio itself is built with FireMonkey, but it works with both VCL and FMX target projects. The supported build targets are Windows Win32 and Win64. macOS, iOS, Android, Linux, C++Builder, and runtime cloud translation are outside the product scope.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pPr>
        <w:pStyle w:val="Heading2"/>
      </w:pPr>
      <w:r>
        <w:t>1.1 The Parts of the Localization System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What it is</w:t>
            </w:r>
          </w:p>
        </w:tc>
        <w:tc>
          <w:tcPr>
            <w:tcW w:type="dxa" w:w="3660"/>
            <w:shd w:fill="234C80"/>
          </w:tcPr>
          <w:p>
            <w:r>
              <w:rPr>
                <w:b/>
                <w:color w:val="FFFFFF"/>
              </w:rPr>
              <w:t>Why it exists</w:t>
            </w:r>
          </w:p>
        </w:tc>
      </w:tr>
      <w:tr>
        <w:trPr>
          <w:cantSplit/>
        </w:trPr>
        <w:tc>
          <w:tcPr>
            <w:tcW w:type="dxa" w:w="1800"/>
            <w:vAlign w:val="center"/>
          </w:tcPr>
          <w:p>
            <w:r>
              <w:t>Translation Studio</w:t>
            </w:r>
          </w:p>
        </w:tc>
        <w:tc>
          <w:tcPr>
            <w:tcW w:type="dxa" w:w="3900"/>
            <w:vAlign w:val="center"/>
          </w:tcPr>
          <w:p>
            <w:r>
              <w:t>The developer tool used while preparing a project.</w:t>
            </w:r>
          </w:p>
        </w:tc>
        <w:tc>
          <w:tcPr>
            <w:tcW w:type="dxa" w:w="3660"/>
            <w:vAlign w:val="center"/>
          </w:tcPr>
          <w:p>
            <w:r>
              <w:t>Scans text, calls Google or DeepL, validates results, and builds deployable files.</w:t>
            </w:r>
          </w:p>
        </w:tc>
      </w:tr>
      <w:tr>
        <w:trPr>
          <w:cantSplit/>
        </w:trPr>
        <w:tc>
          <w:tcPr>
            <w:tcW w:type="dxa" w:w="1800"/>
            <w:vAlign w:val="center"/>
          </w:tcPr>
          <w:p>
            <w:r>
              <w:t>Development catalog</w:t>
            </w:r>
          </w:p>
        </w:tc>
        <w:tc>
          <w:tcPr>
            <w:tcW w:type="dxa" w:w="3900"/>
            <w:vAlign w:val="center"/>
          </w:tcPr>
          <w:p>
            <w:r>
              <w:t>A detailed JSON working file under Localization\Development.</w:t>
            </w:r>
          </w:p>
        </w:tc>
        <w:tc>
          <w:tcPr>
            <w:tcW w:type="dxa" w:w="3660"/>
            <w:vAlign w:val="center"/>
          </w:tcPr>
          <w:p>
            <w:r>
              <w:t>Preserves source text, translations, review state, origin, runtime classification, and locale settings between scans.</w:t>
            </w:r>
          </w:p>
        </w:tc>
      </w:tr>
      <w:tr>
        <w:trPr>
          <w:cantSplit/>
        </w:trPr>
        <w:tc>
          <w:tcPr>
            <w:tcW w:type="dxa" w:w="1800"/>
            <w:vAlign w:val="center"/>
          </w:tcPr>
          <w:p>
            <w:r>
              <w:t>Runtime language pack</w:t>
            </w:r>
          </w:p>
        </w:tc>
        <w:tc>
          <w:tcPr>
            <w:tcW w:type="dxa" w:w="3900"/>
            <w:vAlign w:val="center"/>
          </w:tcPr>
          <w:p>
            <w:r>
              <w:t>A compact JSON file under Localization\Languages, such as es-ES.json.</w:t>
            </w:r>
          </w:p>
        </w:tc>
        <w:tc>
          <w:tcPr>
            <w:tcW w:type="dxa" w:w="3660"/>
            <w:vAlign w:val="center"/>
          </w:tcPr>
          <w:p>
            <w:r>
              <w:t>Supplies translated text to the finished application without Internet access or an API key.</w:t>
            </w:r>
          </w:p>
        </w:tc>
      </w:tr>
      <w:tr>
        <w:trPr>
          <w:cantSplit/>
        </w:trPr>
        <w:tc>
          <w:tcPr>
            <w:tcW w:type="dxa" w:w="1800"/>
            <w:vAlign w:val="center"/>
          </w:tcPr>
          <w:p>
            <w:r>
              <w:t>TDAT language manager component</w:t>
            </w:r>
          </w:p>
        </w:tc>
        <w:tc>
          <w:tcPr>
            <w:tcW w:type="dxa" w:w="3900"/>
            <w:vAlign w:val="center"/>
          </w:tcPr>
          <w:p>
            <w:r>
              <w:t>One nonvisual VCL or FMX component placed on the application's primary form.</w:t>
            </w:r>
          </w:p>
        </w:tc>
        <w:tc>
          <w:tcPr>
            <w:tcW w:type="dxa" w:w="3660"/>
            <w:vAlign w:val="center"/>
          </w:tcPr>
          <w:p>
            <w:r>
              <w:t>Loads packs, remembers the selected language, translates open forms, and supervises forms opened later.</w:t>
            </w:r>
          </w:p>
        </w:tc>
      </w:tr>
      <w:tr>
        <w:trPr>
          <w:cantSplit/>
        </w:trPr>
        <w:tc>
          <w:tcPr>
            <w:tcW w:type="dxa" w:w="1800"/>
            <w:vAlign w:val="center"/>
          </w:tcPr>
          <w:p>
            <w:r>
              <w:t>Language selector</w:t>
            </w:r>
          </w:p>
        </w:tc>
        <w:tc>
          <w:tcPr>
            <w:tcW w:type="dxa" w:w="3900"/>
            <w:vAlign w:val="center"/>
          </w:tcPr>
          <w:p>
            <w:r>
              <w:t>A required user-facing language choice, normally the visual DAT combo-box linked to the manager.</w:t>
            </w:r>
          </w:p>
        </w:tc>
        <w:tc>
          <w:tcPr>
            <w:tcW w:type="dxa" w:w="3660"/>
            <w:vAlign w:val="center"/>
          </w:tcPr>
          <w:p>
            <w:r>
              <w:t>Shows installed languages and switches immediately. A connected Language menu may be used instead.</w:t>
            </w:r>
          </w:p>
        </w:tc>
      </w:tr>
      <w:tr>
        <w:trPr>
          <w:cantSplit/>
        </w:trPr>
        <w:tc>
          <w:tcPr>
            <w:tcW w:type="dxa" w:w="1800"/>
            <w:vAlign w:val="center"/>
          </w:tcPr>
          <w:p>
            <w:r>
              <w:t>Component integration kit</w:t>
            </w:r>
          </w:p>
        </w:tc>
        <w:tc>
          <w:tcPr>
            <w:tcW w:type="dxa" w:w="3900"/>
            <w:vAlign w:val="center"/>
          </w:tcPr>
          <w:p>
            <w:r>
              <w:t>A generated, project-specific folder under the Studio export tree.</w:t>
            </w:r>
          </w:p>
        </w:tc>
        <w:tc>
          <w:tcPr>
            <w:tcW w:type="dxa" w:w="3660"/>
            <w:vAlign w:val="center"/>
          </w:tcPr>
          <w:p>
            <w:r>
              <w:t>Provides component source, packs, deployment script, manifest, and exact integration instructions without rewriting the target project.</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What 'manager' means in this guide. </w:t>
            </w:r>
            <w: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pPr>
        <w:pStyle w:val="Heading2"/>
      </w:pPr>
      <w:r>
        <w:t>1.2 What the Studio Changes - and Does Not Change</w:t>
      </w:r>
    </w:p>
    <w:p>
      <w:pPr>
        <w:pStyle w:val="ListBullet"/>
      </w:pPr>
      <w:r>
        <w:t>Scanning is read-only and does not alter the selected project.</w:t>
      </w:r>
    </w:p>
    <w:p>
      <w:pPr>
        <w:pStyle w:val="ListBullet"/>
      </w:pPr>
      <w:r>
        <w:t>Saving creates project-local Localization\Development catalog files.</w:t>
      </w:r>
    </w:p>
    <w:p>
      <w:pPr>
        <w:pStyle w:val="ListBullet"/>
      </w:pPr>
      <w:r>
        <w:t>Export creates project-local Localization\Languages runtime packs.</w:t>
      </w:r>
    </w:p>
    <w:p>
      <w:pPr>
        <w:pStyle w:val="ListBullet"/>
      </w:pPr>
      <w:r>
        <w:t>Component Integration generates a setup kit under the Studio export folder and does not write to the selected target project.</w:t>
      </w:r>
    </w:p>
    <w:p>
      <w:pPr>
        <w:pStyle w:val="ListBullet"/>
      </w:pPr>
      <w:r>
        <w:t>The developer places one TDAT language manager component on the primary form in Delphi. Delphi then makes its normal, visible form-resource and unit-reference changes, exactly as it does for any other design-time component.</w:t>
      </w:r>
    </w:p>
    <w:p>
      <w:pPr>
        <w:pStyle w:val="ListBullet"/>
      </w:pPr>
      <w:r>
        <w:t>Automatic Source Integration remains an explicit advanced fallback with preview, verified backup, apply, and restore.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Protect the original project. </w:t>
            </w:r>
            <w: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pPr>
        <w:pStyle w:val="Heading1"/>
      </w:pPr>
      <w:r>
        <w:t>2. Before You Begin</w:t>
      </w:r>
    </w:p>
    <w:p>
      <w: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r>
        <w:t>No Git installation is required to use the Studio. Git is one convenient safety check for developers who already use it; a verified folder copy or other normal backup system is equally acceptable.</w:t>
      </w:r>
    </w:p>
    <w:p>
      <w:r>
        <w:t>Build products are placed under bin\&lt;Platform&gt;\&lt;Configuration&gt;. Compiler units are placed under dcu. The project deliberately does not target mobile or macOS platforms.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Prepare</w:t>
            </w:r>
          </w:p>
        </w:tc>
        <w:tc>
          <w:tcPr>
            <w:tcW w:type="dxa" w:w="6660"/>
            <w:shd w:fill="234C80"/>
          </w:tcPr>
          <w:p>
            <w:r>
              <w:rPr>
                <w:b/>
                <w:color w:val="FFFFFF"/>
              </w:rPr>
              <w:t>Reason</w:t>
            </w:r>
          </w:p>
        </w:tc>
      </w:tr>
      <w:tr>
        <w:trPr>
          <w:cantSplit/>
        </w:trPr>
        <w:tc>
          <w:tcPr>
            <w:tcW w:type="dxa" w:w="2700"/>
            <w:vAlign w:val="center"/>
          </w:tcPr>
          <w:p>
            <w:r>
              <w:t>A clean test copy of the target project</w:t>
            </w:r>
          </w:p>
        </w:tc>
        <w:tc>
          <w:tcPr>
            <w:tcW w:type="dxa" w:w="6660"/>
            <w:vAlign w:val="center"/>
          </w:tcPr>
          <w:p>
            <w:r>
              <w:t>Keeps the original application available if the evaluation is abandoned.</w:t>
            </w:r>
          </w:p>
        </w:tc>
      </w:tr>
      <w:tr>
        <w:trPr>
          <w:cantSplit/>
        </w:trPr>
        <w:tc>
          <w:tcPr>
            <w:tcW w:type="dxa" w:w="2700"/>
            <w:vAlign w:val="center"/>
          </w:tcPr>
          <w:p>
            <w:r>
              <w:t>A successful Win32 or Win64 build</w:t>
            </w:r>
          </w:p>
        </w:tc>
        <w:tc>
          <w:tcPr>
            <w:tcW w:type="dxa" w:w="6660"/>
            <w:vAlign w:val="center"/>
          </w:tcPr>
          <w:p>
            <w:r>
              <w:t>Confirms the target project is healthy before localization work begins.</w:t>
            </w:r>
          </w:p>
        </w:tc>
      </w:tr>
      <w:tr>
        <w:trPr>
          <w:cantSplit/>
        </w:trPr>
        <w:tc>
          <w:tcPr>
            <w:tcW w:type="dxa" w:w="2700"/>
            <w:vAlign w:val="center"/>
          </w:tcPr>
          <w:p>
            <w:r>
              <w:t>Text-based DFM or FMX resources</w:t>
            </w:r>
          </w:p>
        </w:tc>
        <w:tc>
          <w:tcPr>
            <w:tcW w:type="dxa" w:w="6660"/>
            <w:vAlign w:val="center"/>
          </w:tcPr>
          <w:p>
            <w:r>
              <w:t>The scanner reads designer text resources; binary legacy DFM files must first be converted through Delphi.</w:t>
            </w:r>
          </w:p>
        </w:tc>
      </w:tr>
      <w:tr>
        <w:trPr>
          <w:cantSplit/>
        </w:trPr>
        <w:tc>
          <w:tcPr>
            <w:tcW w:type="dxa" w:w="2700"/>
            <w:vAlign w:val="center"/>
          </w:tcPr>
          <w:p>
            <w:r>
              <w:t>A Google Cloud Translation or DeepL API key</w:t>
            </w:r>
          </w:p>
        </w:tc>
        <w:tc>
          <w:tcPr>
            <w:tcW w:type="dxa" w:w="6660"/>
            <w:vAlign w:val="center"/>
          </w:tcPr>
          <w:p>
            <w:r>
              <w:t>Automatic translation runs on the developer's computer. The deployed application remains offline.</w:t>
            </w:r>
          </w:p>
        </w:tc>
      </w:tr>
      <w:tr>
        <w:trPr>
          <w:cantSplit/>
        </w:trPr>
        <w:tc>
          <w:tcPr>
            <w:tcW w:type="dxa" w:w="2700"/>
            <w:vAlign w:val="center"/>
          </w:tcPr>
          <w:p>
            <w:r>
              <w:t>RAD Studio access for one manual component step</w:t>
            </w:r>
          </w:p>
        </w:tc>
        <w:tc>
          <w:tcPr>
            <w:tcW w:type="dxa" w:w="6660"/>
            <w:vAlign w:val="center"/>
          </w:tcPr>
          <w:p>
            <w:r>
              <w:t>Delphi itself installs the design package and places the manager component on the primary form.</w:t>
            </w:r>
          </w:p>
        </w:tc>
      </w:tr>
    </w:tbl>
    <w:p>
      <w:pPr>
        <w:pStyle w:val="Heading2"/>
      </w:pPr>
      <w:r>
        <w:t>2.1 Choose the Setup Path</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Path</w:t>
            </w:r>
          </w:p>
        </w:tc>
        <w:tc>
          <w:tcPr>
            <w:tcW w:type="dxa" w:w="3900"/>
            <w:shd w:fill="234C80"/>
          </w:tcPr>
          <w:p>
            <w:r>
              <w:rPr>
                <w:b/>
                <w:color w:val="FFFFFF"/>
              </w:rPr>
              <w:t>Choose it when</w:t>
            </w:r>
          </w:p>
        </w:tc>
        <w:tc>
          <w:tcPr>
            <w:tcW w:type="dxa" w:w="3660"/>
            <w:shd w:fill="234C80"/>
          </w:tcPr>
          <w:p>
            <w:r>
              <w:rPr>
                <w:b/>
                <w:color w:val="FFFFFF"/>
              </w:rPr>
              <w:t>Where to begin</w:t>
            </w:r>
          </w:p>
        </w:tc>
      </w:tr>
      <w:tr>
        <w:trPr>
          <w:cantSplit/>
        </w:trPr>
        <w:tc>
          <w:tcPr>
            <w:tcW w:type="dxa" w:w="1800"/>
            <w:vAlign w:val="center"/>
          </w:tcPr>
          <w:p>
            <w:r>
              <w:t>Setup Wizard - recommended</w:t>
            </w:r>
          </w:p>
        </w:tc>
        <w:tc>
          <w:tcPr>
            <w:tcW w:type="dxa" w:w="3900"/>
            <w:vAlign w:val="center"/>
          </w:tcPr>
          <w:p>
            <w:r>
              <w:t>This is the first project, or the developer wants the Studio to lead and verify the sequence.</w:t>
            </w:r>
          </w:p>
        </w:tc>
        <w:tc>
          <w:tcPr>
            <w:tcW w:type="dxa" w:w="3660"/>
            <w:vAlign w:val="center"/>
          </w:tcPr>
          <w:p>
            <w:r>
              <w:t>Select Start Setup Wizard and follow the separate Setup Wizard Guide.</w:t>
            </w:r>
          </w:p>
        </w:tc>
      </w:tr>
      <w:tr>
        <w:trPr>
          <w:cantSplit/>
        </w:trPr>
        <w:tc>
          <w:tcPr>
            <w:tcW w:type="dxa" w:w="1800"/>
            <w:vAlign w:val="center"/>
          </w:tcPr>
          <w:p>
            <w:r>
              <w:t>Manual Studio workflow</w:t>
            </w:r>
          </w:p>
        </w:tc>
        <w:tc>
          <w:tcPr>
            <w:tcW w:type="dxa" w:w="3900"/>
            <w:vAlign w:val="center"/>
          </w:tcPr>
          <w:p>
            <w:r>
              <w:t>The developer understands catalogs and wants direct access to individual Project, Scan, Translate, Validation, Export, Integration, and Provider Settings pages.</w:t>
            </w:r>
          </w:p>
        </w:tc>
        <w:tc>
          <w:tcPr>
            <w:tcW w:type="dxa" w:w="3660"/>
            <w:vAlign w:val="center"/>
          </w:tcPr>
          <w:p>
            <w:r>
              <w:t>Continue with Chapter 3 of this User Guide.</w:t>
            </w:r>
          </w:p>
        </w:tc>
      </w:tr>
      <w:tr>
        <w:trPr>
          <w:cantSplit/>
        </w:trPr>
        <w:tc>
          <w:tcPr>
            <w:tcW w:type="dxa" w:w="1800"/>
            <w:vAlign w:val="center"/>
          </w:tcPr>
          <w:p>
            <w:r>
              <w:t>Automatic Source Integration - advanced</w:t>
            </w:r>
          </w:p>
        </w:tc>
        <w:tc>
          <w:tcPr>
            <w:tcW w:type="dxa" w:w="3900"/>
            <w:vAlign w:val="center"/>
          </w:tcPr>
          <w:p>
            <w:r>
              <w:t>The component approach is unsuitable and the developer explicitly accepts reviewed source edits.</w:t>
            </w:r>
          </w:p>
        </w:tc>
        <w:tc>
          <w:tcPr>
            <w:tcW w:type="dxa" w:w="3660"/>
            <w:vAlign w:val="center"/>
          </w:tcPr>
          <w:p>
            <w:r>
              <w:t>Read Chapter 11.3 and use only a protected project copy.</w:t>
            </w:r>
          </w:p>
        </w:tc>
      </w:tr>
    </w:tbl>
    <w:p>
      <w:pPr>
        <w:pStyle w:val="Heading2"/>
      </w:pPr>
      <w:r>
        <w:t>2.2 Build or Start the Studio</w:t>
      </w:r>
    </w:p>
    <w:p>
      <w:pPr>
        <w:pStyle w:val="ListNumber"/>
        <w:numPr>
          <w:ilvl w:val="0"/>
          <w:numId w:val="10"/>
        </w:numPr>
      </w:pPr>
      <w:r>
        <w:t>To use an existing build, run DelphiAppTranslationStudio.exe from bin\Win32\Release or bin\Win64\Release. Debug builds are intended for diagnosis.</w:t>
      </w:r>
    </w:p>
    <w:p>
      <w:pPr>
        <w:pStyle w:val="ListNumber"/>
        <w:numPr>
          <w:ilvl w:val="0"/>
          <w:numId w:val="10"/>
        </w:numPr>
      </w:pPr>
      <w:r>
        <w:t>To compile from source, open DelphiAppTranslationStudio.dproj in RAD Studio, select Win32 or Win64 and Debug or Release, then choose Project &gt; Build DelphiAppTranslationStudio.</w:t>
      </w:r>
    </w:p>
    <w:p>
      <w:pPr>
        <w:pStyle w:val="ListNumber"/>
        <w:numPr>
          <w:ilvl w:val="0"/>
          <w:numId w:val="10"/>
        </w:numPr>
      </w:pPr>
      <w:r>
        <w:t>Confirm that the build writes the executable under bin\&lt;Platform&gt;\&lt;Configuration&gt; and compiler units under dcu\&lt;Platform&gt;\&lt;Configuration&gt;.</w:t>
      </w:r>
    </w:p>
    <w:p>
      <w:pPr>
        <w:pStyle w:val="ListNumber"/>
        <w:numPr>
          <w:ilvl w:val="0"/>
          <w:numId w:val="10"/>
        </w:numPr>
      </w:pPr>
      <w:r>
        <w:t>Start the executable and confirm that Delphi App Translation Studio opens maximized. The Project page offers Start Setup Wizard for first-time use and Open Project for the manual workflow.</w:t>
      </w:r>
    </w:p>
    <w:p>
      <w:pPr>
        <w:pStyle w:val="Heading2"/>
      </w:pPr>
      <w:r>
        <w:t>2.3 Install the Localization Components</w:t>
      </w:r>
    </w:p>
    <w:p>
      <w: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pPr>
        <w:pStyle w:val="ListNumber"/>
        <w:numPr>
          <w:ilvl w:val="0"/>
          <w:numId w:val="11"/>
        </w:numPr>
      </w:pPr>
      <w:r>
        <w:t>If this is the first localization project, complete the Setup Wizard through its Delphi Component step. In the manual workflow, open the project and complete Scan, Translate, Validation, and Export, then open Integration and leave Component Integration selected.</w:t>
      </w:r>
    </w:p>
    <w:p>
      <w:pPr>
        <w:pStyle w:val="ListNumber"/>
        <w:numPr>
          <w:ilvl w:val="0"/>
          <w:numId w:val="11"/>
        </w:numPr>
      </w:pPr>
      <w:r>
        <w:t>Choose Build Integration Plan. The Studio enables Show Design BPL for the detected VCL or FMX framework.</w:t>
      </w:r>
    </w:p>
    <w:p>
      <w:pPr>
        <w:pStyle w:val="ListNumber"/>
        <w:numPr>
          <w:ilvl w:val="0"/>
          <w:numId w:val="11"/>
        </w:numPr>
      </w:pPr>
      <w:r>
        <w:t>Choose Show Design BPL. File Explorer selects DATLanguageManagerVCLDesign.bpl or DATLanguageManagerFMXDesign.bpl in the Studio's stable bin\packages\Win32\Release folder.</w:t>
      </w:r>
    </w:p>
    <w:p>
      <w:pPr>
        <w:pStyle w:val="ListNumber"/>
        <w:numPr>
          <w:ilvl w:val="0"/>
          <w:numId w:val="11"/>
        </w:numPr>
      </w:pPr>
      <w:r>
        <w:t>Start RAD Studio without opening the target form. Choose Component &gt; Install Packages, choose Add, select the exact design .bpl shown by the Studio, and choose Open.</w:t>
      </w:r>
    </w:p>
    <w:p>
      <w:pPr>
        <w:pStyle w:val="ListNumber"/>
        <w:numPr>
          <w:ilvl w:val="0"/>
          <w:numId w:val="11"/>
        </w:numPr>
      </w:pPr>
      <w:r>
        <w:t>Confirm DAT Language Manager VCL design-time package or DAT Language Manager FireMonkey design-time package is listed and checked, then choose OK. Open a form and confirm DAT Localization appears in the Tool Palette.</w:t>
      </w:r>
    </w:p>
    <w:p>
      <w:pPr>
        <w:pStyle w:val="ListNumber"/>
        <w:numPr>
          <w:ilvl w:val="0"/>
          <w:numId w:val="11"/>
        </w:numPr>
      </w:pPr>
      <w:r>
        <w:t>Never choose Component &gt; Install Component and never select a .dpk. A .dpk is package source; Delphi installs the compiled Win32 design .bpl through Install Packages.</w:t>
      </w:r>
    </w:p>
    <w:p>
      <w:pPr>
        <w:pStyle w:val="ListNumber"/>
        <w:numPr>
          <w:ilvl w:val="0"/>
          <w:numId w:val="11"/>
        </w:numPr>
      </w:pPr>
      <w:r>
        <w:t>Return to the Studio and choose Generate Component Kit. The clean kit contains ComponentSource, JSON packs, deployment support, a manifest, and README instructions; it deliberately contains no BPLs or installer scripts.</w:t>
      </w:r>
    </w:p>
    <w:p>
      <w:pPr>
        <w:pStyle w:val="ListNumber"/>
        <w:numPr>
          <w:ilvl w:val="0"/>
          <w:numId w:val="11"/>
        </w:numPr>
      </w:pPr>
      <w:r>
        <w:t>Normally linked applications compile the generated kit's ComponentSource units into the executable. The target does not need DAT runtime BPLs beside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Delphi-controlled installation. </w:t>
            </w:r>
            <w: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pPr>
        <w:pStyle w:val="Heading1"/>
      </w:pPr>
      <w:r>
        <w:t>3. The End-to-End Workflow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Step</w:t>
            </w:r>
          </w:p>
        </w:tc>
        <w:tc>
          <w:tcPr>
            <w:tcW w:type="dxa" w:w="3900"/>
            <w:shd w:fill="234C80"/>
          </w:tcPr>
          <w:p>
            <w:r>
              <w:rPr>
                <w:b/>
                <w:color w:val="FFFFFF"/>
              </w:rPr>
              <w:t>Purpose</w:t>
            </w:r>
          </w:p>
        </w:tc>
        <w:tc>
          <w:tcPr>
            <w:tcW w:type="dxa" w:w="3660"/>
            <w:shd w:fill="234C80"/>
          </w:tcPr>
          <w:p>
            <w:r>
              <w:rPr>
                <w:b/>
                <w:color w:val="FFFFFF"/>
              </w:rPr>
              <w:t>Primary output</w:t>
            </w:r>
          </w:p>
        </w:tc>
      </w:tr>
      <w:tr>
        <w:trPr>
          <w:cantSplit/>
        </w:trPr>
        <w:tc>
          <w:tcPr>
            <w:tcW w:type="dxa" w:w="1800"/>
            <w:vAlign w:val="center"/>
          </w:tcPr>
          <w:p>
            <w:r>
              <w:t>1 Project</w:t>
            </w:r>
          </w:p>
        </w:tc>
        <w:tc>
          <w:tcPr>
            <w:tcW w:type="dxa" w:w="3900"/>
            <w:vAlign w:val="center"/>
          </w:tcPr>
          <w:p>
            <w:r>
              <w:t>Open and identify a Delphi project.</w:t>
            </w:r>
          </w:p>
        </w:tc>
        <w:tc>
          <w:tcPr>
            <w:tcW w:type="dxa" w:w="3660"/>
            <w:vAlign w:val="center"/>
          </w:tcPr>
          <w:p>
            <w:r>
              <w:t>Project profile</w:t>
            </w:r>
          </w:p>
        </w:tc>
      </w:tr>
      <w:tr>
        <w:trPr>
          <w:cantSplit/>
        </w:trPr>
        <w:tc>
          <w:tcPr>
            <w:tcW w:type="dxa" w:w="1800"/>
            <w:vAlign w:val="center"/>
          </w:tcPr>
          <w:p>
            <w:r>
              <w:t>2 Scan</w:t>
            </w:r>
          </w:p>
        </w:tc>
        <w:tc>
          <w:tcPr>
            <w:tcW w:type="dxa" w:w="3900"/>
            <w:vAlign w:val="center"/>
          </w:tcPr>
          <w:p>
            <w:r>
              <w:t>Extract designated designer text and resourcestrings.</w:t>
            </w:r>
          </w:p>
        </w:tc>
        <w:tc>
          <w:tcPr>
            <w:tcW w:type="dxa" w:w="3660"/>
            <w:vAlign w:val="center"/>
          </w:tcPr>
          <w:p>
            <w:r>
              <w:t>Scan result</w:t>
            </w:r>
          </w:p>
        </w:tc>
      </w:tr>
      <w:tr>
        <w:trPr>
          <w:cantSplit/>
        </w:trPr>
        <w:tc>
          <w:tcPr>
            <w:tcW w:type="dxa" w:w="1800"/>
            <w:vAlign w:val="center"/>
          </w:tcPr>
          <w:p>
            <w:r>
              <w:t>3 Translate</w:t>
            </w:r>
          </w:p>
        </w:tc>
        <w:tc>
          <w:tcPr>
            <w:tcW w:type="dxa" w:w="3900"/>
            <w:vAlign w:val="center"/>
          </w:tcPr>
          <w:p>
            <w:r>
              <w:t>Select a language and translate unresolved text automatically.</w:t>
            </w:r>
          </w:p>
        </w:tc>
        <w:tc>
          <w:tcPr>
            <w:tcW w:type="dxa" w:w="3660"/>
            <w:vAlign w:val="center"/>
          </w:tcPr>
          <w:p>
            <w:r>
              <w:t>Saved machine-translation catalog</w:t>
            </w:r>
          </w:p>
        </w:tc>
      </w:tr>
      <w:tr>
        <w:trPr>
          <w:cantSplit/>
        </w:trPr>
        <w:tc>
          <w:tcPr>
            <w:tcW w:type="dxa" w:w="1800"/>
            <w:vAlign w:val="center"/>
          </w:tcPr>
          <w:p>
            <w:r>
              <w:t>4 Validation</w:t>
            </w:r>
          </w:p>
        </w:tc>
        <w:tc>
          <w:tcPr>
            <w:tcW w:type="dxa" w:w="3900"/>
            <w:vAlign w:val="center"/>
          </w:tcPr>
          <w:p>
            <w:r>
              <w:t>Check completeness and structural safety.</w:t>
            </w:r>
          </w:p>
        </w:tc>
        <w:tc>
          <w:tcPr>
            <w:tcW w:type="dxa" w:w="3660"/>
            <w:vAlign w:val="center"/>
          </w:tcPr>
          <w:p>
            <w:r>
              <w:t>Issue list</w:t>
            </w:r>
          </w:p>
        </w:tc>
      </w:tr>
      <w:tr>
        <w:trPr>
          <w:cantSplit/>
        </w:trPr>
        <w:tc>
          <w:tcPr>
            <w:tcW w:type="dxa" w:w="1800"/>
            <w:vAlign w:val="center"/>
          </w:tcPr>
          <w:p>
            <w:r>
              <w:t>5 Export</w:t>
            </w:r>
          </w:p>
        </w:tc>
        <w:tc>
          <w:tcPr>
            <w:tcW w:type="dxa" w:w="3900"/>
            <w:vAlign w:val="center"/>
          </w:tcPr>
          <w:p>
            <w:r>
              <w:t>Create the compact offline pack.</w:t>
            </w:r>
          </w:p>
        </w:tc>
        <w:tc>
          <w:tcPr>
            <w:tcW w:type="dxa" w:w="3660"/>
            <w:vAlign w:val="center"/>
          </w:tcPr>
          <w:p>
            <w:r>
              <w:t>Runtime JSON</w:t>
            </w:r>
          </w:p>
        </w:tc>
      </w:tr>
      <w:tr>
        <w:trPr>
          <w:cantSplit/>
        </w:trPr>
        <w:tc>
          <w:tcPr>
            <w:tcW w:type="dxa" w:w="1800"/>
            <w:vAlign w:val="center"/>
          </w:tcPr>
          <w:p>
            <w:r>
              <w:t>6 Integration</w:t>
            </w:r>
          </w:p>
        </w:tc>
        <w:tc>
          <w:tcPr>
            <w:tcW w:type="dxa" w:w="3900"/>
            <w:vAlign w:val="center"/>
          </w:tcPr>
          <w:p>
            <w:r>
              <w:t>Generate a non-mutating component setup kit; optionally use advanced automatic integration.</w:t>
            </w:r>
          </w:p>
        </w:tc>
        <w:tc>
          <w:tcPr>
            <w:tcW w:type="dxa" w:w="3660"/>
            <w:vAlign w:val="center"/>
          </w:tcPr>
          <w:p>
            <w:r>
              <w:t>Component kit or advanced preview</w:t>
            </w:r>
          </w:p>
        </w:tc>
      </w:tr>
      <w:tr>
        <w:trPr>
          <w:cantSplit/>
        </w:trPr>
        <w:tc>
          <w:tcPr>
            <w:tcW w:type="dxa" w:w="1800"/>
            <w:vAlign w:val="center"/>
          </w:tcPr>
          <w:p>
            <w:r>
              <w:t>7 Provider Settings</w:t>
            </w:r>
          </w:p>
        </w:tc>
        <w:tc>
          <w:tcPr>
            <w:tcW w:type="dxa" w:w="3900"/>
            <w:vAlign w:val="center"/>
          </w:tcPr>
          <w:p>
            <w:r>
              <w:t>Configure and test Google Cloud Translation or DeepL.</w:t>
            </w:r>
          </w:p>
        </w:tc>
        <w:tc>
          <w:tcPr>
            <w:tcW w:type="dxa" w:w="3660"/>
            <w:vAlign w:val="center"/>
          </w:tcPr>
          <w:p>
            <w:r>
              <w:t>Secure provider configuration</w:t>
            </w:r>
          </w:p>
        </w:tc>
      </w:tr>
    </w:tbl>
    <w:p>
      <w:pPr>
        <w:pStyle w:val="Heading1"/>
      </w:pPr>
      <w:r>
        <w:t>4. Open and Scan a Project</w:t>
      </w:r>
    </w:p>
    <w:p>
      <w:pPr>
        <w:pStyle w:val="ListNumber"/>
        <w:numPr>
          <w:ilvl w:val="0"/>
          <w:numId w:val="12"/>
        </w:numPr>
      </w:pPr>
      <w:r>
        <w:t>Choose Project and select Open Delphi Project.</w:t>
      </w:r>
    </w:p>
    <w:p>
      <w:pPr>
        <w:pStyle w:val="ListNumber"/>
        <w:numPr>
          <w:ilvl w:val="0"/>
          <w:numId w:val="12"/>
        </w:numPr>
      </w:pPr>
      <w:r>
        <w:t>Open a .dproj when available; a .dpr is also accepted.</w:t>
      </w:r>
    </w:p>
    <w:p>
      <w:pPr>
        <w:pStyle w:val="ListNumber"/>
        <w:numPr>
          <w:ilvl w:val="0"/>
          <w:numId w:val="12"/>
        </w:numPr>
      </w:pPr>
      <w:r>
        <w:t>Review the detected framework, platforms, form count, and source count.</w:t>
      </w:r>
    </w:p>
    <w:p>
      <w:pPr>
        <w:pStyle w:val="ListNumber"/>
        <w:numPr>
          <w:ilvl w:val="0"/>
          <w:numId w:val="12"/>
        </w:numPr>
      </w:pPr>
      <w:r>
        <w:t>Choose Scan. The Studio reads text DFM/FMX resources and resourcestring declarations.</w:t>
      </w:r>
    </w:p>
    <w:p>
      <w:pPr>
        <w:pStyle w:val="ListNumber"/>
        <w:numPr>
          <w:ilvl w:val="0"/>
          <w:numId w:val="12"/>
        </w:numPr>
      </w:pPr>
      <w:r>
        <w:t>Review the entry count, elapsed milliseconds, breakdown, and result 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pPr>
        <w:pStyle w:val="Heading2"/>
      </w:pPr>
      <w:r>
        <w:t>4.1 Text that is collected</w:t>
      </w:r>
    </w:p>
    <w:p>
      <w:pPr>
        <w:pStyle w:val="ListBullet"/>
      </w:pPr>
      <w:r>
        <w:t>Captions, Text values, prompts, hints, headings, and designated list content.</w:t>
      </w:r>
    </w:p>
    <w:p>
      <w:pPr>
        <w:pStyle w:val="ListBullet"/>
      </w:pPr>
      <w:r>
        <w:t>Memo and string-list content when it represents user-visible text.</w:t>
      </w:r>
    </w:p>
    <w:p>
      <w:pPr>
        <w:pStyle w:val="ListBullet"/>
      </w:pPr>
      <w:r>
        <w:t>Delphi resourcestring symbols with stable unit-and-symbol keys.</w:t>
      </w:r>
    </w:p>
    <w:p>
      <w:pPr>
        <w:pStyle w:val="ListBullet"/>
      </w:pPr>
      <w:r>
        <w:t>Locale metadata such as date, time, number, and currency formatting is entered on the Languages page rather than guessed from UI text.</w:t>
      </w:r>
    </w:p>
    <w:p>
      <w:pPr>
        <w:pStyle w:val="Heading1"/>
      </w:pPr>
      <w:r>
        <w:t>5. Create and Edit a Language Catalog</w:t>
      </w:r>
    </w:p>
    <w:p>
      <w:pPr>
        <w:pStyle w:val="ListNumber"/>
        <w:numPr>
          <w:ilvl w:val="0"/>
          <w:numId w:val="13"/>
        </w:numPr>
      </w:pPr>
      <w:r>
        <w:t>Choose Translate after scanning.</w:t>
      </w:r>
    </w:p>
    <w:p>
      <w:pPr>
        <w:pStyle w:val="ListNumber"/>
        <w:numPr>
          <w:ilvl w:val="0"/>
          <w:numId w:val="13"/>
        </w:numPr>
      </w:pPr>
      <w:r>
        <w:t>Select the source language, normally English (United States) [en-US].</w:t>
      </w:r>
    </w:p>
    <w:p>
      <w:pPr>
        <w:pStyle w:val="ListNumber"/>
        <w:numPr>
          <w:ilvl w:val="0"/>
          <w:numId w:val="13"/>
        </w:numPr>
      </w:pPr>
      <w:r>
        <w:t>Select the target language from the built-in language list. The Studio records its locale code and native name.</w:t>
      </w:r>
    </w:p>
    <w:p>
      <w:pPr>
        <w:pStyle w:val="ListNumber"/>
        <w:numPr>
          <w:ilvl w:val="0"/>
          <w:numId w:val="13"/>
        </w:numPr>
      </w:pPr>
      <w:r>
        <w:t>Review the automatically selected left-to-right or right-to-left direction.</w:t>
      </w:r>
    </w:p>
    <w:p>
      <w:pPr>
        <w:pStyle w:val="ListNumber"/>
        <w:numPr>
          <w:ilvl w:val="0"/>
          <w:numId w:val="13"/>
        </w:numPr>
      </w:pPr>
      <w:r>
        <w:t>Review or edit the date, time, decimal, thousands, and currency fields. Blank fields are initially populated from Delphi TFormatSettings for the target locale.</w:t>
      </w:r>
    </w:p>
    <w:p>
      <w:pPr>
        <w:pStyle w:val="ListNumber"/>
        <w:numPr>
          <w:ilvl w:val="0"/>
          <w:numId w:val="13"/>
        </w:numPr>
      </w:pPr>
      <w:r>
        <w:t>Choose Save.</w:t>
      </w:r>
    </w:p>
    <w:p>
      <w:pPr>
        <w:pStyle w:val="ListNumber"/>
        <w:numPr>
          <w:ilvl w:val="0"/>
          <w:numId w:val="13"/>
        </w:numPr>
      </w:pPr>
      <w:r>
        <w:t>Click the blue catalog path to select the saved JSON file in File Explorer.</w:t>
      </w:r>
    </w:p>
    <w:p>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pPr>
        <w:pStyle w:val="Heading2"/>
      </w:pPr>
      <w:r>
        <w:t>5.1 Translation statuses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Status</w:t>
            </w:r>
          </w:p>
        </w:tc>
        <w:tc>
          <w:tcPr>
            <w:tcW w:type="dxa" w:w="6660"/>
            <w:shd w:fill="234C80"/>
          </w:tcPr>
          <w:p>
            <w:r>
              <w:rPr>
                <w:b/>
                <w:color w:val="FFFFFF"/>
              </w:rPr>
              <w:t>Meaning</w:t>
            </w:r>
          </w:p>
        </w:tc>
      </w:tr>
      <w:tr>
        <w:trPr>
          <w:cantSplit/>
        </w:trPr>
        <w:tc>
          <w:tcPr>
            <w:tcW w:type="dxa" w:w="2700"/>
            <w:vAlign w:val="center"/>
          </w:tcPr>
          <w:p>
            <w:r>
              <w:t>Needs translation</w:t>
            </w:r>
          </w:p>
        </w:tc>
        <w:tc>
          <w:tcPr>
            <w:tcW w:type="dxa" w:w="6660"/>
            <w:vAlign w:val="center"/>
          </w:tcPr>
          <w:p>
            <w:r>
              <w:t>No usable target text is present.</w:t>
            </w:r>
          </w:p>
        </w:tc>
      </w:tr>
      <w:tr>
        <w:trPr>
          <w:cantSplit/>
        </w:trPr>
        <w:tc>
          <w:tcPr>
            <w:tcW w:type="dxa" w:w="2700"/>
            <w:vAlign w:val="center"/>
          </w:tcPr>
          <w:p>
            <w:r>
              <w:t>AI draft</w:t>
            </w:r>
          </w:p>
        </w:tc>
        <w:tc>
          <w:tcPr>
            <w:tcW w:type="dxa" w:w="6660"/>
            <w:vAlign w:val="center"/>
          </w:tcPr>
          <w:p>
            <w:r>
              <w:t>Legacy provenance retained when opening a catalog created by an earlier Studio build.</w:t>
            </w:r>
          </w:p>
        </w:tc>
      </w:tr>
      <w:tr>
        <w:trPr>
          <w:cantSplit/>
        </w:trPr>
        <w:tc>
          <w:tcPr>
            <w:tcW w:type="dxa" w:w="2700"/>
            <w:vAlign w:val="center"/>
          </w:tcPr>
          <w:p>
            <w:r>
              <w:t>Machine translated</w:t>
            </w:r>
          </w:p>
        </w:tc>
        <w:tc>
          <w:tcPr>
            <w:tcW w:type="dxa" w:w="6660"/>
            <w:vAlign w:val="center"/>
          </w:tcPr>
          <w:p>
            <w:r>
              <w:t>DeepL or Google produced a draft that requires review.</w:t>
            </w:r>
          </w:p>
        </w:tc>
      </w:tr>
      <w:tr>
        <w:trPr>
          <w:cantSplit/>
        </w:trPr>
        <w:tc>
          <w:tcPr>
            <w:tcW w:type="dxa" w:w="2700"/>
            <w:vAlign w:val="center"/>
          </w:tcPr>
          <w:p>
            <w:r>
              <w:t>Imported</w:t>
            </w:r>
          </w:p>
        </w:tc>
        <w:tc>
          <w:tcPr>
            <w:tcW w:type="dxa" w:w="6660"/>
            <w:vAlign w:val="center"/>
          </w:tcPr>
          <w:p>
            <w:r>
              <w:t>CSV supplied target text that requires review.</w:t>
            </w:r>
          </w:p>
        </w:tc>
      </w:tr>
      <w:tr>
        <w:trPr>
          <w:cantSplit/>
        </w:trPr>
        <w:tc>
          <w:tcPr>
            <w:tcW w:type="dxa" w:w="2700"/>
            <w:vAlign w:val="center"/>
          </w:tcPr>
          <w:p>
            <w:r>
              <w:t>Edited</w:t>
            </w:r>
          </w:p>
        </w:tc>
        <w:tc>
          <w:tcPr>
            <w:tcW w:type="dxa" w:w="6660"/>
            <w:vAlign w:val="center"/>
          </w:tcPr>
          <w:p>
            <w:r>
              <w:t>A person changed or entered the target text.</w:t>
            </w:r>
          </w:p>
        </w:tc>
      </w:tr>
      <w:tr>
        <w:trPr>
          <w:cantSplit/>
        </w:trPr>
        <w:tc>
          <w:tcPr>
            <w:tcW w:type="dxa" w:w="2700"/>
            <w:vAlign w:val="center"/>
          </w:tcPr>
          <w:p>
            <w:r>
              <w:t>Reviewed</w:t>
            </w:r>
          </w:p>
        </w:tc>
        <w:tc>
          <w:tcPr>
            <w:tcW w:type="dxa" w:w="6660"/>
            <w:vAlign w:val="center"/>
          </w:tcPr>
          <w:p>
            <w:r>
              <w:t>A person reviewed the target text.</w:t>
            </w:r>
          </w:p>
        </w:tc>
      </w:tr>
      <w:tr>
        <w:trPr>
          <w:cantSplit/>
        </w:trPr>
        <w:tc>
          <w:tcPr>
            <w:tcW w:type="dxa" w:w="2700"/>
            <w:vAlign w:val="center"/>
          </w:tcPr>
          <w:p>
            <w:r>
              <w:t>Approved</w:t>
            </w:r>
          </w:p>
        </w:tc>
        <w:tc>
          <w:tcPr>
            <w:tcW w:type="dxa" w:w="6660"/>
            <w:vAlign w:val="center"/>
          </w:tcPr>
          <w:p>
            <w:r>
              <w:t>The entry is release-approved.</w:t>
            </w:r>
          </w:p>
        </w:tc>
      </w:tr>
      <w:tr>
        <w:trPr>
          <w:cantSplit/>
        </w:trPr>
        <w:tc>
          <w:tcPr>
            <w:tcW w:type="dxa" w:w="2700"/>
            <w:vAlign w:val="center"/>
          </w:tcPr>
          <w:p>
            <w:r>
              <w:t>Source changed</w:t>
            </w:r>
          </w:p>
        </w:tc>
        <w:tc>
          <w:tcPr>
            <w:tcW w:type="dxa" w:w="6660"/>
            <w:vAlign w:val="center"/>
          </w:tcPr>
          <w:p>
            <w:r>
              <w:t>The source changed after a translation existed.</w:t>
            </w:r>
          </w:p>
        </w:tc>
      </w:tr>
      <w:tr>
        <w:trPr>
          <w:cantSplit/>
        </w:trPr>
        <w:tc>
          <w:tcPr>
            <w:tcW w:type="dxa" w:w="2700"/>
            <w:vAlign w:val="center"/>
          </w:tcPr>
          <w:p>
            <w:r>
              <w:t>Excluded</w:t>
            </w:r>
          </w:p>
        </w:tc>
        <w:tc>
          <w:tcPr>
            <w:tcW w:type="dxa" w:w="6660"/>
            <w:vAlign w:val="center"/>
          </w:tcPr>
          <w:p>
            <w:r>
              <w:t>The entry is intentionally omitted.</w:t>
            </w:r>
          </w:p>
        </w:tc>
      </w:tr>
      <w:tr>
        <w:trPr>
          <w:cantSplit/>
        </w:trPr>
        <w:tc>
          <w:tcPr>
            <w:tcW w:type="dxa" w:w="2700"/>
            <w:vAlign w:val="center"/>
          </w:tcPr>
          <w:p>
            <w:r>
              <w:t>Obsolete</w:t>
            </w:r>
          </w:p>
        </w:tc>
        <w:tc>
          <w:tcPr>
            <w:tcW w:type="dxa" w:w="6660"/>
            <w:vAlign w:val="center"/>
          </w:tcPr>
          <w:p>
            <w:r>
              <w:t>The source entry no longer exists in the latest scan.</w:t>
            </w:r>
          </w:p>
        </w:tc>
      </w:tr>
      <w:tr>
        <w:trPr>
          <w:cantSplit/>
        </w:trPr>
        <w:tc>
          <w:tcPr>
            <w:tcW w:type="dxa" w:w="2700"/>
            <w:vAlign w:val="center"/>
          </w:tcPr>
          <w:p>
            <w:r>
              <w:t>Error</w:t>
            </w:r>
          </w:p>
        </w:tc>
        <w:tc>
          <w:tcPr>
            <w:tcW w:type="dxa" w:w="6660"/>
            <w:vAlign w:val="center"/>
          </w:tcPr>
          <w:p>
            <w:r>
              <w:t>The entry needs correction after a failed operation or check.</w:t>
            </w:r>
          </w:p>
        </w:tc>
      </w:tr>
    </w:tbl>
    <w:p>
      <w:pPr>
        <w:pStyle w:val="Heading2"/>
      </w:pPr>
      <w:r>
        <w:t>5.2 Automatic Google or DeepL workflow</w:t>
      </w:r>
    </w:p>
    <w:p>
      <w:pPr>
        <w:pStyle w:val="ListNumber"/>
        <w:numPr>
          <w:ilvl w:val="0"/>
          <w:numId w:val="14"/>
        </w:numPr>
      </w:pPr>
      <w:r>
        <w:t>Open Provider Settings and select Google Cloud Translation or DeepL.</w:t>
      </w:r>
    </w:p>
    <w:p>
      <w:pPr>
        <w:pStyle w:val="ListNumber"/>
        <w:numPr>
          <w:ilvl w:val="0"/>
          <w:numId w:val="14"/>
        </w:numPr>
      </w:pPr>
      <w:r>
        <w:t>Paste the provider API key into the masked field, choose secure Windows Credential Manager storage or session-only use, and select Replace / Save Key.</w:t>
      </w:r>
    </w:p>
    <w:p>
      <w:pPr>
        <w:pStyle w:val="ListNumber"/>
        <w:numPr>
          <w:ilvl w:val="0"/>
          <w:numId w:val="14"/>
        </w:numPr>
      </w:pPr>
      <w:r>
        <w:t>Choose Test Connection. Resolve any authentication, billing, restriction, firewall, or quota error before translating a project.</w:t>
      </w:r>
    </w:p>
    <w:p>
      <w:pPr>
        <w:pStyle w:val="ListNumber"/>
        <w:numPr>
          <w:ilvl w:val="0"/>
          <w:numId w:val="14"/>
        </w:numPr>
      </w:pPr>
      <w:r>
        <w:t>Return to Translate, select the target language, and choose Translate Automatically.</w:t>
      </w:r>
    </w:p>
    <w:p>
      <w:pPr>
        <w:pStyle w:val="ListNumber"/>
        <w:numPr>
          <w:ilvl w:val="0"/>
          <w:numId w:val="14"/>
        </w:numPr>
      </w:pPr>
      <w:r>
        <w:t>Confirm the displayed provider and unresolved-entry count. The Studio sends only eligible unresolved source strings; Reviewed, Approved, Excluded, and Obsolete entries are not replaced.</w:t>
      </w:r>
    </w:p>
    <w:p>
      <w:pPr>
        <w:pStyle w:val="ListNumber"/>
        <w:numPr>
          <w:ilvl w:val="0"/>
          <w:numId w:val="14"/>
        </w:numPr>
      </w:pPr>
      <w:r>
        <w:t>The Studio first reuses approved contextual translation memory and vetted UI terminology where available. Remaining entries are sent in bounded batches. DeepL receives inferred UI context; Google Basic v2 does not support a context field, so short or ambiguous Google results are flagged for focused review. The catalog is saved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pPr>
        <w:pStyle w:val="Heading2"/>
      </w:pPr>
      <w:r>
        <w:t>5.3 Safety, context, and focused review</w:t>
      </w:r>
    </w:p>
    <w:p>
      <w:pPr>
        <w:pStyle w:val="ListBullet"/>
      </w:pPr>
      <w:r>
        <w:t>Designer-property entries are applied automatically by the VCL or FMX runtime adapter.</w:t>
      </w:r>
    </w:p>
    <w:p>
      <w:pPr>
        <w:pStyle w:val="ListBullet"/>
      </w:pPr>
      <w:r>
        <w:t>Pascal resourcestring entries require an explicit TranslateText(Key, Fallback) call at the intended code location. Mark Manual wiring confirmed only after adding and reviewing that call.</w:t>
      </w:r>
    </w:p>
    <w:p>
      <w:pPr>
        <w:pStyle w:val="ListBullet"/>
      </w:pPr>
      <w:r>
        <w:t>Translation origin is independent of Draft, Reviewed, and Approved status. A provider result is never silently approved.</w:t>
      </w:r>
    </w:p>
    <w:p>
      <w:pPr>
        <w:pStyle w:val="ListBullet"/>
      </w:pPr>
      <w:r>
        <w:t>Only Needs Translation, Source Changed, and Error entries are eligible. Existing Machine-translated, Imported, Edited, Reviewed, Approved, Excluded, and Obsolete work is protected unless the developer changes its status deliberately.</w:t>
      </w:r>
    </w:p>
    <w:p>
      <w:pPr>
        <w:pStyle w:val="ListBullet"/>
      </w:pPr>
      <w:r>
        <w:t>Each scanned entry records form, component, class, property, UI role, semantic concept, contextual description, and context confidence. This distinguishes meanings such as media Play, game Play, command Schedule, and the noun Schedule.</w:t>
      </w:r>
    </w:p>
    <w:p>
      <w:pPr>
        <w:pStyle w:val="ListBullet"/>
      </w:pPr>
      <w:r>
        <w:t>Vetted UI terminology is applied before a provider call where a supported target-language term is known. Reviewed and Approved entries also form contextual translation memory for matching later entries.</w:t>
      </w:r>
    </w:p>
    <w:p>
      <w:pPr>
        <w:pStyle w:val="ListBullet"/>
      </w:pPr>
      <w:r>
        <w:t>DeepL accepts the Studio's contextual description. Google Cloud Translation Basic v2 does not accept context or glossaries; the Studio uses local context, terminology, memory, and focused warnings around Google.</w:t>
      </w:r>
    </w:p>
    <w:p>
      <w:pPr>
        <w:pStyle w:val="ListBullet"/>
      </w:pPr>
      <w:r>
        <w:t>Validation focuses on placeholders, accelerators, inconsistent repeated terms, source changes, and runtime wiring.</w:t>
      </w:r>
    </w:p>
    <w:p>
      <w:pPr>
        <w:pStyle w:val="ListBullet"/>
      </w:pPr>
      <w:r>
        <w:t>Exact-source translations from other stable keys are suggestions only. The developer must explicitly accept one, and the accepted target remains Edited rather than inheriting approval.</w:t>
      </w:r>
    </w:p>
    <w:p>
      <w:pPr>
        <w:pStyle w:val="Heading1"/>
      </w:pPr>
      <w:r>
        <w:t>6. Provider Settings and Secure Key Storage</w:t>
      </w:r>
    </w:p>
    <w:p>
      <w:r>
        <w:t>Provider Settings supports DeepL API Free, DeepL API Pro, and Google Cloud Translation Basic v2. Provider accounts, billing, quotas, prices, and supported languages are controlled by the provider and may change.</w:t>
      </w:r>
    </w:p>
    <w:p>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Control</w:t>
            </w:r>
          </w:p>
        </w:tc>
        <w:tc>
          <w:tcPr>
            <w:tcW w:type="dxa" w:w="6660"/>
            <w:shd w:fill="234C80"/>
          </w:tcPr>
          <w:p>
            <w:r>
              <w:rPr>
                <w:b/>
                <w:color w:val="FFFFFF"/>
              </w:rPr>
              <w:t>Behavior</w:t>
            </w:r>
          </w:p>
        </w:tc>
      </w:tr>
      <w:tr>
        <w:trPr>
          <w:cantSplit/>
        </w:trPr>
        <w:tc>
          <w:tcPr>
            <w:tcW w:type="dxa" w:w="2700"/>
            <w:vAlign w:val="center"/>
          </w:tcPr>
          <w:p>
            <w:r>
              <w:t>Provider</w:t>
            </w:r>
          </w:p>
        </w:tc>
        <w:tc>
          <w:tcPr>
            <w:tcW w:type="dxa" w:w="6660"/>
            <w:vAlign w:val="center"/>
          </w:tcPr>
          <w:p>
            <w:r>
              <w:t>Select DeepL or Google Cloud Translation.</w:t>
            </w:r>
          </w:p>
        </w:tc>
      </w:tr>
      <w:tr>
        <w:trPr>
          <w:cantSplit/>
        </w:trPr>
        <w:tc>
          <w:tcPr>
            <w:tcW w:type="dxa" w:w="2700"/>
            <w:vAlign w:val="center"/>
          </w:tcPr>
          <w:p>
            <w:r>
              <w:t>DeepL API plan</w:t>
            </w:r>
          </w:p>
        </w:tc>
        <w:tc>
          <w:tcPr>
            <w:tcW w:type="dxa" w:w="6660"/>
            <w:vAlign w:val="center"/>
          </w:tcPr>
          <w:p>
            <w:r>
              <w:t>Select API Free or API Pro so the Studio uses the matching endpoint.</w:t>
            </w:r>
          </w:p>
        </w:tc>
      </w:tr>
      <w:tr>
        <w:trPr>
          <w:cantSplit/>
        </w:trPr>
        <w:tc>
          <w:tcPr>
            <w:tcW w:type="dxa" w:w="2700"/>
            <w:vAlign w:val="center"/>
          </w:tcPr>
          <w:p>
            <w:r>
              <w:t>API key</w:t>
            </w:r>
          </w:p>
        </w:tc>
        <w:tc>
          <w:tcPr>
            <w:tcW w:type="dxa" w:w="6660"/>
            <w:vAlign w:val="center"/>
          </w:tcPr>
          <w:p>
            <w:r>
              <w:t>Masked field for a new or replacement key.</w:t>
            </w:r>
          </w:p>
        </w:tc>
      </w:tr>
      <w:tr>
        <w:trPr>
          <w:cantSplit/>
        </w:trPr>
        <w:tc>
          <w:tcPr>
            <w:tcW w:type="dxa" w:w="2700"/>
            <w:vAlign w:val="center"/>
          </w:tcPr>
          <w:p>
            <w:r>
              <w:t>Remember securely</w:t>
            </w:r>
          </w:p>
        </w:tc>
        <w:tc>
          <w:tcPr>
            <w:tcW w:type="dxa" w:w="6660"/>
            <w:vAlign w:val="center"/>
          </w:tcPr>
          <w:p>
            <w:r>
              <w:t>Stores the key as a Windows Generic Credential.</w:t>
            </w:r>
          </w:p>
        </w:tc>
      </w:tr>
      <w:tr>
        <w:trPr>
          <w:cantSplit/>
        </w:trPr>
        <w:tc>
          <w:tcPr>
            <w:tcW w:type="dxa" w:w="2700"/>
            <w:vAlign w:val="center"/>
          </w:tcPr>
          <w:p>
            <w:r>
              <w:t>Session only</w:t>
            </w:r>
          </w:p>
        </w:tc>
        <w:tc>
          <w:tcPr>
            <w:tcW w:type="dxa" w:w="6660"/>
            <w:vAlign w:val="center"/>
          </w:tcPr>
          <w:p>
            <w:r>
              <w:t>Clear Remember before saving; the key is held only until shutdown.</w:t>
            </w:r>
          </w:p>
        </w:tc>
      </w:tr>
      <w:tr>
        <w:trPr>
          <w:cantSplit/>
        </w:trPr>
        <w:tc>
          <w:tcPr>
            <w:tcW w:type="dxa" w:w="2700"/>
            <w:vAlign w:val="center"/>
          </w:tcPr>
          <w:p>
            <w:r>
              <w:t>Replace / Save Key</w:t>
            </w:r>
          </w:p>
        </w:tc>
        <w:tc>
          <w:tcPr>
            <w:tcW w:type="dxa" w:w="6660"/>
            <w:vAlign w:val="center"/>
          </w:tcPr>
          <w:p>
            <w:r>
              <w:t>Records the entered key using the selected storage choice.</w:t>
            </w:r>
          </w:p>
        </w:tc>
      </w:tr>
      <w:tr>
        <w:trPr>
          <w:cantSplit/>
        </w:trPr>
        <w:tc>
          <w:tcPr>
            <w:tcW w:type="dxa" w:w="2700"/>
            <w:vAlign w:val="center"/>
          </w:tcPr>
          <w:p>
            <w:r>
              <w:t>Test Connection</w:t>
            </w:r>
          </w:p>
        </w:tc>
        <w:tc>
          <w:tcPr>
            <w:tcW w:type="dxa" w:w="6660"/>
            <w:vAlign w:val="center"/>
          </w:tcPr>
          <w:p>
            <w:r>
              <w:t>Sends a small English-to-Italian request.</w:t>
            </w:r>
          </w:p>
        </w:tc>
      </w:tr>
      <w:tr>
        <w:trPr>
          <w:cantSplit/>
        </w:trPr>
        <w:tc>
          <w:tcPr>
            <w:tcW w:type="dxa" w:w="2700"/>
            <w:vAlign w:val="center"/>
          </w:tcPr>
          <w:p>
            <w:r>
              <w:t>Remove Key</w:t>
            </w:r>
          </w:p>
        </w:tc>
        <w:tc>
          <w:tcPr>
            <w:tcW w:type="dxa" w:w="6660"/>
            <w:vAlign w:val="center"/>
          </w:tcPr>
          <w:p>
            <w:r>
              <w:t>Deletes stored and session copies for the selected provider.</w:t>
            </w:r>
          </w:p>
        </w:tc>
      </w:tr>
      <w:tr>
        <w:trPr>
          <w:cantSplit/>
        </w:trPr>
        <w:tc>
          <w:tcPr>
            <w:tcW w:type="dxa" w:w="2700"/>
            <w:vAlign w:val="center"/>
          </w:tcPr>
          <w:p>
            <w:r>
              <w:t>Timeout / batch</w:t>
            </w:r>
          </w:p>
        </w:tc>
        <w:tc>
          <w:tcPr>
            <w:tcW w:type="dxa" w:w="6660"/>
            <w:vAlign w:val="center"/>
          </w:tcPr>
          <w:p>
            <w:r>
              <w:t>Controls 5-300 second requests and 1-50 strings per request.</w:t>
            </w:r>
          </w:p>
        </w:tc>
      </w:tr>
    </w:tbl>
    <w:p>
      <w:pPr>
        <w:pStyle w:val="Heading1"/>
      </w:pPr>
      <w:r>
        <w:t>7. Obtain and Enter a DeepL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Use a DeepL API account. </w:t>
            </w:r>
            <w:r>
              <w:t>A normal DeepL Translator subscription is not automatically a DeepL API plan. Confirm that the account includes API Free or API Pro.</w:t>
            </w:r>
          </w:p>
        </w:tc>
      </w:tr>
    </w:tbl>
    <w:p>
      <w:pPr>
        <w:pStyle w:val="ListNumber"/>
        <w:numPr>
          <w:ilvl w:val="0"/>
          <w:numId w:val="15"/>
        </w:numPr>
      </w:pPr>
      <w:r>
        <w:t>Open the official DeepL developer site at https://developers.deepl.com/ and review current API account requirements.</w:t>
      </w:r>
    </w:p>
    <w:p>
      <w:pPr>
        <w:pStyle w:val="ListNumber"/>
        <w:numPr>
          <w:ilvl w:val="0"/>
          <w:numId w:val="15"/>
        </w:numPr>
      </w:pPr>
      <w:r>
        <w:t>Create or sign in to a DeepL account and subscribe to DeepL API Free or DeepL API Pro as appropriate.</w:t>
      </w:r>
    </w:p>
    <w:p>
      <w:pPr>
        <w:pStyle w:val="ListNumber"/>
        <w:numPr>
          <w:ilvl w:val="0"/>
          <w:numId w:val="15"/>
        </w:numPr>
      </w:pPr>
      <w:r>
        <w:t>Open the account's API Keys tab. Create a separate key for this Studio when the account interface permits multiple keys.</w:t>
      </w:r>
    </w:p>
    <w:p>
      <w:pPr>
        <w:pStyle w:val="ListNumber"/>
        <w:numPr>
          <w:ilvl w:val="0"/>
          <w:numId w:val="15"/>
        </w:numPr>
      </w:pPr>
      <w:r>
        <w:t>Copy the key once and keep it out of source code, JSON catalogs, issue trackers, email, and screenshots.</w:t>
      </w:r>
    </w:p>
    <w:p>
      <w:pPr>
        <w:pStyle w:val="ListNumber"/>
        <w:numPr>
          <w:ilvl w:val="0"/>
          <w:numId w:val="15"/>
        </w:numPr>
      </w:pPr>
      <w:r>
        <w:t>In the Studio, choose Provider Settings and select DeepL.</w:t>
      </w:r>
    </w:p>
    <w:p>
      <w:pPr>
        <w:pStyle w:val="ListNumber"/>
        <w:numPr>
          <w:ilvl w:val="0"/>
          <w:numId w:val="15"/>
        </w:numPr>
      </w:pPr>
      <w:r>
        <w:t>Select API Free or API Pro to match the account. Free uses api-free.deepl.com; Pro uses api.deepl.com.</w:t>
      </w:r>
    </w:p>
    <w:p>
      <w:pPr>
        <w:pStyle w:val="ListNumber"/>
        <w:numPr>
          <w:ilvl w:val="0"/>
          <w:numId w:val="15"/>
        </w:numPr>
      </w:pPr>
      <w:r>
        <w:t>Paste the key into the masked field.</w:t>
      </w:r>
    </w:p>
    <w:p>
      <w:pPr>
        <w:pStyle w:val="ListNumber"/>
        <w:numPr>
          <w:ilvl w:val="0"/>
          <w:numId w:val="15"/>
        </w:numPr>
      </w:pPr>
      <w:r>
        <w:t>Leave Remember securely checked for Windows Credential Manager, or clear it for Use for This Session Only.</w:t>
      </w:r>
    </w:p>
    <w:p>
      <w:pPr>
        <w:pStyle w:val="ListNumber"/>
        <w:numPr>
          <w:ilvl w:val="0"/>
          <w:numId w:val="15"/>
        </w:numPr>
      </w:pPr>
      <w:r>
        <w:t>Choose Replace / Save Key, then Test Connection.</w:t>
      </w:r>
    </w:p>
    <w:p>
      <w:pPr>
        <w:pStyle w:val="ListNumber"/>
        <w:numPr>
          <w:ilvl w:val="0"/>
          <w:numId w:val="15"/>
        </w:numPr>
      </w:pPr>
      <w:r>
        <w:t>If the test fails, verify the plan selection, key status, account quota/billing, firewall, and target-language availability.</w:t>
      </w:r>
    </w:p>
    <w:p>
      <w:r>
        <w:t>DeepL key and authentication reference: https://developers.deepl.com/docs/getting-started/auth</w:t>
      </w:r>
    </w:p>
    <w:p>
      <w:r>
        <w:t>DeepL quickstart: https://developers.deepl.com/docs/getting-started/quickstart</w:t>
      </w:r>
    </w:p>
    <w:p>
      <w:r>
        <w:t>DeepL multiple-key guidance: https://developers.deepl.com/docs/multiple-api-keys</w:t>
      </w:r>
    </w:p>
    <w:p>
      <w:pPr>
        <w:pStyle w:val="Heading1"/>
      </w:pPr>
      <w:r>
        <w:t>8. Obtain and Enter a Google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pPr>
        <w:pStyle w:val="ListNumber"/>
        <w:numPr>
          <w:ilvl w:val="0"/>
          <w:numId w:val="16"/>
        </w:numPr>
      </w:pPr>
      <w:r>
        <w:t>Open Google Cloud Console at https://console.cloud.google.com/ and sign in with the account that will own billing and credentials.</w:t>
      </w:r>
    </w:p>
    <w:p>
      <w:pPr>
        <w:pStyle w:val="ListNumber"/>
        <w:numPr>
          <w:ilvl w:val="0"/>
          <w:numId w:val="16"/>
        </w:numPr>
      </w:pPr>
      <w:r>
        <w:t>Use the project selector to create a dedicated project, such as Delphi App Translation Studio, or select an existing project whose billing and key lifecycle you control.</w:t>
      </w:r>
    </w:p>
    <w:p>
      <w:pPr>
        <w:pStyle w:val="ListNumber"/>
        <w:numPr>
          <w:ilvl w:val="0"/>
          <w:numId w:val="16"/>
        </w:numPr>
      </w:pPr>
      <w:r>
        <w:t>Open Billing for that project and link an active billing account. Cloud Translation setup requires billing to be enabled even when usage might fall within a current no-charge allowance.</w:t>
      </w:r>
    </w:p>
    <w:p>
      <w:pPr>
        <w:pStyle w:val="ListNumber"/>
        <w:numPr>
          <w:ilvl w:val="0"/>
          <w:numId w:val="16"/>
        </w:numPr>
      </w:pPr>
      <w:r>
        <w:t>Open APIs &amp; Services, then Library. Search for Cloud Translation API, open it, and choose Enable. Confirm that the selected project is still the intended project.</w:t>
      </w:r>
    </w:p>
    <w:p>
      <w:pPr>
        <w:pStyle w:val="ListNumber"/>
        <w:numPr>
          <w:ilvl w:val="0"/>
          <w:numId w:val="16"/>
        </w:numPr>
      </w:pPr>
      <w:r>
        <w:t>Open APIs &amp; Services, then Credentials. Choose Create credentials, then API key. Create a standard API key; do not bind it to a service account for this Studio.</w:t>
      </w:r>
    </w:p>
    <w:p>
      <w:pPr>
        <w:pStyle w:val="ListNumber"/>
        <w:numPr>
          <w:ilvl w:val="0"/>
          <w:numId w:val="16"/>
        </w:numPr>
      </w:pPr>
      <w:r>
        <w:t>Name the key clearly, for example Delphi App Translation Studio - &lt;computer or developer&gt;. Google requires at least one API restriction when a key is created in the console.</w:t>
      </w:r>
    </w:p>
    <w:p>
      <w:pPr>
        <w:pStyle w:val="ListNumber"/>
        <w:numPr>
          <w:ilvl w:val="0"/>
          <w:numId w:val="16"/>
        </w:numPr>
      </w:pPr>
      <w:r>
        <w:t>Under API restrictions, choose Restrict key and select only Cloud Translation API (service translate.googleapis.com), then save. Do not leave the key usable with every Google API.</w:t>
      </w:r>
    </w:p>
    <w:p>
      <w:pPr>
        <w:pStyle w:val="ListNumber"/>
        <w:numPr>
          <w:ilvl w:val="0"/>
          <w:numId w:val="16"/>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pPr>
        <w:pStyle w:val="ListNumber"/>
        <w:numPr>
          <w:ilvl w:val="0"/>
          <w:numId w:val="16"/>
        </w:numPr>
      </w:pPr>
      <w:r>
        <w:t>Copy the displayed key string immediately and keep it out of source code, JSON, screenshots, email, issue trackers, and chat. The key ID or display name is not the usable key string.</w:t>
      </w:r>
    </w:p>
    <w:p>
      <w:pPr>
        <w:pStyle w:val="ListNumber"/>
        <w:numPr>
          <w:ilvl w:val="0"/>
          <w:numId w:val="16"/>
        </w:numPr>
      </w:pPr>
      <w:r>
        <w:t>Review Cloud Translation pricing, quotas, and billing budget alerts before a large project. API keys associate requests with the project for quota and billing.</w:t>
      </w:r>
    </w:p>
    <w:p>
      <w:pPr>
        <w:pStyle w:val="ListNumber"/>
        <w:numPr>
          <w:ilvl w:val="0"/>
          <w:numId w:val="16"/>
        </w:numPr>
      </w:pPr>
      <w:r>
        <w:t>In the Studio, choose Provider Settings and select Google Cloud Translation. The DeepL plan list becomes disabled because it does not apply.</w:t>
      </w:r>
    </w:p>
    <w:p>
      <w:pPr>
        <w:pStyle w:val="ListNumber"/>
        <w:numPr>
          <w:ilvl w:val="0"/>
          <w:numId w:val="16"/>
        </w:numPr>
      </w:pPr>
      <w:r>
        <w:t>Paste the key into the masked field. Leave Remember securely checked to store it as a Windows Generic Credential, or clear the check box for session-only use.</w:t>
      </w:r>
    </w:p>
    <w:p>
      <w:pPr>
        <w:pStyle w:val="ListNumber"/>
        <w:numPr>
          <w:ilvl w:val="0"/>
          <w:numId w:val="16"/>
        </w:numPr>
      </w:pPr>
      <w:r>
        <w:t>Choose Replace / Save Key, then Test Connection. A successful test translates one small English phrase to Italian.</w:t>
      </w:r>
    </w:p>
    <w:p>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r>
        <w:t>Google Cloud Translation setup: https://docs.cloud.google.com/translate/docs/setup</w:t>
      </w:r>
    </w:p>
    <w:p>
      <w:r>
        <w:t>Google API-key creation and management: https://docs.cloud.google.com/docs/authentication/api-keys</w:t>
      </w:r>
    </w:p>
    <w:p>
      <w:r>
        <w:t>Google API-key restrictions: https://docs.cloud.google.com/api-keys/docs/add-restrictions-api-keys</w:t>
      </w:r>
    </w:p>
    <w:p>
      <w:r>
        <w:t>Cloud Translation authentication: https://docs.cloud.google.com/translate/docs/authentication</w:t>
      </w:r>
    </w:p>
    <w:p>
      <w:pPr>
        <w:pStyle w:val="Heading1"/>
      </w:pPr>
      <w:r>
        <w:t>9. Direct Provider Translation</w:t>
      </w:r>
    </w:p>
    <w:p>
      <w:pPr>
        <w:pStyle w:val="ListNumber"/>
        <w:numPr>
          <w:ilvl w:val="0"/>
          <w:numId w:val="17"/>
        </w:numPr>
      </w:pPr>
      <w:r>
        <w:t>Open or create the target-language catalog.</w:t>
      </w:r>
    </w:p>
    <w:p>
      <w:pPr>
        <w:pStyle w:val="ListNumber"/>
        <w:numPr>
          <w:ilvl w:val="0"/>
          <w:numId w:val="17"/>
        </w:numPr>
      </w:pPr>
      <w:r>
        <w:t>Confirm the source and target language codes.</w:t>
      </w:r>
    </w:p>
    <w:p>
      <w:pPr>
        <w:pStyle w:val="ListNumber"/>
        <w:numPr>
          <w:ilvl w:val="0"/>
          <w:numId w:val="17"/>
        </w:numPr>
      </w:pPr>
      <w:r>
        <w:t>Configure and test a provider under Provider Settings.</w:t>
      </w:r>
    </w:p>
    <w:p>
      <w:pPr>
        <w:pStyle w:val="ListNumber"/>
        <w:numPr>
          <w:ilvl w:val="0"/>
          <w:numId w:val="17"/>
        </w:numPr>
      </w:pPr>
      <w:r>
        <w:t>Choose Translate Automatically on the Translate page.</w:t>
      </w:r>
    </w:p>
    <w:p>
      <w:pPr>
        <w:pStyle w:val="ListNumber"/>
        <w:numPr>
          <w:ilvl w:val="0"/>
          <w:numId w:val="17"/>
        </w:numPr>
      </w:pPr>
      <w:r>
        <w:t>Read the confirmation message showing how many unresolved strings will be sent to the provider. Cross-key suggestions are never accepted automatically.</w:t>
      </w:r>
    </w:p>
    <w:p>
      <w:pPr>
        <w:pStyle w:val="ListNumber"/>
        <w:numPr>
          <w:ilvl w:val="0"/>
          <w:numId w:val="17"/>
        </w:numPr>
      </w:pPr>
      <w:r>
        <w:t>Choose Yes to begin. Existing complete reviewed or approved work is preserved.</w:t>
      </w:r>
    </w:p>
    <w:p>
      <w:pPr>
        <w:pStyle w:val="ListNumber"/>
        <w:numPr>
          <w:ilvl w:val="0"/>
          <w:numId w:val="17"/>
        </w:numPr>
      </w:pPr>
      <w:r>
        <w:t>Wait for all batches. Transient HTTP 429 and provider server failures receive bounded retries.</w:t>
      </w:r>
    </w:p>
    <w:p>
      <w:pPr>
        <w:pStyle w:val="ListNumber"/>
        <w:numPr>
          <w:ilvl w:val="0"/>
          <w:numId w:val="17"/>
        </w:numPr>
      </w:pPr>
      <w:r>
        <w:t>Review every machine-translated entry for meaning, placeholders, accelerators, product terminology, tone, and available control space.</w:t>
      </w:r>
    </w:p>
    <w:p>
      <w:pPr>
        <w:pStyle w:val="ListNumber"/>
        <w:numPr>
          <w:ilvl w:val="0"/>
          <w:numId w:val="17"/>
        </w:numPr>
      </w:pPr>
      <w:r>
        <w:t>The Studio saves the catalog automatically. Run Validation after reviewing the results.</w:t>
      </w:r>
    </w:p>
    <w:p>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pPr>
        <w:pStyle w:val="Heading1"/>
      </w:pPr>
      <w:r>
        <w:t>10. Validate and Export</w:t>
      </w:r>
    </w:p>
    <w:p>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pPr>
        <w:pStyle w:val="ListNumber"/>
        <w:numPr>
          <w:ilvl w:val="0"/>
          <w:numId w:val="18"/>
        </w:numPr>
      </w:pPr>
      <w:r>
        <w:t>Choose Validation and Run Validation.</w:t>
      </w:r>
    </w:p>
    <w:p>
      <w:pPr>
        <w:pStyle w:val="ListNumber"/>
        <w:numPr>
          <w:ilvl w:val="0"/>
          <w:numId w:val="18"/>
        </w:numPr>
      </w:pPr>
      <w:r>
        <w:t>Read the summary: errors block export, warnings request review, and information messages require no action. Double-click an entry-specific issue to open that catalog entry on Translate.</w:t>
      </w:r>
    </w:p>
    <w:p>
      <w:pPr>
        <w:pStyle w:val="ListNumber"/>
        <w:numPr>
          <w:ilvl w:val="0"/>
          <w:numId w:val="18"/>
        </w:numPr>
      </w:pPr>
      <w:r>
        <w:t>Repeat until no errors remain.</w:t>
      </w:r>
    </w:p>
    <w:p>
      <w:pPr>
        <w:pStyle w:val="ListNumber"/>
        <w:numPr>
          <w:ilvl w:val="0"/>
          <w:numId w:val="18"/>
        </w:numPr>
      </w:pPr>
      <w:r>
        <w:t>Choose Export and Export Runtime Pack.</w:t>
      </w:r>
    </w:p>
    <w:p>
      <w:pPr>
        <w:pStyle w:val="ListNumber"/>
        <w:numPr>
          <w:ilvl w:val="0"/>
          <w:numId w:val="18"/>
        </w:numPr>
      </w:pPr>
      <w:r>
        <w:t>Record the output path under Localization\Languages.</w:t>
      </w:r>
    </w:p>
    <w:p>
      <w:pPr>
        <w:pStyle w:val="Heading1"/>
      </w:pPr>
      <w:r>
        <w:t>11. Integrate a Target Application</w:t>
      </w:r>
    </w:p>
    <w:p>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r>
        <w:t>The target application remains completely offline. Provider code and API keys are never added to it. One manager on the primary form supervises the application; ordinary forms do not need individual components.</w:t>
      </w:r>
    </w:p>
    <w:p>
      <w:pPr>
        <w:pStyle w:val="ListNumber"/>
        <w:numPr>
          <w:ilvl w:val="0"/>
          <w:numId w:val="19"/>
        </w:numPr>
      </w:pPr>
      <w:r>
        <w:t>Select Integration and leave Integration method set to Component Integration (Recommended).</w:t>
      </w:r>
    </w:p>
    <w:p>
      <w:pPr>
        <w:pStyle w:val="ListNumber"/>
        <w:numPr>
          <w:ilvl w:val="0"/>
          <w:numId w:val="19"/>
        </w:numPr>
      </w:pPr>
      <w:r>
        <w:t>Choose Build Integration Plan. Confirm the detected framework and translated-pack count.</w:t>
      </w:r>
    </w:p>
    <w:p>
      <w:pPr>
        <w:pStyle w:val="ListNumber"/>
        <w:numPr>
          <w:ilvl w:val="0"/>
          <w:numId w:val="19"/>
        </w:numPr>
      </w:pPr>
      <w:r>
        <w:t>Choose Generate Component Kit. Select README.txt and the generated manifest/files in the read-only inspection panes.</w:t>
      </w:r>
    </w:p>
    <w:p>
      <w:pPr>
        <w:pStyle w:val="ListNumber"/>
        <w:numPr>
          <w:ilvl w:val="0"/>
          <w:numId w:val="19"/>
        </w:numPr>
      </w:pPr>
      <w: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pPr>
        <w:pStyle w:val="ListNumber"/>
        <w:numPr>
          <w:ilvl w:val="0"/>
          <w:numId w:val="19"/>
        </w:numPr>
      </w:pPr>
      <w:r>
        <w:t>Open the target application's primary form in the Delphi Form Designer and place one TDATVCLLanguageManager or TDATFMXLanguageManager from DAT Localization.</w:t>
      </w:r>
    </w:p>
    <w:p>
      <w:pPr>
        <w:pStyle w:val="ListNumber"/>
        <w:numPr>
          <w:ilvl w:val="0"/>
          <w:numId w:val="19"/>
        </w:numPr>
      </w:pPr>
      <w:r>
        <w:t>Set ApplicationId exactly to the detected Delphi project name. Leave LanguagesFolder as Localization\Languages and set SourceLanguage to the catalog source locale, normally en-US.</w:t>
      </w:r>
    </w:p>
    <w:p>
      <w:pPr>
        <w:pStyle w:val="ListNumber"/>
        <w:numPr>
          <w:ilvl w:val="0"/>
          <w:numId w:val="19"/>
        </w:numPr>
      </w:pPr>
      <w:r>
        <w:t>Place TDATVCLLanguageComboBox or TDATFMXLanguageComboBox and set its LanguageManager property to the manager. A connected Language menu is the supported alternative; some visible selector is required.</w:t>
      </w:r>
    </w:p>
    <w:p>
      <w:pPr>
        <w:pStyle w:val="ListNumber"/>
        <w:numPr>
          <w:ilvl w:val="0"/>
          <w:numId w:val="19"/>
        </w:numPr>
      </w:pPr>
      <w:r>
        <w:t>The Setup Wizard adds the kit's ComponentSource folder to the DPROJ Base Search Path, which is inherited by Debug/Release and Win32/Win64.</w:t>
      </w:r>
    </w:p>
    <w:p>
      <w:pPr>
        <w:pStyle w:val="ListNumber"/>
        <w:numPr>
          <w:ilvl w:val="0"/>
          <w:numId w:val="19"/>
        </w:numPr>
      </w:pPr>
      <w:r>
        <w:t>The Setup Wizard adds a post-build command that deploys the kit's Localization folder to the active DCC_ExeOutput directory with PowerShell ExecutionPolicy Bypass.</w:t>
      </w:r>
    </w:p>
    <w:p>
      <w:pPr>
        <w:pStyle w:val="ListNumber"/>
        <w:numPr>
          <w:ilvl w:val="0"/>
          <w:numId w:val="19"/>
        </w:numPr>
      </w:pPr>
      <w:r>
        <w:t>Build and run the target. The saved language is applied during startup. Choosing another locale immediately retranslates open forms and saves the preference.</w:t>
      </w:r>
    </w:p>
    <w:p>
      <w:pPr>
        <w:pStyle w:val="Heading2"/>
      </w:pPr>
      <w:r>
        <w:t>11.1 Component properties and behavior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Property or control</w:t>
            </w:r>
          </w:p>
        </w:tc>
        <w:tc>
          <w:tcPr>
            <w:tcW w:type="dxa" w:w="6660"/>
            <w:shd w:fill="234C80"/>
          </w:tcPr>
          <w:p>
            <w:r>
              <w:rPr>
                <w:b/>
                <w:color w:val="FFFFFF"/>
              </w:rPr>
              <w:t>Purpose</w:t>
            </w:r>
          </w:p>
        </w:tc>
      </w:tr>
      <w:tr>
        <w:trPr>
          <w:cantSplit/>
        </w:trPr>
        <w:tc>
          <w:tcPr>
            <w:tcW w:type="dxa" w:w="2700"/>
            <w:vAlign w:val="center"/>
          </w:tcPr>
          <w:p>
            <w:r>
              <w:t>ApplicationId</w:t>
            </w:r>
          </w:p>
        </w:tc>
        <w:tc>
          <w:tcPr>
            <w:tcW w:type="dxa" w:w="6660"/>
            <w:vAlign w:val="center"/>
          </w:tcPr>
          <w:p>
            <w:r>
              <w:t>Must match runtime-pack applicationId; normally the Delphi project name.</w:t>
            </w:r>
          </w:p>
        </w:tc>
      </w:tr>
      <w:tr>
        <w:trPr>
          <w:cantSplit/>
        </w:trPr>
        <w:tc>
          <w:tcPr>
            <w:tcW w:type="dxa" w:w="2700"/>
            <w:vAlign w:val="center"/>
          </w:tcPr>
          <w:p>
            <w:r>
              <w:t>LanguagesFolder</w:t>
            </w:r>
          </w:p>
        </w:tc>
        <w:tc>
          <w:tcPr>
            <w:tcW w:type="dxa" w:w="6660"/>
            <w:vAlign w:val="center"/>
          </w:tcPr>
          <w:p>
            <w:r>
              <w:t>Pack folder relative to the executable unless an absolute path is supplied.</w:t>
            </w:r>
          </w:p>
        </w:tc>
      </w:tr>
      <w:tr>
        <w:trPr>
          <w:cantSplit/>
        </w:trPr>
        <w:tc>
          <w:tcPr>
            <w:tcW w:type="dxa" w:w="2700"/>
            <w:vAlign w:val="center"/>
          </w:tcPr>
          <w:p>
            <w:r>
              <w:t>SourceLanguage</w:t>
            </w:r>
          </w:p>
        </w:tc>
        <w:tc>
          <w:tcPr>
            <w:tcW w:type="dxa" w:w="6660"/>
            <w:vAlign w:val="center"/>
          </w:tcPr>
          <w:p>
            <w:r>
              <w:t>Source locale used when no translated pack is selected.</w:t>
            </w:r>
          </w:p>
        </w:tc>
      </w:tr>
      <w:tr>
        <w:trPr>
          <w:cantSplit/>
        </w:trPr>
        <w:tc>
          <w:tcPr>
            <w:tcW w:type="dxa" w:w="2700"/>
            <w:vAlign w:val="center"/>
          </w:tcPr>
          <w:p>
            <w:r>
              <w:t>AutoLoadPreferred</w:t>
            </w:r>
          </w:p>
        </w:tc>
        <w:tc>
          <w:tcPr>
            <w:tcW w:type="dxa" w:w="6660"/>
            <w:vAlign w:val="center"/>
          </w:tcPr>
          <w:p>
            <w:r>
              <w:t>Loads the saved per-user locale during manager initialization.</w:t>
            </w:r>
          </w:p>
        </w:tc>
      </w:tr>
      <w:tr>
        <w:trPr>
          <w:cantSplit/>
        </w:trPr>
        <w:tc>
          <w:tcPr>
            <w:tcW w:type="dxa" w:w="2700"/>
            <w:vAlign w:val="center"/>
          </w:tcPr>
          <w:p>
            <w:r>
              <w:t>AutoTranslateOwner / AutoTranslateNewForms</w:t>
            </w:r>
          </w:p>
        </w:tc>
        <w:tc>
          <w:tcPr>
            <w:tcW w:type="dxa" w:w="6660"/>
            <w:vAlign w:val="center"/>
          </w:tcPr>
          <w:p>
            <w:r>
              <w:t>Applies the active pack to the primary and later forms.</w:t>
            </w:r>
          </w:p>
        </w:tc>
      </w:tr>
      <w:tr>
        <w:trPr>
          <w:cantSplit/>
        </w:trPr>
        <w:tc>
          <w:tcPr>
            <w:tcW w:type="dxa" w:w="2700"/>
            <w:vAlign w:val="center"/>
          </w:tcPr>
          <w:p>
            <w:r>
              <w:t>ReapplyOpenForms</w:t>
            </w:r>
          </w:p>
        </w:tc>
        <w:tc>
          <w:tcPr>
            <w:tcW w:type="dxa" w:w="6660"/>
            <w:vAlign w:val="center"/>
          </w:tcPr>
          <w:p>
            <w:r>
              <w:t>Immediately retranslates open forms after a language change.</w:t>
            </w:r>
          </w:p>
        </w:tc>
      </w:tr>
      <w:tr>
        <w:trPr>
          <w:cantSplit/>
        </w:trPr>
        <w:tc>
          <w:tcPr>
            <w:tcW w:type="dxa" w:w="2700"/>
            <w:vAlign w:val="center"/>
          </w:tcPr>
          <w:p>
            <w:r>
              <w:t>PreserveControlState</w:t>
            </w:r>
          </w:p>
        </w:tc>
        <w:tc>
          <w:tcPr>
            <w:tcW w:type="dxa" w:w="6660"/>
            <w:vAlign w:val="center"/>
          </w:tcPr>
          <w:p>
            <w:r>
              <w:t>Protects writable user data, focus, selections, and list selection while text changes.</w:t>
            </w:r>
          </w:p>
        </w:tc>
      </w:tr>
      <w:tr>
        <w:trPr>
          <w:cantSplit/>
        </w:trPr>
        <w:tc>
          <w:tcPr>
            <w:tcW w:type="dxa" w:w="2700"/>
            <w:vAlign w:val="center"/>
          </w:tcPr>
          <w:p>
            <w:r>
              <w:t>FormIdentityMappings</w:t>
            </w:r>
          </w:p>
        </w:tc>
        <w:tc>
          <w:tcPr>
            <w:tcW w:type="dxa" w:w="6660"/>
            <w:vAlign w:val="center"/>
          </w:tcPr>
          <w:p>
            <w:r>
              <w:t>Optional FormClass=ScannerRoot mappings for renamed or inherited forms.</w:t>
            </w:r>
          </w:p>
        </w:tc>
      </w:tr>
      <w:tr>
        <w:trPr>
          <w:cantSplit/>
        </w:trPr>
        <w:tc>
          <w:tcPr>
            <w:tcW w:type="dxa" w:w="2700"/>
            <w:vAlign w:val="center"/>
          </w:tcPr>
          <w:p>
            <w:r>
              <w:t>Language combo box</w:t>
            </w:r>
          </w:p>
        </w:tc>
        <w:tc>
          <w:tcPr>
            <w:tcW w:type="dxa" w:w="6660"/>
            <w:vAlign w:val="center"/>
          </w:tcPr>
          <w:p>
            <w:r>
              <w:t>Populates from validated packs and calls the linked manager without taking over OnChange.</w:t>
            </w:r>
          </w:p>
        </w:tc>
      </w:tr>
    </w:tbl>
    <w:p>
      <w:pPr>
        <w:pStyle w:val="Heading2"/>
      </w:pPr>
      <w:r>
        <w:t>11.2 Runtime files and preferences</w:t>
      </w:r>
    </w:p>
    <w:p>
      <w:pPr>
        <w:pStyle w:val="ListBullet"/>
      </w:pPr>
      <w:r>
        <w:t>Deploy JSON packs beside the target executable under Localization\Languages.</w:t>
      </w:r>
    </w:p>
    <w:p>
      <w:pPr>
        <w:pStyle w:val="ListBullet"/>
      </w:pPr>
      <w:r>
        <w:t>Deploy-LanguagePacks.ps1 and manual copying support custom executable output layouts.</w:t>
      </w:r>
    </w:p>
    <w:p>
      <w:pPr>
        <w:pStyle w:val="ListBullet"/>
      </w:pPr>
      <w:r>
        <w:t>The selected language is stored in %LOCALAPPDATA%\&lt;ApplicationId&gt;\language.ini.</w:t>
      </w:r>
    </w:p>
    <w:p>
      <w:pPr>
        <w:pStyle w:val="ListBullet"/>
      </w:pPr>
      <w:r>
        <w:t>The executable folder can therefore remain read-only, as it normally is under Program Files.</w:t>
      </w:r>
    </w:p>
    <w:p>
      <w:pPr>
        <w:pStyle w:val="ListBullet"/>
      </w:pPr>
      <w:r>
        <w:t>FMX uses additive before-show/release messages. VCL uses additive application idle/modal notifications and direct owner application.</w:t>
      </w:r>
    </w:p>
    <w:p>
      <w:pPr>
        <w:pStyle w:val="ListBullet"/>
      </w:pPr>
      <w:r>
        <w:t>Selecting or reselecting a language applies the selected pack to every open form immediately. English is a real generated pack, so returning from another language restores all scanned source strings without restarting.</w:t>
      </w:r>
    </w:p>
    <w:p>
      <w:pPr>
        <w:pStyle w:val="Heading2"/>
      </w:pPr>
      <w:r>
        <w:t>11.3 Automatic Source Integration (Advanced)</w:t>
      </w:r>
    </w:p>
    <w:p>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pPr>
        <w:pStyle w:val="ListNumber"/>
        <w:numPr>
          <w:ilvl w:val="0"/>
          <w:numId w:val="20"/>
        </w:numPr>
      </w:pPr>
      <w:r>
        <w:t>Change Integration method to Automatic Source Integration (Advanced).</w:t>
      </w:r>
    </w:p>
    <w:p>
      <w:pPr>
        <w:pStyle w:val="ListNumber"/>
        <w:numPr>
          <w:ilvl w:val="0"/>
          <w:numId w:val="20"/>
        </w:numPr>
      </w:pPr>
      <w:r>
        <w:t>Enter the designer language-menu component name and build the plan.</w:t>
      </w:r>
    </w:p>
    <w:p>
      <w:pPr>
        <w:pStyle w:val="ListNumber"/>
        <w:numPr>
          <w:ilvl w:val="0"/>
          <w:numId w:val="20"/>
        </w:numPr>
      </w:pPr>
      <w:r>
        <w:t>Generate the exact preview and inspect any file that needs closer review.</w:t>
      </w:r>
    </w:p>
    <w:p>
      <w:pPr>
        <w:pStyle w:val="ListNumber"/>
        <w:numPr>
          <w:ilvl w:val="0"/>
          <w:numId w:val="20"/>
        </w:numPr>
      </w:pPr>
      <w:r>
        <w:t>Authorize once, optionally select build/deploy, and choose Apply.</w:t>
      </w:r>
    </w:p>
    <w:p>
      <w:pPr>
        <w:pStyle w:val="ListNumber"/>
        <w:numPr>
          <w:ilvl w:val="0"/>
          <w:numId w:val="20"/>
        </w:numPr>
      </w:pPr>
      <w:r>
        <w:t>Use Restore for the session backup or Complete Reset for a recorded pre-integration baseline.</w:t>
      </w:r>
    </w:p>
    <w:p>
      <w:pPr>
        <w:pStyle w:val="Heading1"/>
      </w:pPr>
      <w:r>
        <w:t>12. Translate the Studio Itself</w:t>
      </w:r>
    </w:p>
    <w:p>
      <w:pPr>
        <w:pStyle w:val="ListNumber"/>
        <w:numPr>
          <w:ilvl w:val="0"/>
          <w:numId w:val="21"/>
        </w:numPr>
      </w:pPr>
      <w:r>
        <w:t>Run the English Studio and select DelphiAppTranslationStudio.dproj.</w:t>
      </w:r>
    </w:p>
    <w:p>
      <w:pPr>
        <w:pStyle w:val="ListNumber"/>
        <w:numPr>
          <w:ilvl w:val="0"/>
          <w:numId w:val="21"/>
        </w:numPr>
      </w:pPr>
      <w:r>
        <w:t>Scan it and create the desired language catalog.</w:t>
      </w:r>
    </w:p>
    <w:p>
      <w:pPr>
        <w:pStyle w:val="ListNumber"/>
        <w:numPr>
          <w:ilvl w:val="0"/>
          <w:numId w:val="21"/>
        </w:numPr>
      </w:pPr>
      <w:r>
        <w:t>Translate, review, validate, and export the pack.</w:t>
      </w:r>
    </w:p>
    <w:p>
      <w:pPr>
        <w:pStyle w:val="ListNumber"/>
        <w:numPr>
          <w:ilvl w:val="0"/>
          <w:numId w:val="21"/>
        </w:numPr>
      </w:pPr>
      <w:r>
        <w:t>Copy the exported pack to the Studio project or deployed executable's Localization\Languages folder.</w:t>
      </w:r>
    </w:p>
    <w:p>
      <w:pPr>
        <w:pStyle w:val="ListNumber"/>
        <w:numPr>
          <w:ilvl w:val="0"/>
          <w:numId w:val="21"/>
        </w:numPr>
      </w:pPr>
      <w:r>
        <w:t>Add the locale to the designer-authored Studio Language menu when a selectable menu item is required.</w:t>
      </w:r>
    </w:p>
    <w:p>
      <w:pPr>
        <w:pStyle w:val="ListNumber"/>
        <w:numPr>
          <w:ilvl w:val="0"/>
          <w:numId w:val="21"/>
        </w:numPr>
      </w:pPr>
      <w:r>
        <w:t>Close the running Studio, rebuild when the menu changed, and start the executable.</w:t>
      </w:r>
    </w:p>
    <w:p>
      <w:pPr>
        <w:pStyle w:val="ListNumber"/>
        <w:numPr>
          <w:ilvl w:val="0"/>
          <w:numId w:val="21"/>
        </w:numPr>
      </w:pPr>
      <w:r>
        <w:t>Select the new language. Open forms change immediately and the preference is retained for the next launch.</w:t>
      </w:r>
    </w:p>
    <w:p>
      <w:r>
        <w:t>The running executable is never overwritten. The JSON pack and preference are separate from the executable, and the rebuild supplies the updated menu on the next run.</w:t>
      </w:r>
    </w:p>
    <w:p>
      <w:pPr>
        <w:pStyle w:val="Heading1"/>
      </w:pPr>
      <w:r>
        <w:t>13.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Symptom</w:t>
            </w:r>
          </w:p>
        </w:tc>
        <w:tc>
          <w:tcPr>
            <w:tcW w:type="dxa" w:w="6660"/>
            <w:shd w:fill="234C80"/>
          </w:tcPr>
          <w:p>
            <w:r>
              <w:rPr>
                <w:b/>
                <w:color w:val="FFFFFF"/>
              </w:rPr>
              <w:t>Likely action</w:t>
            </w:r>
          </w:p>
        </w:tc>
      </w:tr>
      <w:tr>
        <w:trPr>
          <w:cantSplit/>
        </w:trPr>
        <w:tc>
          <w:tcPr>
            <w:tcW w:type="dxa" w:w="2700"/>
            <w:vAlign w:val="center"/>
          </w:tcPr>
          <w:p>
            <w:r>
              <w:t>Project framework unknown</w:t>
            </w:r>
          </w:p>
        </w:tc>
        <w:tc>
          <w:tcPr>
            <w:tcW w:type="dxa" w:w="6660"/>
            <w:vAlign w:val="center"/>
          </w:tcPr>
          <w:p>
            <w:r>
              <w:t>Open the .dproj, confirm VCL/FMX units and project metadata, then rescan.</w:t>
            </w:r>
          </w:p>
        </w:tc>
      </w:tr>
      <w:tr>
        <w:trPr>
          <w:cantSplit/>
        </w:trPr>
        <w:tc>
          <w:tcPr>
            <w:tcW w:type="dxa" w:w="2700"/>
            <w:vAlign w:val="center"/>
          </w:tcPr>
          <w:p>
            <w:r>
              <w:t>No scan entries</w:t>
            </w:r>
          </w:p>
        </w:tc>
        <w:tc>
          <w:tcPr>
            <w:tcW w:type="dxa" w:w="6660"/>
            <w:vAlign w:val="center"/>
          </w:tcPr>
          <w:p>
            <w:r>
              <w:t>Confirm text DFM/FMX resources and designated user-visible properties.</w:t>
            </w:r>
          </w:p>
        </w:tc>
      </w:tr>
      <w:tr>
        <w:trPr>
          <w:cantSplit/>
        </w:trPr>
        <w:tc>
          <w:tcPr>
            <w:tcW w:type="dxa" w:w="2700"/>
            <w:vAlign w:val="center"/>
          </w:tcPr>
          <w:p>
            <w:r>
              <w:t>HTTP 401/403</w:t>
            </w:r>
          </w:p>
        </w:tc>
        <w:tc>
          <w:tcPr>
            <w:tcW w:type="dxa" w:w="6660"/>
            <w:vAlign w:val="center"/>
          </w:tcPr>
          <w:p>
            <w:r>
              <w:t>Replace the key; verify provider plan, API enablement, restrictions, and billing.</w:t>
            </w:r>
          </w:p>
        </w:tc>
      </w:tr>
      <w:tr>
        <w:trPr>
          <w:cantSplit/>
        </w:trPr>
        <w:tc>
          <w:tcPr>
            <w:tcW w:type="dxa" w:w="2700"/>
            <w:vAlign w:val="center"/>
          </w:tcPr>
          <w:p>
            <w:r>
              <w:t>HTTP 429</w:t>
            </w:r>
          </w:p>
        </w:tc>
        <w:tc>
          <w:tcPr>
            <w:tcW w:type="dxa" w:w="6660"/>
            <w:vAlign w:val="center"/>
          </w:tcPr>
          <w:p>
            <w:r>
              <w:t>Quota or rate limit reached; wait, reduce batch size, or review provider quota.</w:t>
            </w:r>
          </w:p>
        </w:tc>
      </w:tr>
      <w:tr>
        <w:trPr>
          <w:cantSplit/>
        </w:trPr>
        <w:tc>
          <w:tcPr>
            <w:tcW w:type="dxa" w:w="2700"/>
            <w:vAlign w:val="center"/>
          </w:tcPr>
          <w:p>
            <w:r>
              <w:t>DeepL test fails only on one plan</w:t>
            </w:r>
          </w:p>
        </w:tc>
        <w:tc>
          <w:tcPr>
            <w:tcW w:type="dxa" w:w="6660"/>
            <w:vAlign w:val="center"/>
          </w:tcPr>
          <w:p>
            <w:r>
              <w:t>Select API Free or API Pro to match the account endpoint.</w:t>
            </w:r>
          </w:p>
        </w:tc>
      </w:tr>
      <w:tr>
        <w:trPr>
          <w:cantSplit/>
        </w:trPr>
        <w:tc>
          <w:tcPr>
            <w:tcW w:type="dxa" w:w="2700"/>
            <w:vAlign w:val="center"/>
          </w:tcPr>
          <w:p>
            <w:r>
              <w:t>Google test fails</w:t>
            </w:r>
          </w:p>
        </w:tc>
        <w:tc>
          <w:tcPr>
            <w:tcW w:type="dxa" w:w="6660"/>
            <w:vAlign w:val="center"/>
          </w:tcPr>
          <w:p>
            <w:r>
              <w:t>Confirm Basic v2 Cloud Translation API is enabled and key API restriction permits it.</w:t>
            </w:r>
          </w:p>
        </w:tc>
      </w:tr>
      <w:tr>
        <w:trPr>
          <w:cantSplit/>
        </w:trPr>
        <w:tc>
          <w:tcPr>
            <w:tcW w:type="dxa" w:w="2700"/>
            <w:vAlign w:val="center"/>
          </w:tcPr>
          <w:p>
            <w:r>
              <w:t>Export blocked</w:t>
            </w:r>
          </w:p>
        </w:tc>
        <w:tc>
          <w:tcPr>
            <w:tcW w:type="dxa" w:w="6660"/>
            <w:vAlign w:val="center"/>
          </w:tcPr>
          <w:p>
            <w:r>
              <w:t>Run Validation and correct every error.</w:t>
            </w:r>
          </w:p>
        </w:tc>
      </w:tr>
      <w:tr>
        <w:trPr>
          <w:cantSplit/>
        </w:trPr>
        <w:tc>
          <w:tcPr>
            <w:tcW w:type="dxa" w:w="2700"/>
            <w:vAlign w:val="center"/>
          </w:tcPr>
          <w:p>
            <w:r>
              <w:t>Language selector is empty</w:t>
            </w:r>
          </w:p>
        </w:tc>
        <w:tc>
          <w:tcPr>
            <w:tcW w:type="dxa" w:w="6660"/>
            <w:vAlign w:val="center"/>
          </w:tcPr>
          <w:p>
            <w:r>
              <w:t>Confirm valid nonempty packs, matching applicationId, and the deployed Localization\Languages folder; call RefreshLanguages after late deployment.</w:t>
            </w:r>
          </w:p>
        </w:tc>
      </w:tr>
      <w:tr>
        <w:trPr>
          <w:cantSplit/>
        </w:trPr>
        <w:tc>
          <w:tcPr>
            <w:tcW w:type="dxa" w:w="2700"/>
            <w:vAlign w:val="center"/>
          </w:tcPr>
          <w:p>
            <w:r>
              <w:t>Component missing from Tool Palette</w:t>
            </w:r>
          </w:p>
        </w:tc>
        <w:tc>
          <w:tcPr>
            <w:tcW w:type="dxa" w:w="6660"/>
            <w:vAlign w:val="center"/>
          </w:tcPr>
          <w:p>
            <w:r>
              <w:t>Use Show Design BPL, then Delphi Component &gt; Install Packages &gt; Add. Select the exact self-contained Win32 design BPL.</w:t>
            </w:r>
          </w:p>
        </w:tc>
      </w:tr>
      <w:tr>
        <w:trPr>
          <w:cantSplit/>
        </w:trPr>
        <w:tc>
          <w:tcPr>
            <w:tcW w:type="dxa" w:w="2700"/>
            <w:vAlign w:val="center"/>
          </w:tcPr>
          <w:p>
            <w:r>
              <w:t>Preference cannot be found</w:t>
            </w:r>
          </w:p>
        </w:tc>
        <w:tc>
          <w:tcPr>
            <w:tcW w:type="dxa" w:w="6660"/>
            <w:vAlign w:val="center"/>
          </w:tcPr>
          <w:p>
            <w:r>
              <w:t>Check %LOCALAPPDATA%\&lt;ApplicationId&gt;\language.ini, not the executable folder.</w:t>
            </w:r>
          </w:p>
        </w:tc>
      </w:tr>
      <w:tr>
        <w:trPr>
          <w:cantSplit/>
        </w:trPr>
        <w:tc>
          <w:tcPr>
            <w:tcW w:type="dxa" w:w="2700"/>
            <w:vAlign w:val="center"/>
          </w:tcPr>
          <w:p>
            <w:r>
              <w:t>Target remains English</w:t>
            </w:r>
          </w:p>
        </w:tc>
        <w:tc>
          <w:tcPr>
            <w:tcW w:type="dxa" w:w="6660"/>
            <w:vAlign w:val="center"/>
          </w:tcPr>
          <w:p>
            <w:r>
              <w:t>Confirm manager ApplicationId, JSON applicationId/locale, deployment folder, preference, and manager initialization errors.</w:t>
            </w:r>
          </w:p>
        </w:tc>
      </w:tr>
    </w:tbl>
    <w:p>
      <w:pPr>
        <w:pStyle w:val="Heading1"/>
      </w:pPr>
      <w:r>
        <w:t>14. Security and Privacy</w:t>
      </w:r>
    </w:p>
    <w:p>
      <w:pPr>
        <w:pStyle w:val="ListBullet"/>
      </w:pPr>
      <w:r>
        <w:t>Only confirmed source strings are sent to the selected provider.</w:t>
      </w:r>
    </w:p>
    <w:p>
      <w:pPr>
        <w:pStyle w:val="ListBullet"/>
      </w:pPr>
      <w:r>
        <w:t>Do not send secrets, personal data, customer data, or regulated information as UI text.</w:t>
      </w:r>
    </w:p>
    <w:p>
      <w:pPr>
        <w:pStyle w:val="ListBullet"/>
      </w:pPr>
      <w:r>
        <w:t>Remembered keys are Windows Generic Credentials; session keys are not persisted.</w:t>
      </w:r>
    </w:p>
    <w:p>
      <w:pPr>
        <w:pStyle w:val="ListBullet"/>
      </w:pPr>
      <w:r>
        <w:t>Removing a key affects only the selected provider.</w:t>
      </w:r>
    </w:p>
    <w:p>
      <w:pPr>
        <w:pStyle w:val="ListBullet"/>
      </w:pPr>
      <w:r>
        <w:t>Provider settings JSON contains no API key.</w:t>
      </w:r>
    </w:p>
    <w:p>
      <w:pPr>
        <w:pStyle w:val="ListBullet"/>
      </w:pPr>
      <w:r>
        <w:t>Catalogs, runtime packs, deployment packages, logs, backups, and Git should contain no key.</w:t>
      </w:r>
    </w:p>
    <w:p>
      <w:pPr>
        <w:pStyle w:val="ListBullet"/>
      </w:pPr>
      <w:r>
        <w:t>Rotate a key immediately in the provider console if it may have been exposed, then replace it in the Studio.</w:t>
      </w:r>
    </w:p>
    <w:p>
      <w:pPr>
        <w:pStyle w:val="Heading1"/>
      </w:pPr>
      <w:r>
        <w:t>15. File and Folder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w:t>
            </w:r>
          </w:p>
        </w:tc>
        <w:tc>
          <w:tcPr>
            <w:tcW w:type="dxa" w:w="6660"/>
            <w:shd w:fill="234C80"/>
          </w:tcPr>
          <w:p>
            <w:r>
              <w:rPr>
                <w:b/>
                <w:color w:val="FFFFFF"/>
              </w:rPr>
              <w:t>Contents</w:t>
            </w:r>
          </w:p>
        </w:tc>
      </w:tr>
      <w:tr>
        <w:trPr>
          <w:cantSplit/>
        </w:trPr>
        <w:tc>
          <w:tcPr>
            <w:tcW w:type="dxa" w:w="2700"/>
            <w:vAlign w:val="center"/>
          </w:tcPr>
          <w:p>
            <w:r>
              <w:t>Localization\Development</w:t>
            </w:r>
          </w:p>
        </w:tc>
        <w:tc>
          <w:tcPr>
            <w:tcW w:type="dxa" w:w="6660"/>
            <w:vAlign w:val="center"/>
          </w:tcPr>
          <w:p>
            <w:r>
              <w:t>Editable full development catalogs.</w:t>
            </w:r>
          </w:p>
        </w:tc>
      </w:tr>
      <w:tr>
        <w:trPr>
          <w:cantSplit/>
        </w:trPr>
        <w:tc>
          <w:tcPr>
            <w:tcW w:type="dxa" w:w="2700"/>
            <w:vAlign w:val="center"/>
          </w:tcPr>
          <w:p>
            <w:r>
              <w:t>Localization\Languages</w:t>
            </w:r>
          </w:p>
        </w:tc>
        <w:tc>
          <w:tcPr>
            <w:tcW w:type="dxa" w:w="6660"/>
            <w:vAlign w:val="center"/>
          </w:tcPr>
          <w:p>
            <w:r>
              <w:t>Compact offline runtime JSON packs.</w:t>
            </w:r>
          </w:p>
        </w:tc>
      </w:tr>
      <w:tr>
        <w:trPr>
          <w:cantSplit/>
        </w:trPr>
        <w:tc>
          <w:tcPr>
            <w:tcW w:type="dxa" w:w="2700"/>
            <w:vAlign w:val="center"/>
          </w:tcPr>
          <w:p>
            <w:r>
              <w:t>export</w:t>
            </w:r>
          </w:p>
        </w:tc>
        <w:tc>
          <w:tcPr>
            <w:tcW w:type="dxa" w:w="6660"/>
            <w:vAlign w:val="center"/>
          </w:tcPr>
          <w:p>
            <w:r>
              <w:t>Generated previews and temporary product output.</w:t>
            </w:r>
          </w:p>
        </w:tc>
      </w:tr>
      <w:tr>
        <w:trPr>
          <w:cantSplit/>
        </w:trPr>
        <w:tc>
          <w:tcPr>
            <w:tcW w:type="dxa" w:w="2700"/>
            <w:vAlign w:val="center"/>
          </w:tcPr>
          <w:p>
            <w:r>
              <w:t>export\component-integration</w:t>
            </w:r>
          </w:p>
        </w:tc>
        <w:tc>
          <w:tcPr>
            <w:tcW w:type="dxa" w:w="6660"/>
            <w:vAlign w:val="center"/>
          </w:tcPr>
          <w:p>
            <w:r>
              <w:t>Recommended non-mutating component setup kits.</w:t>
            </w:r>
          </w:p>
        </w:tc>
      </w:tr>
      <w:tr>
        <w:trPr>
          <w:cantSplit/>
        </w:trPr>
        <w:tc>
          <w:tcPr>
            <w:tcW w:type="dxa" w:w="2700"/>
            <w:vAlign w:val="center"/>
          </w:tcPr>
          <w:p>
            <w:r>
              <w:t>packages\runtime / packages\design</w:t>
            </w:r>
          </w:p>
        </w:tc>
        <w:tc>
          <w:tcPr>
            <w:tcW w:type="dxa" w:w="6660"/>
            <w:vAlign w:val="center"/>
          </w:tcPr>
          <w:p>
            <w:r>
              <w:t>Core/framework runtime packages and VCL/FMX IDE packages.</w:t>
            </w:r>
          </w:p>
        </w:tc>
      </w:tr>
      <w:tr>
        <w:trPr>
          <w:cantSplit/>
        </w:trPr>
        <w:tc>
          <w:tcPr>
            <w:tcW w:type="dxa" w:w="2700"/>
            <w:vAlign w:val="center"/>
          </w:tcPr>
          <w:p>
            <w:r>
              <w:t>docs\guides / docs\pdf</w:t>
            </w:r>
          </w:p>
        </w:tc>
        <w:tc>
          <w:tcPr>
            <w:tcW w:type="dxa" w:w="6660"/>
            <w:vAlign w:val="center"/>
          </w:tcPr>
          <w:p>
            <w:r>
              <w:t>Editable guides and companion PDFs.</w:t>
            </w:r>
          </w:p>
        </w:tc>
      </w:tr>
      <w:tr>
        <w:trPr>
          <w:cantSplit/>
        </w:trPr>
        <w:tc>
          <w:tcPr>
            <w:tcW w:type="dxa" w:w="2700"/>
            <w:vAlign w:val="center"/>
          </w:tcPr>
          <w:p>
            <w:r>
              <w:t>%LOCALAPPDATA%\DelphiAppTranslationStudio</w:t>
            </w:r>
          </w:p>
        </w:tc>
        <w:tc>
          <w:tcPr>
            <w:tcW w:type="dxa" w:w="6660"/>
            <w:vAlign w:val="center"/>
          </w:tcPr>
          <w:p>
            <w:r>
              <w:t>Studio settings and language preference, but no remembered key.</w:t>
            </w:r>
          </w:p>
        </w:tc>
      </w:tr>
      <w:tr>
        <w:trPr>
          <w:cantSplit/>
        </w:trPr>
        <w:tc>
          <w:tcPr>
            <w:tcW w:type="dxa" w:w="2700"/>
            <w:vAlign w:val="center"/>
          </w:tcPr>
          <w:p>
            <w:r>
              <w:t>Windows Credential Manager</w:t>
            </w:r>
          </w:p>
        </w:tc>
        <w:tc>
          <w:tcPr>
            <w:tcW w:type="dxa" w:w="6660"/>
            <w:vAlign w:val="center"/>
          </w:tcPr>
          <w:p>
            <w:r>
              <w:t>Remembered DeepL/Google Generic Credentials.</w:t>
            </w:r>
          </w:p>
        </w:tc>
      </w:tr>
      <w:tr>
        <w:trPr>
          <w:cantSplit/>
        </w:trPr>
        <w:tc>
          <w:tcPr>
            <w:tcW w:type="dxa" w:w="2700"/>
            <w:vAlign w:val="center"/>
          </w:tcPr>
          <w:p>
            <w:r>
              <w:t>%LOCALAPPDATA%\&lt;ApplicationId&gt;</w:t>
            </w:r>
          </w:p>
        </w:tc>
        <w:tc>
          <w:tcPr>
            <w:tcW w:type="dxa" w:w="6660"/>
            <w:vAlign w:val="center"/>
          </w:tcPr>
          <w:p>
            <w:r>
              <w:t>Integrated application's selected-language preference.</w:t>
            </w:r>
          </w:p>
        </w:tc>
      </w:tr>
    </w:tbl>
    <w:p>
      <w:pPr>
        <w:pStyle w:val="Heading1"/>
      </w:pPr>
      <w:r>
        <w:t>16. Provider Reference and Change Notice</w:t>
      </w:r>
    </w:p>
    <w:p>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r>
        <w:t>This guide documents the implemented Studio as of August 10, 2026.</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