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User Guide</w:t>
      </w:r>
    </w:p>
    <w:p>
      <w:pPr>
        <w:pStyle w:val="Subtitle"/>
        <w:jc w:val="center"/>
        <w:rPr/>
      </w:pPr>
      <w:r>
        <w:rPr/>
        <w:t>Delphi App Translation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Version 1.0</w:t>
        <w:br/>
        <w:t>Last changed: August 10,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521_2263633017" w:tooltip="1. About This Guide">
            <w:r>
              <w:rPr>
                <w:rStyle w:val="IndexLink"/>
                <w:webHidden/>
              </w:rPr>
              <w:t>1. About This Guide</w:t>
              <w:tab/>
              <w:t>1</w:t>
            </w:r>
          </w:hyperlink>
        </w:p>
        <w:p>
          <w:pPr>
            <w:pStyle w:val="TOC2"/>
            <w:tabs>
              <w:tab w:val="clear" w:pos="9077"/>
              <w:tab w:val="right" w:pos="9359" w:leader="dot"/>
            </w:tabs>
            <w:rPr/>
          </w:pPr>
          <w:hyperlink w:anchor="__RefHeading___Toc1523_2263633017" w:tooltip="1.1 The Parts of the Localization System">
            <w:r>
              <w:rPr>
                <w:rStyle w:val="IndexLink"/>
                <w:webHidden/>
              </w:rPr>
              <w:t>1.1 The Parts of the Localization System</w:t>
              <w:tab/>
              <w:t>1</w:t>
            </w:r>
          </w:hyperlink>
        </w:p>
        <w:p>
          <w:pPr>
            <w:pStyle w:val="TOC2"/>
            <w:tabs>
              <w:tab w:val="clear" w:pos="9077"/>
              <w:tab w:val="right" w:pos="9359" w:leader="dot"/>
            </w:tabs>
            <w:rPr/>
          </w:pPr>
          <w:hyperlink w:anchor="__RefHeading___Toc1525_2263633017" w:tooltip="1.2 What the Studio Changes - and Does Not Change">
            <w:r>
              <w:rPr>
                <w:rStyle w:val="IndexLink"/>
                <w:webHidden/>
              </w:rPr>
              <w:t>1.2 What the Studio Changes - and Does Not Change</w:t>
              <w:tab/>
              <w:t>2</w:t>
            </w:r>
          </w:hyperlink>
        </w:p>
        <w:p>
          <w:pPr>
            <w:pStyle w:val="TOC1"/>
            <w:tabs>
              <w:tab w:val="clear" w:pos="9360"/>
              <w:tab w:val="right" w:pos="9359" w:leader="dot"/>
            </w:tabs>
            <w:rPr/>
          </w:pPr>
          <w:hyperlink w:anchor="__RefHeading___Toc1527_2263633017" w:tooltip="2. Before You Begin">
            <w:r>
              <w:rPr>
                <w:rStyle w:val="IndexLink"/>
                <w:webHidden/>
              </w:rPr>
              <w:t>2. Before You Begin</w:t>
              <w:tab/>
              <w:t>3</w:t>
            </w:r>
          </w:hyperlink>
        </w:p>
        <w:p>
          <w:pPr>
            <w:pStyle w:val="TOC2"/>
            <w:tabs>
              <w:tab w:val="clear" w:pos="9077"/>
              <w:tab w:val="right" w:pos="9359" w:leader="dot"/>
            </w:tabs>
            <w:rPr/>
          </w:pPr>
          <w:hyperlink w:anchor="__RefHeading___Toc1529_2263633017" w:tooltip="2.1 Choose the Setup Path">
            <w:r>
              <w:rPr>
                <w:rStyle w:val="IndexLink"/>
                <w:webHidden/>
              </w:rPr>
              <w:t>2.1 Choose the Setup Path</w:t>
              <w:tab/>
              <w:t>3</w:t>
            </w:r>
          </w:hyperlink>
        </w:p>
        <w:p>
          <w:pPr>
            <w:pStyle w:val="TOC2"/>
            <w:tabs>
              <w:tab w:val="clear" w:pos="9077"/>
              <w:tab w:val="right" w:pos="9359" w:leader="dot"/>
            </w:tabs>
            <w:rPr/>
          </w:pPr>
          <w:hyperlink w:anchor="__RefHeading___Toc1531_2263633017" w:tooltip="2.2 Build or Start the Studio">
            <w:r>
              <w:rPr>
                <w:rStyle w:val="IndexLink"/>
                <w:webHidden/>
              </w:rPr>
              <w:t>2.2 Build or Start the Studio</w:t>
              <w:tab/>
              <w:t>4</w:t>
            </w:r>
          </w:hyperlink>
        </w:p>
        <w:p>
          <w:pPr>
            <w:pStyle w:val="TOC2"/>
            <w:tabs>
              <w:tab w:val="clear" w:pos="9077"/>
              <w:tab w:val="right" w:pos="9359" w:leader="dot"/>
            </w:tabs>
            <w:rPr/>
          </w:pPr>
          <w:hyperlink w:anchor="__RefHeading___Toc1533_2263633017" w:tooltip="2.3 Install the Localization Components">
            <w:r>
              <w:rPr>
                <w:rStyle w:val="IndexLink"/>
                <w:webHidden/>
              </w:rPr>
              <w:t>2.3 Install the Localization Components</w:t>
              <w:tab/>
              <w:t>4</w:t>
            </w:r>
          </w:hyperlink>
        </w:p>
        <w:p>
          <w:pPr>
            <w:pStyle w:val="TOC1"/>
            <w:tabs>
              <w:tab w:val="clear" w:pos="9360"/>
              <w:tab w:val="right" w:pos="9359" w:leader="dot"/>
            </w:tabs>
            <w:rPr/>
          </w:pPr>
          <w:hyperlink w:anchor="__RefHeading___Toc1535_2263633017" w:tooltip="3. The End-to-End Workflow">
            <w:r>
              <w:rPr>
                <w:rStyle w:val="IndexLink"/>
                <w:webHidden/>
              </w:rPr>
              <w:t>3. The End-to-End Workflow</w:t>
              <w:tab/>
              <w:t>5</w:t>
            </w:r>
          </w:hyperlink>
        </w:p>
        <w:p>
          <w:pPr>
            <w:pStyle w:val="TOC1"/>
            <w:tabs>
              <w:tab w:val="clear" w:pos="9360"/>
              <w:tab w:val="right" w:pos="9359" w:leader="dot"/>
            </w:tabs>
            <w:rPr/>
          </w:pPr>
          <w:hyperlink w:anchor="__RefHeading___Toc1537_2263633017" w:tooltip="4. Open and Scan a Project">
            <w:r>
              <w:rPr>
                <w:rStyle w:val="IndexLink"/>
                <w:webHidden/>
              </w:rPr>
              <w:t>4. Open and Scan a Project</w:t>
              <w:tab/>
              <w:t>6</w:t>
            </w:r>
          </w:hyperlink>
        </w:p>
        <w:p>
          <w:pPr>
            <w:pStyle w:val="TOC2"/>
            <w:tabs>
              <w:tab w:val="clear" w:pos="9077"/>
              <w:tab w:val="right" w:pos="9359" w:leader="dot"/>
            </w:tabs>
            <w:rPr/>
          </w:pPr>
          <w:hyperlink w:anchor="__RefHeading___Toc1539_2263633017" w:tooltip="4.1 Text that is collected">
            <w:r>
              <w:rPr>
                <w:rStyle w:val="IndexLink"/>
                <w:webHidden/>
              </w:rPr>
              <w:t>4.1 Text that is collected</w:t>
              <w:tab/>
              <w:t>6</w:t>
            </w:r>
          </w:hyperlink>
        </w:p>
        <w:p>
          <w:pPr>
            <w:pStyle w:val="TOC1"/>
            <w:tabs>
              <w:tab w:val="clear" w:pos="9360"/>
              <w:tab w:val="right" w:pos="9359" w:leader="dot"/>
            </w:tabs>
            <w:rPr/>
          </w:pPr>
          <w:hyperlink w:anchor="__RefHeading___Toc1541_2263633017" w:tooltip="5. Create and Edit a Language Catalog">
            <w:r>
              <w:rPr>
                <w:rStyle w:val="IndexLink"/>
                <w:webHidden/>
              </w:rPr>
              <w:t>5. Create and Edit a Language Catalog</w:t>
              <w:tab/>
              <w:t>6</w:t>
            </w:r>
          </w:hyperlink>
        </w:p>
        <w:p>
          <w:pPr>
            <w:pStyle w:val="TOC2"/>
            <w:tabs>
              <w:tab w:val="clear" w:pos="9077"/>
              <w:tab w:val="right" w:pos="9359" w:leader="dot"/>
            </w:tabs>
            <w:rPr/>
          </w:pPr>
          <w:hyperlink w:anchor="__RefHeading___Toc1543_2263633017" w:tooltip="5.1 Translation statuses">
            <w:r>
              <w:rPr>
                <w:rStyle w:val="IndexLink"/>
                <w:webHidden/>
              </w:rPr>
              <w:t>5.1 Translation statuses</w:t>
              <w:tab/>
              <w:t>7</w:t>
            </w:r>
          </w:hyperlink>
        </w:p>
        <w:p>
          <w:pPr>
            <w:pStyle w:val="TOC2"/>
            <w:tabs>
              <w:tab w:val="clear" w:pos="9077"/>
              <w:tab w:val="right" w:pos="9359" w:leader="dot"/>
            </w:tabs>
            <w:rPr/>
          </w:pPr>
          <w:hyperlink w:anchor="__RefHeading___Toc1545_2263633017" w:tooltip="5.2 Automatic Google or DeepL workflow">
            <w:r>
              <w:rPr>
                <w:rStyle w:val="IndexLink"/>
                <w:webHidden/>
              </w:rPr>
              <w:t>5.2 Automatic Google or DeepL workflow</w:t>
              <w:tab/>
              <w:t>7</w:t>
            </w:r>
          </w:hyperlink>
        </w:p>
        <w:p>
          <w:pPr>
            <w:pStyle w:val="TOC2"/>
            <w:tabs>
              <w:tab w:val="clear" w:pos="9077"/>
              <w:tab w:val="right" w:pos="9359" w:leader="dot"/>
            </w:tabs>
            <w:rPr/>
          </w:pPr>
          <w:hyperlink w:anchor="__RefHeading___Toc1547_2263633017" w:tooltip="5.3 Safety, context, and focused review">
            <w:r>
              <w:rPr>
                <w:rStyle w:val="IndexLink"/>
                <w:webHidden/>
              </w:rPr>
              <w:t>5.3 Safety, context, and focused review</w:t>
              <w:tab/>
              <w:t>8</w:t>
            </w:r>
          </w:hyperlink>
        </w:p>
        <w:p>
          <w:pPr>
            <w:pStyle w:val="TOC1"/>
            <w:tabs>
              <w:tab w:val="clear" w:pos="9360"/>
              <w:tab w:val="right" w:pos="9359" w:leader="dot"/>
            </w:tabs>
            <w:rPr/>
          </w:pPr>
          <w:hyperlink w:anchor="__RefHeading___Toc1549_2263633017" w:tooltip="6. Provider Settings and Secure Key Storage">
            <w:r>
              <w:rPr>
                <w:rStyle w:val="IndexLink"/>
                <w:webHidden/>
              </w:rPr>
              <w:t>6. Provider Settings and Secure Key Storage</w:t>
              <w:tab/>
              <w:t>9</w:t>
            </w:r>
          </w:hyperlink>
        </w:p>
        <w:p>
          <w:pPr>
            <w:pStyle w:val="TOC1"/>
            <w:tabs>
              <w:tab w:val="clear" w:pos="9360"/>
              <w:tab w:val="right" w:pos="9359" w:leader="dot"/>
            </w:tabs>
            <w:rPr/>
          </w:pPr>
          <w:hyperlink w:anchor="__RefHeading___Toc1551_2263633017" w:tooltip="7. Obtain and Enter a DeepL API Key">
            <w:r>
              <w:rPr>
                <w:rStyle w:val="IndexLink"/>
                <w:webHidden/>
              </w:rPr>
              <w:t>7. Obtain and Enter a DeepL API Key</w:t>
              <w:tab/>
              <w:t>9</w:t>
            </w:r>
          </w:hyperlink>
        </w:p>
        <w:p>
          <w:pPr>
            <w:pStyle w:val="TOC1"/>
            <w:tabs>
              <w:tab w:val="clear" w:pos="9360"/>
              <w:tab w:val="right" w:pos="9359" w:leader="dot"/>
            </w:tabs>
            <w:rPr/>
          </w:pPr>
          <w:hyperlink w:anchor="__RefHeading___Toc1553_2263633017" w:tooltip="8. Obtain and Enter a Google API Key">
            <w:r>
              <w:rPr>
                <w:rStyle w:val="IndexLink"/>
                <w:webHidden/>
              </w:rPr>
              <w:t>8. Obtain and Enter a Google API Key</w:t>
              <w:tab/>
              <w:t>10</w:t>
            </w:r>
          </w:hyperlink>
        </w:p>
        <w:p>
          <w:pPr>
            <w:pStyle w:val="TOC1"/>
            <w:tabs>
              <w:tab w:val="clear" w:pos="9360"/>
              <w:tab w:val="right" w:pos="9359" w:leader="dot"/>
            </w:tabs>
            <w:rPr/>
          </w:pPr>
          <w:hyperlink w:anchor="__RefHeading___Toc1555_2263633017" w:tooltip="9. Direct Provider Translation">
            <w:r>
              <w:rPr>
                <w:rStyle w:val="IndexLink"/>
                <w:webHidden/>
              </w:rPr>
              <w:t>9. Direct Provider Translation</w:t>
              <w:tab/>
              <w:t>11</w:t>
            </w:r>
          </w:hyperlink>
        </w:p>
        <w:p>
          <w:pPr>
            <w:pStyle w:val="TOC1"/>
            <w:tabs>
              <w:tab w:val="clear" w:pos="9360"/>
              <w:tab w:val="right" w:pos="9359" w:leader="dot"/>
            </w:tabs>
            <w:rPr/>
          </w:pPr>
          <w:hyperlink w:anchor="__RefHeading___Toc1557_2263633017" w:tooltip="10. Validate and Export">
            <w:r>
              <w:rPr>
                <w:rStyle w:val="IndexLink"/>
                <w:webHidden/>
              </w:rPr>
              <w:t>10. Validate and Export</w:t>
              <w:tab/>
              <w:t>12</w:t>
            </w:r>
          </w:hyperlink>
        </w:p>
        <w:p>
          <w:pPr>
            <w:pStyle w:val="TOC1"/>
            <w:tabs>
              <w:tab w:val="clear" w:pos="9360"/>
              <w:tab w:val="right" w:pos="9359" w:leader="dot"/>
            </w:tabs>
            <w:rPr/>
          </w:pPr>
          <w:hyperlink w:anchor="__RefHeading___Toc1559_2263633017" w:tooltip="11. Integrate a Target Application">
            <w:r>
              <w:rPr>
                <w:rStyle w:val="IndexLink"/>
                <w:webHidden/>
              </w:rPr>
              <w:t>11. Integrate a Target Application</w:t>
              <w:tab/>
              <w:t>12</w:t>
            </w:r>
          </w:hyperlink>
        </w:p>
        <w:p>
          <w:pPr>
            <w:pStyle w:val="TOC2"/>
            <w:tabs>
              <w:tab w:val="clear" w:pos="9077"/>
              <w:tab w:val="right" w:pos="9359" w:leader="dot"/>
            </w:tabs>
            <w:rPr/>
          </w:pPr>
          <w:hyperlink w:anchor="__RefHeading___Toc1561_2263633017" w:tooltip="11.1 Component properties and behavior">
            <w:r>
              <w:rPr>
                <w:rStyle w:val="IndexLink"/>
                <w:webHidden/>
              </w:rPr>
              <w:t>11.1 Component properties and behavior</w:t>
              <w:tab/>
              <w:t>13</w:t>
            </w:r>
          </w:hyperlink>
        </w:p>
        <w:p>
          <w:pPr>
            <w:pStyle w:val="TOC2"/>
            <w:tabs>
              <w:tab w:val="clear" w:pos="9077"/>
              <w:tab w:val="right" w:pos="9359" w:leader="dot"/>
            </w:tabs>
            <w:rPr/>
          </w:pPr>
          <w:hyperlink w:anchor="__RefHeading___Toc1563_2263633017" w:tooltip="11.2 Runtime files and preferences">
            <w:r>
              <w:rPr>
                <w:rStyle w:val="IndexLink"/>
                <w:webHidden/>
              </w:rPr>
              <w:t>11.2 Runtime files and preferences</w:t>
              <w:tab/>
              <w:t>14</w:t>
            </w:r>
          </w:hyperlink>
        </w:p>
        <w:p>
          <w:pPr>
            <w:pStyle w:val="TOC2"/>
            <w:tabs>
              <w:tab w:val="clear" w:pos="9077"/>
              <w:tab w:val="right" w:pos="9359" w:leader="dot"/>
            </w:tabs>
            <w:rPr/>
          </w:pPr>
          <w:hyperlink w:anchor="__RefHeading___Toc1565_2263633017" w:tooltip="11.3 Automatic Source Integration (Advanced)">
            <w:r>
              <w:rPr>
                <w:rStyle w:val="IndexLink"/>
                <w:webHidden/>
              </w:rPr>
              <w:t>11.3 Automatic Source Integration (Advanced)</w:t>
              <w:tab/>
              <w:t>14</w:t>
            </w:r>
          </w:hyperlink>
        </w:p>
        <w:p>
          <w:pPr>
            <w:pStyle w:val="TOC1"/>
            <w:tabs>
              <w:tab w:val="clear" w:pos="9360"/>
              <w:tab w:val="right" w:pos="9359" w:leader="dot"/>
            </w:tabs>
            <w:rPr/>
          </w:pPr>
          <w:hyperlink w:anchor="__RefHeading___Toc1567_2263633017" w:tooltip="12. Translate the Studio Itself">
            <w:r>
              <w:rPr>
                <w:rStyle w:val="IndexLink"/>
                <w:webHidden/>
              </w:rPr>
              <w:t>12. Translate the Studio Itself</w:t>
              <w:tab/>
              <w:t>14</w:t>
            </w:r>
          </w:hyperlink>
        </w:p>
        <w:p>
          <w:pPr>
            <w:pStyle w:val="TOC1"/>
            <w:tabs>
              <w:tab w:val="clear" w:pos="9360"/>
              <w:tab w:val="right" w:pos="9359" w:leader="dot"/>
            </w:tabs>
            <w:rPr/>
          </w:pPr>
          <w:hyperlink w:anchor="__RefHeading___Toc1569_2263633017" w:tooltip="13. Troubleshooting">
            <w:r>
              <w:rPr>
                <w:rStyle w:val="IndexLink"/>
                <w:webHidden/>
              </w:rPr>
              <w:t>13. Troubleshooting</w:t>
              <w:tab/>
              <w:t>15</w:t>
            </w:r>
          </w:hyperlink>
        </w:p>
        <w:p>
          <w:pPr>
            <w:pStyle w:val="TOC1"/>
            <w:tabs>
              <w:tab w:val="clear" w:pos="9360"/>
              <w:tab w:val="right" w:pos="9359" w:leader="dot"/>
            </w:tabs>
            <w:rPr/>
          </w:pPr>
          <w:hyperlink w:anchor="__RefHeading___Toc1571_2263633017" w:tooltip="14. Security and Privacy">
            <w:r>
              <w:rPr>
                <w:rStyle w:val="IndexLink"/>
                <w:webHidden/>
              </w:rPr>
              <w:t>14. Security and Privacy</w:t>
              <w:tab/>
              <w:t>16</w:t>
            </w:r>
          </w:hyperlink>
        </w:p>
        <w:p>
          <w:pPr>
            <w:pStyle w:val="TOC1"/>
            <w:tabs>
              <w:tab w:val="clear" w:pos="9360"/>
              <w:tab w:val="right" w:pos="9359" w:leader="dot"/>
            </w:tabs>
            <w:rPr/>
          </w:pPr>
          <w:hyperlink w:anchor="__RefHeading___Toc1573_2263633017" w:tooltip="15. File and Folder Reference">
            <w:r>
              <w:rPr>
                <w:rStyle w:val="IndexLink"/>
                <w:webHidden/>
              </w:rPr>
              <w:t>15. File and Folder Reference</w:t>
              <w:tab/>
              <w:t>16</w:t>
            </w:r>
          </w:hyperlink>
        </w:p>
        <w:p>
          <w:pPr>
            <w:pStyle w:val="TOC1"/>
            <w:tabs>
              <w:tab w:val="clear" w:pos="9360"/>
              <w:tab w:val="right" w:pos="9359" w:leader="dot"/>
            </w:tabs>
            <w:rPr/>
          </w:pPr>
          <w:hyperlink w:anchor="__RefHeading___Toc1575_2263633017" w:tooltip="16. Provider Reference and Change Notice">
            <w:r>
              <w:rPr>
                <w:rStyle w:val="IndexLink"/>
                <w:webHidden/>
              </w:rPr>
              <w:t>16. Provider Reference and Change Notice</w:t>
              <w:tab/>
              <w:t>17</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1521_2263633017"/>
      <w:bookmarkEnd w:id="0"/>
      <w:r>
        <w:rPr/>
        <w:t>1. About This Guide</w:t>
      </w:r>
    </w:p>
    <w:p>
      <w:pPr>
        <w:pStyle w:val="Normal"/>
        <w:rPr/>
      </w:pPr>
      <w:r>
        <w:rP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pPr>
        <w:pStyle w:val="Normal"/>
        <w:rPr/>
      </w:pPr>
      <w:r>
        <w:rP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pPr>
        <w:pStyle w:val="Normal"/>
        <w:rPr/>
      </w:pPr>
      <w:r>
        <w:rP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pPr>
        <w:pStyle w:val="Normal"/>
        <w:rPr/>
      </w:pPr>
      <w:r>
        <w:rP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Offline by design. </w:t>
            </w:r>
            <w:r>
              <w:rPr/>
              <w:t>Only the developer's Studio computer needs Internet access while creating translations. The finished target application reads local JSON language packs and never needs Internet access, a provider account, or an API key.</w:t>
            </w:r>
          </w:p>
        </w:tc>
      </w:tr>
    </w:tbl>
    <w:p>
      <w:pPr>
        <w:pStyle w:val="Heading2"/>
        <w:rPr/>
      </w:pPr>
      <w:bookmarkStart w:id="1" w:name="__RefHeading___Toc1523_2263633017"/>
      <w:bookmarkEnd w:id="1"/>
      <w:r>
        <w:rPr/>
        <w:t>1.1 The Parts of the Localization System</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Part</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is</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exists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Studio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tool used while preparing a project.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Scans text, calls Google or DeepL, validates results, and builds deployable files.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Development catalog</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detailed JSON working file under Localization\Development.</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Preserves source text, translations, review state, origin, runtime classification, and locale settings between scans.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Runtime language pack</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compact JSON file under Localization\Languages, such as es-ES.json.</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Supplies translated text to the finished application without Internet access or an API key.</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TDAT language manager component</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One nonvisual VCL or FMX component placed on the application's primary form.</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Loads packs, remembers the selected language, translates open forms, and supervises forms opened later.</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required user-facing language choice, normally the visual DAT combo-box linked to the manager.</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Shows installed languages and switches immediately. A connected Language menu may be used instead.</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integration kit</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generated, project-specific folder under the Studio export tree.</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Provides component source, packs, deployment script, manifest, and exact integration instructions without rewriting the target project.</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What 'manager' means in this guide. </w:t>
            </w:r>
            <w:r>
              <w:rP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rPr/>
      </w:pPr>
      <w:bookmarkStart w:id="2" w:name="__RefHeading___Toc1525_2263633017"/>
      <w:bookmarkEnd w:id="2"/>
      <w:r>
        <w:rPr/>
        <w:t>1.2 What the Studio Changes - and Does Not Change</w:t>
      </w:r>
    </w:p>
    <w:p>
      <w:pPr>
        <w:pStyle w:val="ListBullet"/>
        <w:numPr>
          <w:ilvl w:val="0"/>
          <w:numId w:val="1"/>
        </w:numPr>
        <w:ind w:hanging="271" w:start="540"/>
        <w:rPr/>
      </w:pPr>
      <w:r>
        <w:rPr/>
        <w:t>Scanning is read-only and does not alter the selected project.</w:t>
      </w:r>
    </w:p>
    <w:p>
      <w:pPr>
        <w:pStyle w:val="ListBullet"/>
        <w:numPr>
          <w:ilvl w:val="0"/>
          <w:numId w:val="1"/>
        </w:numPr>
        <w:ind w:hanging="271" w:start="540"/>
        <w:rPr/>
      </w:pPr>
      <w:r>
        <w:rPr/>
        <w:t>Saving creates project-local Localization\Development catalog files.</w:t>
      </w:r>
    </w:p>
    <w:p>
      <w:pPr>
        <w:pStyle w:val="ListBullet"/>
        <w:numPr>
          <w:ilvl w:val="0"/>
          <w:numId w:val="1"/>
        </w:numPr>
        <w:ind w:hanging="271" w:start="540"/>
        <w:rPr/>
      </w:pPr>
      <w:r>
        <w:rPr/>
        <w:t>Export creates project-local Localization\Languages runtime packs.</w:t>
      </w:r>
    </w:p>
    <w:p>
      <w:pPr>
        <w:pStyle w:val="ListBullet"/>
        <w:numPr>
          <w:ilvl w:val="0"/>
          <w:numId w:val="1"/>
        </w:numPr>
        <w:ind w:hanging="271" w:start="540"/>
        <w:rPr/>
      </w:pPr>
      <w:r>
        <w:rPr/>
        <w:t>Component Integration generates a setup kit under the Studio export folder and does not write to the selected target project.</w:t>
      </w:r>
    </w:p>
    <w:p>
      <w:pPr>
        <w:pStyle w:val="ListBullet"/>
        <w:numPr>
          <w:ilvl w:val="0"/>
          <w:numId w:val="1"/>
        </w:numPr>
        <w:ind w:hanging="271" w:start="540"/>
        <w:rPr/>
      </w:pPr>
      <w:r>
        <w:rPr/>
        <w:t>The developer places one TDAT language manager component on the primary form in Delphi. Delphi then makes its normal, visible form-resource and unit-reference changes, exactly as it does for any other design-time component.</w:t>
      </w:r>
    </w:p>
    <w:p>
      <w:pPr>
        <w:pStyle w:val="ListBullet"/>
        <w:numPr>
          <w:ilvl w:val="0"/>
          <w:numId w:val="1"/>
        </w:numPr>
        <w:ind w:hanging="271" w:start="540"/>
        <w:rPr/>
      </w:pPr>
      <w:r>
        <w:rPr/>
        <w:t>Automatic Source Integration remains an explicit advanced fallback with preview, verified backup, apply, and restore.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Protect the original project. </w:t>
            </w:r>
            <w:r>
              <w:rP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rPr/>
      </w:pPr>
      <w:bookmarkStart w:id="3" w:name="__RefHeading___Toc1527_2263633017"/>
      <w:bookmarkEnd w:id="3"/>
      <w:r>
        <w:rPr/>
        <w:t>2. Before You Begin</w:t>
      </w:r>
    </w:p>
    <w:p>
      <w:pPr>
        <w:pStyle w:val="Normal"/>
        <w:rPr/>
      </w:pPr>
      <w:r>
        <w:rP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pPr>
        <w:pStyle w:val="Normal"/>
        <w:rPr/>
      </w:pPr>
      <w:r>
        <w:rPr/>
        <w:t>No Git installation is required to use the Studio. Git is one convenient safety check for developers who already use it; a verified folder copy or other normal backup system is equally acceptable.</w:t>
      </w:r>
    </w:p>
    <w:p>
      <w:pPr>
        <w:pStyle w:val="Normal"/>
        <w:rPr/>
      </w:pPr>
      <w:r>
        <w:rPr/>
        <w:t>Build products are placed under bin\&lt;Platform&gt;\&lt;Configuration&gt;. Compiler units are placed under dcu. The project deliberately does not target mobile or macOS platforms.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Prepare</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Reason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clean test copy of the target project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Keeps the original application available if the evaluation is abandoned.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successful Win32 or Win64 build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Confirms the target project is healthy before localization work begins.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Text-based DFM or FMX resources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scanner reads designer text resources; binary legacy DFM files must first be converted through Delphi.</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Google Cloud Translation or DeepL API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runs on the developer's computer. The deployed application remains offline.</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 access for one manual component step</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Delphi itself installs the design package and places the manager component on the primary form.</w:t>
            </w:r>
          </w:p>
        </w:tc>
      </w:tr>
    </w:tbl>
    <w:p>
      <w:pPr>
        <w:pStyle w:val="Heading2"/>
        <w:rPr/>
      </w:pPr>
      <w:bookmarkStart w:id="4" w:name="__RefHeading___Toc1529_2263633017"/>
      <w:bookmarkEnd w:id="4"/>
      <w:r>
        <w:rPr/>
        <w:t>2.1 Choose the Setup Path</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Path</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Choose it when</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Where to begin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Setup Wizard - recommended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This is the first project, or the developer wants the Studio to lead and verify the sequence.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Start Setup Wizard and follow the separate Setup Wizard Guide.</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Manual Studio workflow</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understands catalogs and wants direct access to individual Project, Scan, Translate, Validation, Export, Integration, and Provider Settings pages.</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Continue with Chapter 3 of this User Guide.</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Automatic Source Integration - advanced</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component approach is unsuitable and the developer explicitly accepts reviewed source edits.</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Read Chapter 11.3 and use only a protected project copy.</w:t>
            </w:r>
          </w:p>
        </w:tc>
      </w:tr>
    </w:tbl>
    <w:p>
      <w:pPr>
        <w:pStyle w:val="Heading2"/>
        <w:rPr/>
      </w:pPr>
      <w:bookmarkStart w:id="5" w:name="__RefHeading___Toc1531_2263633017"/>
      <w:bookmarkEnd w:id="5"/>
      <w:r>
        <w:rPr/>
        <w:t>2.2 Build or Start the Studio</w:t>
      </w:r>
    </w:p>
    <w:p>
      <w:pPr>
        <w:pStyle w:val="ListNumber"/>
        <w:numPr>
          <w:ilvl w:val="0"/>
          <w:numId w:val="20"/>
        </w:numPr>
        <w:rPr/>
      </w:pPr>
      <w:r>
        <w:rPr/>
        <w:t>To use an existing build, run DelphiAppTranslationStudio.exe from bin\Win32\Release or bin\Win64\Release. Debug builds are intended for diagnosis.</w:t>
      </w:r>
    </w:p>
    <w:p>
      <w:pPr>
        <w:pStyle w:val="ListNumber"/>
        <w:numPr>
          <w:ilvl w:val="0"/>
          <w:numId w:val="7"/>
        </w:numPr>
        <w:rPr/>
      </w:pPr>
      <w:r>
        <w:rPr/>
        <w:t>To compile from source, open DelphiAppTranslationStudio.dproj in RAD Studio, select Win32 or Win64 and Debug or Release, then choose Project &gt; Build DelphiAppTranslationStudio.</w:t>
      </w:r>
    </w:p>
    <w:p>
      <w:pPr>
        <w:pStyle w:val="ListNumber"/>
        <w:numPr>
          <w:ilvl w:val="0"/>
          <w:numId w:val="7"/>
        </w:numPr>
        <w:rPr/>
      </w:pPr>
      <w:r>
        <w:rPr/>
        <w:t>Confirm that the build writes the executable under bin\&lt;Platform&gt;\&lt;Configuration&gt; and compiler units under dcu\&lt;Platform&gt;\&lt;Configuration&gt;.</w:t>
      </w:r>
    </w:p>
    <w:p>
      <w:pPr>
        <w:pStyle w:val="ListNumber"/>
        <w:numPr>
          <w:ilvl w:val="0"/>
          <w:numId w:val="7"/>
        </w:numPr>
        <w:rPr/>
      </w:pPr>
      <w:r>
        <w:rPr/>
        <w:t>Start the executable and confirm that Delphi App Translation Studio opens maximized. The Project page offers Start Setup Wizard for first-time use and Open Project for the manual workflow.</w:t>
      </w:r>
    </w:p>
    <w:p>
      <w:pPr>
        <w:pStyle w:val="Heading2"/>
        <w:rPr/>
      </w:pPr>
      <w:bookmarkStart w:id="6" w:name="__RefHeading___Toc1533_2263633017"/>
      <w:bookmarkEnd w:id="6"/>
      <w:r>
        <w:rPr/>
        <w:t>2.3 Install the Localization Components</w:t>
      </w:r>
    </w:p>
    <w:p>
      <w:pPr>
        <w:pStyle w:val="Normal"/>
        <w:rPr/>
      </w:pPr>
      <w:r>
        <w:rP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pPr>
        <w:pStyle w:val="Normal"/>
        <w:rPr/>
      </w:pPr>
      <w:r>
        <w:rP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21"/>
        </w:numPr>
        <w:rPr/>
      </w:pPr>
      <w:r>
        <w:rP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7"/>
        </w:numPr>
        <w:rPr/>
      </w:pPr>
      <w:r>
        <w:rPr/>
        <w:t>Choose Build Integration Plan. The Studio enables Show Design BPL for the detected VCL or FMX framework.</w:t>
      </w:r>
    </w:p>
    <w:p>
      <w:pPr>
        <w:pStyle w:val="ListNumber"/>
        <w:numPr>
          <w:ilvl w:val="0"/>
          <w:numId w:val="7"/>
        </w:numPr>
        <w:rPr/>
      </w:pPr>
      <w:r>
        <w:rPr/>
        <w:t>Choose Show Design BPL. File Explorer selects DATLanguageManagerVCLDesign.bpl or DATLanguageManagerFMXDesign.bpl in the Studio's stable bin\packages\Win32\Release folder.</w:t>
      </w:r>
    </w:p>
    <w:p>
      <w:pPr>
        <w:pStyle w:val="ListNumber"/>
        <w:numPr>
          <w:ilvl w:val="0"/>
          <w:numId w:val="7"/>
        </w:numPr>
        <w:rPr/>
      </w:pPr>
      <w:r>
        <w:rPr/>
        <w:t>Start RAD Studio without opening the target form. Choose Component &gt; Install Packages, choose Add, select the exact design .bpl shown by the Studio, and choose Open.</w:t>
      </w:r>
    </w:p>
    <w:p>
      <w:pPr>
        <w:pStyle w:val="ListNumber"/>
        <w:numPr>
          <w:ilvl w:val="0"/>
          <w:numId w:val="7"/>
        </w:numPr>
        <w:rPr/>
      </w:pPr>
      <w:r>
        <w:rP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7"/>
        </w:numPr>
        <w:rPr/>
      </w:pPr>
      <w:r>
        <w:rPr/>
        <w:t>Never choose Component &gt; Install Component and never select a .dpk. A .dpk is package source; Delphi installs the compiled Win32 design .bpl through Install Packages.</w:t>
      </w:r>
    </w:p>
    <w:p>
      <w:pPr>
        <w:pStyle w:val="ListNumber"/>
        <w:numPr>
          <w:ilvl w:val="0"/>
          <w:numId w:val="7"/>
        </w:numPr>
        <w:rPr/>
      </w:pPr>
      <w:r>
        <w:rP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7"/>
        </w:numPr>
        <w:rPr/>
      </w:pPr>
      <w:r>
        <w:rPr/>
        <w:t>Normally linked applications compile the generated kit's ComponentSource units into the executable. The target does not need DAT runtime BPLs beside it.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Delphi-controlled installation. </w:t>
            </w:r>
            <w:r>
              <w:rP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rPr/>
      </w:pPr>
      <w:bookmarkStart w:id="7" w:name="__RefHeading___Toc1535_2263633017"/>
      <w:bookmarkEnd w:id="7"/>
      <w:r>
        <w:rPr/>
        <w:t>3. The End-to-End Workflow</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Step</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Primary output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1 Project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and identify a Delphi project.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2 Scan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Extract designated designer text and resourcestrings.</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 result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3 Translate</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 language and translate unresolved text automatically.</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Saved machine-translation catalog</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4 Validation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completeness and structural safety.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Issue list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5 Export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Create the compact offline pack.</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Runtime JSON</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6 Integration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 a non-mutating component setup kit; optionally use advanced automatic integration.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Component kit or advanced preview</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7 Provider Settings</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Configure and test Google Cloud Translation or DeepL.</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Secure provider configuration</w:t>
            </w:r>
          </w:p>
        </w:tc>
      </w:tr>
    </w:tbl>
    <w:p>
      <w:pPr>
        <w:pStyle w:val="Heading1"/>
        <w:rPr/>
      </w:pPr>
      <w:bookmarkStart w:id="8" w:name="__RefHeading___Toc1537_2263633017"/>
      <w:bookmarkEnd w:id="8"/>
      <w:r>
        <w:rPr/>
        <w:t>4. Open and Scan a Project</w:t>
      </w:r>
    </w:p>
    <w:p>
      <w:pPr>
        <w:pStyle w:val="ListNumber"/>
        <w:numPr>
          <w:ilvl w:val="0"/>
          <w:numId w:val="22"/>
        </w:numPr>
        <w:rPr/>
      </w:pPr>
      <w:r>
        <w:rPr/>
        <w:t>Choose Project and select Open Delphi Project.</w:t>
      </w:r>
    </w:p>
    <w:p>
      <w:pPr>
        <w:pStyle w:val="ListNumber"/>
        <w:numPr>
          <w:ilvl w:val="0"/>
          <w:numId w:val="7"/>
        </w:numPr>
        <w:rPr/>
      </w:pPr>
      <w:r>
        <w:rPr/>
        <w:t>Open a .dproj when available; a .dpr is also accepted.</w:t>
      </w:r>
    </w:p>
    <w:p>
      <w:pPr>
        <w:pStyle w:val="ListNumber"/>
        <w:numPr>
          <w:ilvl w:val="0"/>
          <w:numId w:val="7"/>
        </w:numPr>
        <w:rPr/>
      </w:pPr>
      <w:r>
        <w:rPr/>
        <w:t>Review the detected framework, platforms, form count, and source count.</w:t>
      </w:r>
    </w:p>
    <w:p>
      <w:pPr>
        <w:pStyle w:val="ListNumber"/>
        <w:numPr>
          <w:ilvl w:val="0"/>
          <w:numId w:val="7"/>
        </w:numPr>
        <w:rPr/>
      </w:pPr>
      <w:r>
        <w:rPr/>
        <w:t>Choose Scan. The Studio reads text DFM/FMX resources and resourcestring declarations.</w:t>
      </w:r>
    </w:p>
    <w:p>
      <w:pPr>
        <w:pStyle w:val="ListNumber"/>
        <w:numPr>
          <w:ilvl w:val="0"/>
          <w:numId w:val="7"/>
        </w:numPr>
        <w:rPr/>
      </w:pPr>
      <w:r>
        <w:rPr/>
        <w:t>Review the entry count, elapsed milliseconds, breakdown, and result list.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Binary forms. </w:t>
            </w:r>
            <w:r>
              <w:rPr/>
              <w:t>The scanner expects text DFM/FMX resources. If a legacy DFM is binary, use Delphi's normal form conversion facilities before scanning and keep a source-control copy.</w:t>
            </w:r>
          </w:p>
        </w:tc>
      </w:tr>
    </w:tbl>
    <w:p>
      <w:pPr>
        <w:pStyle w:val="Heading2"/>
        <w:rPr/>
      </w:pPr>
      <w:bookmarkStart w:id="9" w:name="__RefHeading___Toc1539_2263633017"/>
      <w:bookmarkEnd w:id="9"/>
      <w:r>
        <w:rPr/>
        <w:t>4.1 Text that is collected</w:t>
      </w:r>
    </w:p>
    <w:p>
      <w:pPr>
        <w:pStyle w:val="ListBullet"/>
        <w:numPr>
          <w:ilvl w:val="0"/>
          <w:numId w:val="1"/>
        </w:numPr>
        <w:ind w:hanging="271" w:start="540"/>
        <w:rPr/>
      </w:pPr>
      <w:r>
        <w:rPr/>
        <w:t>Captions, Text values, prompts, hints, headings, and designated list content.</w:t>
      </w:r>
    </w:p>
    <w:p>
      <w:pPr>
        <w:pStyle w:val="ListBullet"/>
        <w:numPr>
          <w:ilvl w:val="0"/>
          <w:numId w:val="1"/>
        </w:numPr>
        <w:ind w:hanging="271" w:start="540"/>
        <w:rPr/>
      </w:pPr>
      <w:r>
        <w:rPr/>
        <w:t>Memo and string-list content when it represents user-visible text.</w:t>
      </w:r>
    </w:p>
    <w:p>
      <w:pPr>
        <w:pStyle w:val="ListBullet"/>
        <w:numPr>
          <w:ilvl w:val="0"/>
          <w:numId w:val="1"/>
        </w:numPr>
        <w:ind w:hanging="271" w:start="540"/>
        <w:rPr/>
      </w:pPr>
      <w:r>
        <w:rPr/>
        <w:t>Delphi resourcestring symbols with stable unit-and-symbol keys.</w:t>
      </w:r>
    </w:p>
    <w:p>
      <w:pPr>
        <w:pStyle w:val="ListBullet"/>
        <w:numPr>
          <w:ilvl w:val="0"/>
          <w:numId w:val="1"/>
        </w:numPr>
        <w:ind w:hanging="271" w:start="540"/>
        <w:rPr/>
      </w:pPr>
      <w:r>
        <w:rPr/>
        <w:t>Multiline DFM/FMX string expressions and supported runtime UI assignments in Pascal, including Text, Caption, Header, Hint, TextPrompt, and Format templates.</w:t>
      </w:r>
    </w:p>
    <w:p>
      <w:pPr>
        <w:pStyle w:val="ListBullet"/>
        <w:numPr>
          <w:ilvl w:val="0"/>
          <w:numId w:val="1"/>
        </w:numPr>
        <w:ind w:hanging="271" w:start="540"/>
        <w:rPr/>
      </w:pPr>
      <w:r>
        <w:rPr/>
        <w:t>Nested utility or conversion projects are excluded when a separate DPROJ or DPR identifies them as a different application.</w:t>
      </w:r>
    </w:p>
    <w:p>
      <w:pPr>
        <w:pStyle w:val="ListBullet"/>
        <w:numPr>
          <w:ilvl w:val="0"/>
          <w:numId w:val="1"/>
        </w:numPr>
        <w:ind w:hanging="271" w:start="540"/>
        <w:rPr/>
      </w:pPr>
      <w:r>
        <w:rPr/>
        <w:t>Locale metadata such as date, time, number, and currency formatting is entered on the Languages page rather than guessed from UI text.</w:t>
      </w:r>
    </w:p>
    <w:p>
      <w:pPr>
        <w:pStyle w:val="Heading1"/>
        <w:rPr/>
      </w:pPr>
      <w:bookmarkStart w:id="10" w:name="__RefHeading___Toc1541_2263633017"/>
      <w:bookmarkEnd w:id="10"/>
      <w:r>
        <w:rPr/>
        <w:t>5. Create and Edit a Language Catalog</w:t>
      </w:r>
    </w:p>
    <w:p>
      <w:pPr>
        <w:pStyle w:val="ListNumber"/>
        <w:numPr>
          <w:ilvl w:val="0"/>
          <w:numId w:val="23"/>
        </w:numPr>
        <w:rPr/>
      </w:pPr>
      <w:r>
        <w:rPr/>
        <w:t>Choose Translate after scanning.</w:t>
      </w:r>
    </w:p>
    <w:p>
      <w:pPr>
        <w:pStyle w:val="ListNumber"/>
        <w:numPr>
          <w:ilvl w:val="0"/>
          <w:numId w:val="7"/>
        </w:numPr>
        <w:rPr/>
      </w:pPr>
      <w:r>
        <w:rPr/>
        <w:t>Select the source language, normally English (United States) [en-US].</w:t>
      </w:r>
    </w:p>
    <w:p>
      <w:pPr>
        <w:pStyle w:val="ListNumber"/>
        <w:numPr>
          <w:ilvl w:val="0"/>
          <w:numId w:val="7"/>
        </w:numPr>
        <w:rPr/>
      </w:pPr>
      <w:r>
        <w:rPr/>
        <w:t>Select the target language from the built-in language list. The Studio records its locale code and native name.</w:t>
      </w:r>
    </w:p>
    <w:p>
      <w:pPr>
        <w:pStyle w:val="ListNumber"/>
        <w:numPr>
          <w:ilvl w:val="0"/>
          <w:numId w:val="7"/>
        </w:numPr>
        <w:rPr/>
      </w:pPr>
      <w:r>
        <w:rPr/>
        <w:t>Review the automatically selected left-to-right or right-to-left direction.</w:t>
      </w:r>
    </w:p>
    <w:p>
      <w:pPr>
        <w:pStyle w:val="ListNumber"/>
        <w:numPr>
          <w:ilvl w:val="0"/>
          <w:numId w:val="7"/>
        </w:numPr>
        <w:rPr/>
      </w:pPr>
      <w:r>
        <w:rPr/>
        <w:t>Review or edit the date, time, decimal, thousands, and currency fields. Blank fields are initially populated from Delphi TFormatSettings for the target locale.</w:t>
      </w:r>
    </w:p>
    <w:p>
      <w:pPr>
        <w:pStyle w:val="ListNumber"/>
        <w:numPr>
          <w:ilvl w:val="0"/>
          <w:numId w:val="7"/>
        </w:numPr>
        <w:rPr/>
      </w:pPr>
      <w:r>
        <w:rPr/>
        <w:t>Choose Save.</w:t>
      </w:r>
    </w:p>
    <w:p>
      <w:pPr>
        <w:pStyle w:val="ListNumber"/>
        <w:numPr>
          <w:ilvl w:val="0"/>
          <w:numId w:val="7"/>
        </w:numPr>
        <w:rPr/>
      </w:pPr>
      <w:r>
        <w:rPr/>
        <w:t>Click the blue catalog path to select the saved JSON file in File Explorer.</w:t>
      </w:r>
    </w:p>
    <w:p>
      <w:pPr>
        <w:pStyle w:val="Normal"/>
        <w:rPr/>
      </w:pPr>
      <w:r>
        <w:rP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rPr/>
      </w:pPr>
      <w:bookmarkStart w:id="11" w:name="__RefHeading___Toc1543_2263633017"/>
      <w:bookmarkEnd w:id="11"/>
      <w:r>
        <w:rPr/>
        <w:t>5.1 Translation statuses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Status</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Meaning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Needs translation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 usable target text is present.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AI draft</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Legacy provenance retained when opening a catalog created by an earlier Studio build.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Machine translated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DeepL or Google produced a draft that requires review.</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Imported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CSV supplied target text that requires review.</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Edited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changed or entered the target text.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Reviewed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reviewed the target text.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Approved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release-approved.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 changed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changed after a translation existed.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Excluded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intentionally omitted.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Obsolete</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entry no longer exists in the latest scan.</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Error</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needs correction after a failed operation or check.</w:t>
            </w:r>
          </w:p>
        </w:tc>
      </w:tr>
    </w:tbl>
    <w:p>
      <w:pPr>
        <w:pStyle w:val="Heading2"/>
        <w:rPr/>
      </w:pPr>
      <w:bookmarkStart w:id="12" w:name="__RefHeading___Toc1545_2263633017"/>
      <w:bookmarkEnd w:id="12"/>
      <w:r>
        <w:rPr/>
        <w:t>5.2 Automatic Google or DeepL workflow</w:t>
      </w:r>
    </w:p>
    <w:p>
      <w:pPr>
        <w:pStyle w:val="ListNumber"/>
        <w:numPr>
          <w:ilvl w:val="0"/>
          <w:numId w:val="24"/>
        </w:numPr>
        <w:rPr/>
      </w:pPr>
      <w:r>
        <w:rPr/>
        <w:t>Open Provider Settings and select Google Cloud Translation or DeepL.</w:t>
      </w:r>
    </w:p>
    <w:p>
      <w:pPr>
        <w:pStyle w:val="ListNumber"/>
        <w:numPr>
          <w:ilvl w:val="0"/>
          <w:numId w:val="7"/>
        </w:numPr>
        <w:rPr/>
      </w:pPr>
      <w:r>
        <w:rPr/>
        <w:t>Paste the provider API key into the masked field, choose secure Windows Credential Manager storage or session-only use, and select Replace / Save Key.</w:t>
      </w:r>
    </w:p>
    <w:p>
      <w:pPr>
        <w:pStyle w:val="ListNumber"/>
        <w:numPr>
          <w:ilvl w:val="0"/>
          <w:numId w:val="7"/>
        </w:numPr>
        <w:rPr/>
      </w:pPr>
      <w:r>
        <w:rPr/>
        <w:t>Choose Test Connection. Resolve any authentication, billing, restriction, firewall, or quota error before translating a project.</w:t>
      </w:r>
    </w:p>
    <w:p>
      <w:pPr>
        <w:pStyle w:val="ListNumber"/>
        <w:numPr>
          <w:ilvl w:val="0"/>
          <w:numId w:val="7"/>
        </w:numPr>
        <w:rPr/>
      </w:pPr>
      <w:r>
        <w:rPr/>
        <w:t>Return to Translate, select the target language, and choose Translate Automatically.</w:t>
      </w:r>
    </w:p>
    <w:p>
      <w:pPr>
        <w:pStyle w:val="ListNumber"/>
        <w:numPr>
          <w:ilvl w:val="0"/>
          <w:numId w:val="7"/>
        </w:numPr>
        <w:rPr/>
      </w:pPr>
      <w:r>
        <w:rPr/>
        <w:t>Confirm the displayed provider and unresolved-entry count. The Studio sends only eligible unresolved source strings; Reviewed, Approved, Excluded, and Obsolete entries are not replaced.</w:t>
      </w:r>
    </w:p>
    <w:p>
      <w:pPr>
        <w:pStyle w:val="ListNumber"/>
        <w:numPr>
          <w:ilvl w:val="0"/>
          <w:numId w:val="7"/>
        </w:numPr>
        <w:rPr/>
      </w:pPr>
      <w:r>
        <w:rP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No extra software installation. </w:t>
            </w:r>
            <w:r>
              <w:rPr/>
              <w:t>Automatic translation is built into the Studio. It requires only a supported provider account and API key; no command-line AI agent, Python package, browser extension, or separate translation utility is required.</w:t>
            </w:r>
          </w:p>
        </w:tc>
      </w:tr>
    </w:tbl>
    <w:p>
      <w:pPr>
        <w:pStyle w:val="Heading2"/>
        <w:rPr/>
      </w:pPr>
      <w:bookmarkStart w:id="13" w:name="__RefHeading___Toc1547_2263633017"/>
      <w:bookmarkEnd w:id="13"/>
      <w:r>
        <w:rPr/>
        <w:t>5.3 Safety, context, and focused review</w:t>
      </w:r>
    </w:p>
    <w:p>
      <w:pPr>
        <w:pStyle w:val="ListBullet"/>
        <w:numPr>
          <w:ilvl w:val="0"/>
          <w:numId w:val="1"/>
        </w:numPr>
        <w:ind w:hanging="271" w:start="540"/>
        <w:rPr/>
      </w:pPr>
      <w:r>
        <w:rPr/>
        <w:t>Designer-property entries are applied automatically by the VCL or FMX runtime adapter.</w:t>
      </w:r>
    </w:p>
    <w:p>
      <w:pPr>
        <w:pStyle w:val="ListBullet"/>
        <w:numPr>
          <w:ilvl w:val="0"/>
          <w:numId w:val="1"/>
        </w:numPr>
        <w:ind w:hanging="271" w:start="540"/>
        <w:rPr/>
      </w:pPr>
      <w:r>
        <w:rPr/>
        <w:t>Pascal resourcestring entries require an explicit TranslateText(Key, Fallback) call at the intended code location. Mark Manual wiring confirmed only after adding and reviewing that call.</w:t>
      </w:r>
    </w:p>
    <w:p>
      <w:pPr>
        <w:pStyle w:val="ListBullet"/>
        <w:numPr>
          <w:ilvl w:val="0"/>
          <w:numId w:val="1"/>
        </w:numPr>
        <w:ind w:hanging="271" w:start="540"/>
        <w:rPr/>
      </w:pPr>
      <w:r>
        <w:rPr/>
        <w:t>Translation origin is independent of Draft, Reviewed, and Approved status. A provider result is never silently approved.</w:t>
      </w:r>
    </w:p>
    <w:p>
      <w:pPr>
        <w:pStyle w:val="ListBullet"/>
        <w:numPr>
          <w:ilvl w:val="0"/>
          <w:numId w:val="1"/>
        </w:numPr>
        <w:ind w:hanging="271" w:start="540"/>
        <w:rPr/>
      </w:pPr>
      <w:r>
        <w:rPr/>
        <w:t>Only Needs Translation, Source Changed, and Error entries are eligible. Existing Machine-translated, Imported, Edited, Reviewed, Approved, Excluded, and Obsolete work is protected unless the developer changes its status deliberately.</w:t>
      </w:r>
    </w:p>
    <w:p>
      <w:pPr>
        <w:pStyle w:val="ListBullet"/>
        <w:numPr>
          <w:ilvl w:val="0"/>
          <w:numId w:val="1"/>
        </w:numPr>
        <w:ind w:hanging="271" w:start="540"/>
        <w:rPr/>
      </w:pPr>
      <w:r>
        <w:rP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numPr>
          <w:ilvl w:val="0"/>
          <w:numId w:val="1"/>
        </w:numPr>
        <w:ind w:hanging="271" w:start="540"/>
        <w:rPr/>
      </w:pPr>
      <w:r>
        <w:rP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numPr>
          <w:ilvl w:val="0"/>
          <w:numId w:val="1"/>
        </w:numPr>
        <w:ind w:hanging="271" w:start="540"/>
        <w:rPr/>
      </w:pPr>
      <w:r>
        <w:rPr/>
        <w:t>DeepL accepts the Studio's contextual description. Google Cloud Translation Basic v2 does not accept context or glossaries; the Studio uses local context, terminology, memory, and focused warnings around Google.</w:t>
      </w:r>
    </w:p>
    <w:p>
      <w:pPr>
        <w:pStyle w:val="ListBullet"/>
        <w:numPr>
          <w:ilvl w:val="0"/>
          <w:numId w:val="1"/>
        </w:numPr>
        <w:ind w:hanging="271" w:start="540"/>
        <w:rPr/>
      </w:pPr>
      <w:r>
        <w:rPr/>
        <w:t>Validation focuses on placeholders, accelerators, inconsistent repeated terms, source changes, and runtime wiring.</w:t>
      </w:r>
    </w:p>
    <w:p>
      <w:pPr>
        <w:pStyle w:val="ListBullet"/>
        <w:numPr>
          <w:ilvl w:val="0"/>
          <w:numId w:val="1"/>
        </w:numPr>
        <w:ind w:hanging="271" w:start="540"/>
        <w:rPr/>
      </w:pPr>
      <w:r>
        <w:rPr/>
        <w:t>Exact-source translations from other stable keys are suggestions only. The developer must explicitly accept one, and the accepted target remains Edited rather than inheriting approval.</w:t>
      </w:r>
    </w:p>
    <w:p>
      <w:pPr>
        <w:pStyle w:val="Heading1"/>
        <w:rPr/>
      </w:pPr>
      <w:bookmarkStart w:id="14" w:name="__RefHeading___Toc1549_2263633017"/>
      <w:bookmarkEnd w:id="14"/>
      <w:r>
        <w:rPr/>
        <w:t>6. Provider Settings and Secure Key Storage</w:t>
      </w:r>
    </w:p>
    <w:p>
      <w:pPr>
        <w:pStyle w:val="Normal"/>
        <w:rPr/>
      </w:pPr>
      <w:r>
        <w:rPr/>
        <w:t>Provider Settings supports DeepL API Free, DeepL API Pro, and Google Cloud Translation Basic v2. Provider accounts, billing, quotas, prices, and supported languages are controlled by the provider and may change.</w:t>
      </w:r>
    </w:p>
    <w:p>
      <w:pPr>
        <w:pStyle w:val="Normal"/>
        <w:rPr/>
      </w:pPr>
      <w:r>
        <w:rP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Provider</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DeepL or Google Cloud Translation.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plan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so the Studio uses the matching endpoint.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API key</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Masked field for a new or replacement key.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securely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Stores the key as a Windows Generic Credential.</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Session only</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Clear Remember before saving; the key is held only until shutdown.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Replace / Save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Records the entered key using the selected storage choice.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Test Connection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Sends a small English-to-Italian request.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Remove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stored and session copies for the selected provider.</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Timeout / batch</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Controls 5-300 second requests and 1-50 strings per request.</w:t>
            </w:r>
          </w:p>
        </w:tc>
      </w:tr>
    </w:tbl>
    <w:p>
      <w:pPr>
        <w:pStyle w:val="Heading1"/>
        <w:rPr/>
      </w:pPr>
      <w:bookmarkStart w:id="15" w:name="__RefHeading___Toc1551_2263633017"/>
      <w:bookmarkEnd w:id="15"/>
      <w:r>
        <w:rPr/>
        <w:t>7. Obtain and Enter a DeepL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a DeepL API account. </w:t>
            </w:r>
            <w:r>
              <w:rPr/>
              <w:t>A normal DeepL Translator subscription is not automatically a DeepL API plan. Confirm that the account includes API Free or API Pro.</w:t>
            </w:r>
          </w:p>
        </w:tc>
      </w:tr>
    </w:tbl>
    <w:p>
      <w:pPr>
        <w:pStyle w:val="ListNumber"/>
        <w:numPr>
          <w:ilvl w:val="0"/>
          <w:numId w:val="25"/>
        </w:numPr>
        <w:rPr/>
      </w:pPr>
      <w:r>
        <w:rPr/>
        <w:t>Open the official DeepL developer site at https://developers.deepl.com/ and review current API account requirements.</w:t>
      </w:r>
    </w:p>
    <w:p>
      <w:pPr>
        <w:pStyle w:val="ListNumber"/>
        <w:numPr>
          <w:ilvl w:val="0"/>
          <w:numId w:val="7"/>
        </w:numPr>
        <w:rPr/>
      </w:pPr>
      <w:r>
        <w:rPr/>
        <w:t>Create or sign in to a DeepL account and subscribe to DeepL API Free or DeepL API Pro as appropriate.</w:t>
      </w:r>
    </w:p>
    <w:p>
      <w:pPr>
        <w:pStyle w:val="ListNumber"/>
        <w:numPr>
          <w:ilvl w:val="0"/>
          <w:numId w:val="7"/>
        </w:numPr>
        <w:rPr/>
      </w:pPr>
      <w:r>
        <w:rPr/>
        <w:t>Open the account's API Keys tab. Create a separate key for this Studio when the account interface permits multiple keys.</w:t>
      </w:r>
    </w:p>
    <w:p>
      <w:pPr>
        <w:pStyle w:val="ListNumber"/>
        <w:numPr>
          <w:ilvl w:val="0"/>
          <w:numId w:val="7"/>
        </w:numPr>
        <w:rPr/>
      </w:pPr>
      <w:r>
        <w:rPr/>
        <w:t>Copy the key once and keep it out of source code, JSON catalogs, issue trackers, email, and screenshots.</w:t>
      </w:r>
    </w:p>
    <w:p>
      <w:pPr>
        <w:pStyle w:val="ListNumber"/>
        <w:numPr>
          <w:ilvl w:val="0"/>
          <w:numId w:val="7"/>
        </w:numPr>
        <w:rPr/>
      </w:pPr>
      <w:r>
        <w:rPr/>
        <w:t>In the Studio, choose Provider Settings and select DeepL.</w:t>
      </w:r>
    </w:p>
    <w:p>
      <w:pPr>
        <w:pStyle w:val="ListNumber"/>
        <w:numPr>
          <w:ilvl w:val="0"/>
          <w:numId w:val="7"/>
        </w:numPr>
        <w:rPr/>
      </w:pPr>
      <w:r>
        <w:rPr/>
        <w:t>Select API Free or API Pro to match the account. Free uses api-free.deepl.com; Pro uses api.deepl.com.</w:t>
      </w:r>
    </w:p>
    <w:p>
      <w:pPr>
        <w:pStyle w:val="ListNumber"/>
        <w:numPr>
          <w:ilvl w:val="0"/>
          <w:numId w:val="7"/>
        </w:numPr>
        <w:rPr/>
      </w:pPr>
      <w:r>
        <w:rPr/>
        <w:t>Paste the key into the masked field.</w:t>
      </w:r>
    </w:p>
    <w:p>
      <w:pPr>
        <w:pStyle w:val="ListNumber"/>
        <w:numPr>
          <w:ilvl w:val="0"/>
          <w:numId w:val="7"/>
        </w:numPr>
        <w:rPr/>
      </w:pPr>
      <w:r>
        <w:rPr/>
        <w:t>Leave Remember securely checked for Windows Credential Manager, or clear it for Use for This Session Only.</w:t>
      </w:r>
    </w:p>
    <w:p>
      <w:pPr>
        <w:pStyle w:val="ListNumber"/>
        <w:numPr>
          <w:ilvl w:val="0"/>
          <w:numId w:val="7"/>
        </w:numPr>
        <w:rPr/>
      </w:pPr>
      <w:r>
        <w:rPr/>
        <w:t>Choose Replace / Save Key, then Test Connection.</w:t>
      </w:r>
    </w:p>
    <w:p>
      <w:pPr>
        <w:pStyle w:val="ListNumber"/>
        <w:numPr>
          <w:ilvl w:val="0"/>
          <w:numId w:val="7"/>
        </w:numPr>
        <w:rPr/>
      </w:pPr>
      <w:r>
        <w:rPr/>
        <w:t>If the test fails, verify the plan selection, key status, account quota/billing, firewall, and target-language availability.</w:t>
      </w:r>
    </w:p>
    <w:p>
      <w:pPr>
        <w:pStyle w:val="Normal"/>
        <w:rPr/>
      </w:pPr>
      <w:r>
        <w:rPr/>
        <w:t>DeepL key and authentication reference: https://developers.deepl.com/docs/getting-started/auth</w:t>
      </w:r>
    </w:p>
    <w:p>
      <w:pPr>
        <w:pStyle w:val="Normal"/>
        <w:rPr/>
      </w:pPr>
      <w:r>
        <w:rPr/>
        <w:t>DeepL quickstart: https://developers.deepl.com/docs/getting-started/quickstart</w:t>
      </w:r>
    </w:p>
    <w:p>
      <w:pPr>
        <w:pStyle w:val="Normal"/>
        <w:rPr/>
      </w:pPr>
      <w:r>
        <w:rPr/>
        <w:t>DeepL multiple-key guidance: https://developers.deepl.com/docs/multiple-api-keys</w:t>
      </w:r>
    </w:p>
    <w:p>
      <w:pPr>
        <w:pStyle w:val="Heading1"/>
        <w:rPr/>
      </w:pPr>
      <w:bookmarkStart w:id="16" w:name="__RefHeading___Toc1553_2263633017"/>
      <w:bookmarkEnd w:id="16"/>
      <w:r>
        <w:rPr/>
        <w:t>8. Obtain and Enter a Google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Google Basic v2 only. </w:t>
            </w:r>
            <w:r>
              <w:rPr/>
              <w:t>The Studio uses Cloud Translation Basic v2 because it supports API-key authentication. Cloud Translation Advanced v3 uses different authentication and is not implemented.</w:t>
            </w:r>
          </w:p>
        </w:tc>
      </w:tr>
    </w:tbl>
    <w:p>
      <w:pPr>
        <w:pStyle w:val="ListNumber"/>
        <w:numPr>
          <w:ilvl w:val="0"/>
          <w:numId w:val="26"/>
        </w:numPr>
        <w:rPr/>
      </w:pPr>
      <w:r>
        <w:rPr/>
        <w:t>Open Google Cloud Console at https://console.cloud.google.com/ and sign in with the account that will own billing and credentials.</w:t>
      </w:r>
    </w:p>
    <w:p>
      <w:pPr>
        <w:pStyle w:val="ListNumber"/>
        <w:numPr>
          <w:ilvl w:val="0"/>
          <w:numId w:val="7"/>
        </w:numPr>
        <w:rPr/>
      </w:pPr>
      <w:r>
        <w:rPr/>
        <w:t>Use the project selector to create a dedicated project, such as Delphi App Translation Studio, or select an existing project whose billing and key lifecycle you control.</w:t>
      </w:r>
    </w:p>
    <w:p>
      <w:pPr>
        <w:pStyle w:val="ListNumber"/>
        <w:numPr>
          <w:ilvl w:val="0"/>
          <w:numId w:val="7"/>
        </w:numPr>
        <w:rPr/>
      </w:pPr>
      <w:r>
        <w:rPr/>
        <w:t>Open Billing for that project and link an active billing account. Cloud Translation setup requires billing to be enabled even when usage might fall within a current no-charge allowance.</w:t>
      </w:r>
    </w:p>
    <w:p>
      <w:pPr>
        <w:pStyle w:val="ListNumber"/>
        <w:numPr>
          <w:ilvl w:val="0"/>
          <w:numId w:val="7"/>
        </w:numPr>
        <w:rPr/>
      </w:pPr>
      <w:r>
        <w:rPr/>
        <w:t>Open APIs &amp; Services, then Library. Search for Cloud Translation API, open it, and choose Enable. Confirm that the selected project is still the intended project.</w:t>
      </w:r>
    </w:p>
    <w:p>
      <w:pPr>
        <w:pStyle w:val="ListNumber"/>
        <w:numPr>
          <w:ilvl w:val="0"/>
          <w:numId w:val="7"/>
        </w:numPr>
        <w:rPr/>
      </w:pPr>
      <w:r>
        <w:rPr/>
        <w:t>Open APIs &amp; Services, then Credentials. Choose Create credentials, then API key. Create a standard API key; do not bind it to a service account for this Studio.</w:t>
      </w:r>
    </w:p>
    <w:p>
      <w:pPr>
        <w:pStyle w:val="ListNumber"/>
        <w:numPr>
          <w:ilvl w:val="0"/>
          <w:numId w:val="7"/>
        </w:numPr>
        <w:rPr/>
      </w:pPr>
      <w:r>
        <w:rPr/>
        <w:t>Name the key clearly, for example Delphi App Translation Studio - &lt;computer or developer&gt;. Google requires at least one API restriction when a key is created in the console.</w:t>
      </w:r>
    </w:p>
    <w:p>
      <w:pPr>
        <w:pStyle w:val="ListNumber"/>
        <w:numPr>
          <w:ilvl w:val="0"/>
          <w:numId w:val="7"/>
        </w:numPr>
        <w:rPr/>
      </w:pPr>
      <w:r>
        <w:rPr/>
        <w:t>Under API restrictions, choose Restrict key and select only Cloud Translation API (service translate.googleapis.com), then save. Do not leave the key usable with every Google API.</w:t>
      </w:r>
    </w:p>
    <w:p>
      <w:pPr>
        <w:pStyle w:val="ListNumber"/>
        <w:numPr>
          <w:ilvl w:val="0"/>
          <w:numId w:val="7"/>
        </w:numPr>
        <w:rPr/>
      </w:pPr>
      <w:r>
        <w:rP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7"/>
        </w:numPr>
        <w:rPr/>
      </w:pPr>
      <w:r>
        <w:rPr/>
        <w:t>Copy the displayed key string immediately and keep it out of source code, JSON, screenshots, email, issue trackers, and chat. The key ID or display name is not the usable key string.</w:t>
      </w:r>
    </w:p>
    <w:p>
      <w:pPr>
        <w:pStyle w:val="ListNumber"/>
        <w:numPr>
          <w:ilvl w:val="0"/>
          <w:numId w:val="7"/>
        </w:numPr>
        <w:rPr/>
      </w:pPr>
      <w:r>
        <w:rPr/>
        <w:t>Review Cloud Translation pricing, quotas, and billing budget alerts before a large project. API keys associate requests with the project for quota and billing.</w:t>
      </w:r>
    </w:p>
    <w:p>
      <w:pPr>
        <w:pStyle w:val="ListNumber"/>
        <w:numPr>
          <w:ilvl w:val="0"/>
          <w:numId w:val="7"/>
        </w:numPr>
        <w:rPr/>
      </w:pPr>
      <w:r>
        <w:rPr/>
        <w:t>In the Studio, choose Provider Settings and select Google Cloud Translation. The DeepL plan list becomes disabled because it does not apply.</w:t>
      </w:r>
    </w:p>
    <w:p>
      <w:pPr>
        <w:pStyle w:val="ListNumber"/>
        <w:numPr>
          <w:ilvl w:val="0"/>
          <w:numId w:val="7"/>
        </w:numPr>
        <w:rPr/>
      </w:pPr>
      <w:r>
        <w:rPr/>
        <w:t>Paste the key into the masked field. Leave Remember securely checked to store it as a Windows Generic Credential, or clear the check box for session-only use.</w:t>
      </w:r>
    </w:p>
    <w:p>
      <w:pPr>
        <w:pStyle w:val="ListNumber"/>
        <w:numPr>
          <w:ilvl w:val="0"/>
          <w:numId w:val="7"/>
        </w:numPr>
        <w:rPr/>
      </w:pPr>
      <w:r>
        <w:rPr/>
        <w:t>Choose Replace / Save Key, then Test Connection. A successful test translates one small English phrase to Italian.</w:t>
      </w:r>
    </w:p>
    <w:p>
      <w:pPr>
        <w:pStyle w:val="ListNumber"/>
        <w:numPr>
          <w:ilvl w:val="0"/>
          <w:numId w:val="7"/>
        </w:numPr>
        <w:rPr/>
      </w:pPr>
      <w:r>
        <w:rPr/>
        <w:t>If the test returns HTTP 403, verify the selected project, billing, API enablement, and API/application restrictions. HTTP 429 normally indicates a quota or rate limit. After changing a Google restriction, allow a few minutes for propagation and test again.</w:t>
      </w:r>
    </w:p>
    <w:p>
      <w:pPr>
        <w:pStyle w:val="Normal"/>
        <w:rPr/>
      </w:pPr>
      <w:r>
        <w:rPr/>
        <w:t>Google Cloud Translation setup: https://docs.cloud.google.com/translate/docs/setup</w:t>
      </w:r>
    </w:p>
    <w:p>
      <w:pPr>
        <w:pStyle w:val="Normal"/>
        <w:rPr/>
      </w:pPr>
      <w:r>
        <w:rPr/>
        <w:t>Google API-key creation and management: https://docs.cloud.google.com/docs/authentication/api-keys</w:t>
      </w:r>
    </w:p>
    <w:p>
      <w:pPr>
        <w:pStyle w:val="Normal"/>
        <w:rPr/>
      </w:pPr>
      <w:r>
        <w:rPr/>
        <w:t>Google API-key restrictions: https://docs.cloud.google.com/api-keys/docs/add-restrictions-api-keys</w:t>
      </w:r>
    </w:p>
    <w:p>
      <w:pPr>
        <w:pStyle w:val="Normal"/>
        <w:rPr/>
      </w:pPr>
      <w:r>
        <w:rPr/>
        <w:t>Cloud Translation authentication: https://docs.cloud.google.com/translate/docs/authentication</w:t>
      </w:r>
    </w:p>
    <w:p>
      <w:pPr>
        <w:pStyle w:val="Heading1"/>
        <w:rPr/>
      </w:pPr>
      <w:bookmarkStart w:id="17" w:name="__RefHeading___Toc1555_2263633017"/>
      <w:bookmarkEnd w:id="17"/>
      <w:r>
        <w:rPr/>
        <w:t>9. Direct Provider Translation</w:t>
      </w:r>
    </w:p>
    <w:p>
      <w:pPr>
        <w:pStyle w:val="ListNumber"/>
        <w:numPr>
          <w:ilvl w:val="0"/>
          <w:numId w:val="27"/>
        </w:numPr>
        <w:rPr/>
      </w:pPr>
      <w:r>
        <w:rPr/>
        <w:t>Open or create the target-language catalog.</w:t>
      </w:r>
    </w:p>
    <w:p>
      <w:pPr>
        <w:pStyle w:val="ListNumber"/>
        <w:numPr>
          <w:ilvl w:val="0"/>
          <w:numId w:val="7"/>
        </w:numPr>
        <w:rPr/>
      </w:pPr>
      <w:r>
        <w:rPr/>
        <w:t>Confirm the source and target language codes.</w:t>
      </w:r>
    </w:p>
    <w:p>
      <w:pPr>
        <w:pStyle w:val="ListNumber"/>
        <w:numPr>
          <w:ilvl w:val="0"/>
          <w:numId w:val="7"/>
        </w:numPr>
        <w:rPr/>
      </w:pPr>
      <w:r>
        <w:rPr/>
        <w:t>Configure and test a provider under Provider Settings.</w:t>
      </w:r>
    </w:p>
    <w:p>
      <w:pPr>
        <w:pStyle w:val="ListNumber"/>
        <w:numPr>
          <w:ilvl w:val="0"/>
          <w:numId w:val="7"/>
        </w:numPr>
        <w:rPr/>
      </w:pPr>
      <w:r>
        <w:rPr/>
        <w:t>Choose Translate Automatically on the Translate page.</w:t>
      </w:r>
    </w:p>
    <w:p>
      <w:pPr>
        <w:pStyle w:val="ListNumber"/>
        <w:numPr>
          <w:ilvl w:val="0"/>
          <w:numId w:val="7"/>
        </w:numPr>
        <w:rPr/>
      </w:pPr>
      <w:r>
        <w:rPr/>
        <w:t>Read the confirmation message showing how many unresolved strings will be sent to the provider. Cross-key suggestions are never accepted automatically.</w:t>
      </w:r>
    </w:p>
    <w:p>
      <w:pPr>
        <w:pStyle w:val="ListNumber"/>
        <w:numPr>
          <w:ilvl w:val="0"/>
          <w:numId w:val="7"/>
        </w:numPr>
        <w:rPr/>
      </w:pPr>
      <w:r>
        <w:rPr/>
        <w:t>Choose Yes to begin. Existing complete reviewed or approved work is preserved.</w:t>
      </w:r>
    </w:p>
    <w:p>
      <w:pPr>
        <w:pStyle w:val="ListNumber"/>
        <w:numPr>
          <w:ilvl w:val="0"/>
          <w:numId w:val="7"/>
        </w:numPr>
        <w:rPr/>
      </w:pPr>
      <w:r>
        <w:rPr/>
        <w:t>Wait for all batches. Transient HTTP 429 and provider server failures receive bounded retries.</w:t>
      </w:r>
    </w:p>
    <w:p>
      <w:pPr>
        <w:pStyle w:val="ListNumber"/>
        <w:numPr>
          <w:ilvl w:val="0"/>
          <w:numId w:val="7"/>
        </w:numPr>
        <w:rPr/>
      </w:pPr>
      <w:r>
        <w:rPr/>
        <w:t>Review every machine-translated entry for meaning, placeholders, accelerators, product terminology, tone, and available control space.</w:t>
      </w:r>
    </w:p>
    <w:p>
      <w:pPr>
        <w:pStyle w:val="ListNumber"/>
        <w:numPr>
          <w:ilvl w:val="0"/>
          <w:numId w:val="7"/>
        </w:numPr>
        <w:rPr/>
      </w:pPr>
      <w:r>
        <w:rPr/>
        <w:t>The Studio saves the catalog automatically. Run Validation after reviewing the results.</w:t>
      </w:r>
    </w:p>
    <w:p>
      <w:pPr>
        <w:pStyle w:val="ListNumber"/>
        <w:numPr>
          <w:ilvl w:val="0"/>
          <w:numId w:val="7"/>
        </w:numPr>
        <w:rPr/>
      </w:pPr>
      <w:r>
        <w:rPr/>
        <w:t>For focused work, Review and Approve the selected entry. For a large catalog, Review All and Approve All provide separate, confirmed catalog-wide decisions and save once after each operation.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Cost control. </w:t>
            </w:r>
            <w:r>
              <w:rPr/>
              <w:t>The confirmation count is not a price quote. Provider billing can depend on characters and account terms. Check the provider dashboard and quotas before a large request.</w:t>
            </w:r>
          </w:p>
        </w:tc>
      </w:tr>
    </w:tbl>
    <w:p>
      <w:pPr>
        <w:pStyle w:val="Heading1"/>
        <w:rPr/>
      </w:pPr>
      <w:bookmarkStart w:id="18" w:name="__RefHeading___Toc1557_2263633017"/>
      <w:bookmarkEnd w:id="18"/>
      <w:r>
        <w:rPr/>
        <w:t>10. Validate and Export</w:t>
      </w:r>
    </w:p>
    <w:p>
      <w:pPr>
        <w:pStyle w:val="Normal"/>
        <w:rPr/>
      </w:pPr>
      <w:r>
        <w:rP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28"/>
        </w:numPr>
        <w:rPr/>
      </w:pPr>
      <w:r>
        <w:rPr/>
        <w:t>Choose Validation and Run Validation.</w:t>
      </w:r>
    </w:p>
    <w:p>
      <w:pPr>
        <w:pStyle w:val="ListNumber"/>
        <w:numPr>
          <w:ilvl w:val="0"/>
          <w:numId w:val="7"/>
        </w:numPr>
        <w:rPr/>
      </w:pPr>
      <w:r>
        <w:rPr/>
        <w:t>Read the summary: errors block export, warnings request review, and information messages require no action. Double-click an entry-specific issue to open that catalog entry on Translate.</w:t>
      </w:r>
    </w:p>
    <w:p>
      <w:pPr>
        <w:pStyle w:val="ListNumber"/>
        <w:numPr>
          <w:ilvl w:val="0"/>
          <w:numId w:val="7"/>
        </w:numPr>
        <w:rPr/>
      </w:pPr>
      <w:r>
        <w:rPr/>
        <w:t>Repeat until no errors remain.</w:t>
      </w:r>
    </w:p>
    <w:p>
      <w:pPr>
        <w:pStyle w:val="ListNumber"/>
        <w:numPr>
          <w:ilvl w:val="0"/>
          <w:numId w:val="7"/>
        </w:numPr>
        <w:rPr/>
      </w:pPr>
      <w:r>
        <w:rPr/>
        <w:t>Choose Export and Export Runtime Pack.</w:t>
      </w:r>
    </w:p>
    <w:p>
      <w:pPr>
        <w:pStyle w:val="ListNumber"/>
        <w:numPr>
          <w:ilvl w:val="0"/>
          <w:numId w:val="7"/>
        </w:numPr>
        <w:rPr/>
      </w:pPr>
      <w:r>
        <w:rPr/>
        <w:t>Record the output path under Localization\Languages.</w:t>
      </w:r>
    </w:p>
    <w:p>
      <w:pPr>
        <w:pStyle w:val="Heading1"/>
        <w:rPr/>
      </w:pPr>
      <w:bookmarkStart w:id="19" w:name="__RefHeading___Toc1559_2263633017"/>
      <w:bookmarkEnd w:id="19"/>
      <w:r>
        <w:rPr/>
        <w:t>11. Integrate a Target Application</w:t>
      </w:r>
    </w:p>
    <w:p>
      <w:pPr>
        <w:pStyle w:val="Normal"/>
        <w:rPr/>
      </w:pPr>
      <w:r>
        <w:rP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pPr>
        <w:pStyle w:val="Normal"/>
        <w:rPr/>
      </w:pPr>
      <w:r>
        <w:rP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29"/>
        </w:numPr>
        <w:rPr/>
      </w:pPr>
      <w:r>
        <w:rPr/>
        <w:t>Select Integration and leave Integration method set to Component Integration (Recommended).</w:t>
      </w:r>
    </w:p>
    <w:p>
      <w:pPr>
        <w:pStyle w:val="ListNumber"/>
        <w:numPr>
          <w:ilvl w:val="0"/>
          <w:numId w:val="7"/>
        </w:numPr>
        <w:rPr/>
      </w:pPr>
      <w:r>
        <w:rPr/>
        <w:t>Choose Build Integration Plan. Confirm the detected framework and translated-pack count.</w:t>
      </w:r>
    </w:p>
    <w:p>
      <w:pPr>
        <w:pStyle w:val="ListNumber"/>
        <w:numPr>
          <w:ilvl w:val="0"/>
          <w:numId w:val="7"/>
        </w:numPr>
        <w:rPr/>
      </w:pPr>
      <w:r>
        <w:rPr/>
        <w:t>Choose Generate Component Kit. Select README.txt and the generated manifest/files in the read-only inspection panes.</w:t>
      </w:r>
    </w:p>
    <w:p>
      <w:pPr>
        <w:pStyle w:val="ListNumber"/>
        <w:numPr>
          <w:ilvl w:val="0"/>
          <w:numId w:val="7"/>
        </w:numPr>
        <w:rPr/>
      </w:pPr>
      <w:r>
        <w:rP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7"/>
        </w:numPr>
        <w:rPr/>
      </w:pPr>
      <w:r>
        <w:rPr/>
        <w:t>Open the target application's primary form in the Delphi Form Designer and place one TDATVCLLanguageManager or TDATFMXLanguageManager from DAT Localization.</w:t>
      </w:r>
    </w:p>
    <w:p>
      <w:pPr>
        <w:pStyle w:val="ListNumber"/>
        <w:numPr>
          <w:ilvl w:val="0"/>
          <w:numId w:val="7"/>
        </w:numPr>
        <w:rPr/>
      </w:pPr>
      <w:r>
        <w:rPr/>
        <w:t>Set ApplicationId exactly to the detected Delphi project name. Leave LanguagesFolder as Localization\Languages and set SourceLanguage to the catalog source locale, normally en-US.</w:t>
      </w:r>
    </w:p>
    <w:p>
      <w:pPr>
        <w:pStyle w:val="ListNumber"/>
        <w:numPr>
          <w:ilvl w:val="0"/>
          <w:numId w:val="7"/>
        </w:numPr>
        <w:rPr/>
      </w:pPr>
      <w:r>
        <w:rPr/>
        <w:t>Place TDATVCLLanguageComboBox or TDATFMXLanguageComboBox and set its LanguageManager property to the manager. A connected Language menu is the supported alternative; some visible selector is required.</w:t>
      </w:r>
    </w:p>
    <w:p>
      <w:pPr>
        <w:pStyle w:val="ListNumber"/>
        <w:numPr>
          <w:ilvl w:val="0"/>
          <w:numId w:val="7"/>
        </w:numPr>
        <w:rPr/>
      </w:pPr>
      <w:r>
        <w:rPr/>
        <w:t>The Setup Wizard adds the kit's ComponentSource folder to the DPROJ Base Search Path, which is inherited by Debug/Release and Win32/Win64.</w:t>
      </w:r>
    </w:p>
    <w:p>
      <w:pPr>
        <w:pStyle w:val="ListNumber"/>
        <w:numPr>
          <w:ilvl w:val="0"/>
          <w:numId w:val="7"/>
        </w:numPr>
        <w:rPr/>
      </w:pPr>
      <w:r>
        <w:rPr/>
        <w:t>The Setup Wizard adds a post-build command that deploys the kit's Localization folder to the active DCC_ExeOutput directory with PowerShell ExecutionPolicy Bypass.</w:t>
      </w:r>
    </w:p>
    <w:p>
      <w:pPr>
        <w:pStyle w:val="ListNumber"/>
        <w:numPr>
          <w:ilvl w:val="0"/>
          <w:numId w:val="7"/>
        </w:numPr>
        <w:rPr/>
      </w:pPr>
      <w:r>
        <w:rPr/>
        <w:t>Build and run the target. The saved language is applied during startup. Choosing another locale immediately retranslates open forms and saves the preference.</w:t>
      </w:r>
    </w:p>
    <w:p>
      <w:pPr>
        <w:pStyle w:val="Heading2"/>
        <w:rPr/>
      </w:pPr>
      <w:bookmarkStart w:id="20" w:name="__RefHeading___Toc1561_2263633017"/>
      <w:bookmarkEnd w:id="20"/>
      <w:r>
        <w:rPr/>
        <w:t>11.1 Component properties and behavior</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Property or 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ApplicationId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Must match runtime-pack applicationId; normally the Delphi project name.</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LanguagesFolder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 folder relative to the executable unless an absolute path is supplied.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SourceLanguage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Source locale used when no translated pack is selected.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AutoLoadPreferred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Loads the saved per-user locale during manager initialization.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AutoTranslateOwner / AutoTranslateNewForms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Applies the active pack to the primary and later forms.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ReapplyOpenForms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Immediately retranslates open forms after a language change.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PreserveControlState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Protects writable user data, focus, selections, and list selection while text changes.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FormIdentityMappings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 FormClass=ScannerRoot mappings for renamed or inherited forms.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combo box</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Populates from validated packs and calls the linked manager without taking over OnChange.</w:t>
            </w:r>
          </w:p>
        </w:tc>
      </w:tr>
    </w:tbl>
    <w:p>
      <w:pPr>
        <w:pStyle w:val="Heading2"/>
        <w:rPr/>
      </w:pPr>
      <w:bookmarkStart w:id="21" w:name="__RefHeading___Toc1563_2263633017"/>
      <w:bookmarkEnd w:id="21"/>
      <w:r>
        <w:rPr/>
        <w:t>11.2 Runtime files and preferences</w:t>
      </w:r>
    </w:p>
    <w:p>
      <w:pPr>
        <w:pStyle w:val="ListBullet"/>
        <w:numPr>
          <w:ilvl w:val="0"/>
          <w:numId w:val="1"/>
        </w:numPr>
        <w:ind w:hanging="271" w:start="540"/>
        <w:rPr/>
      </w:pPr>
      <w:r>
        <w:rPr/>
        <w:t>Deploy JSON packs beside the target executable under Localization\Languages.</w:t>
      </w:r>
    </w:p>
    <w:p>
      <w:pPr>
        <w:pStyle w:val="ListBullet"/>
        <w:numPr>
          <w:ilvl w:val="0"/>
          <w:numId w:val="1"/>
        </w:numPr>
        <w:ind w:hanging="271" w:start="540"/>
        <w:rPr/>
      </w:pPr>
      <w:r>
        <w:rPr/>
        <w:t>Deploy-LanguagePacks.ps1 and manual copying support custom executable output layouts.</w:t>
      </w:r>
    </w:p>
    <w:p>
      <w:pPr>
        <w:pStyle w:val="ListBullet"/>
        <w:numPr>
          <w:ilvl w:val="0"/>
          <w:numId w:val="1"/>
        </w:numPr>
        <w:ind w:hanging="271" w:start="540"/>
        <w:rPr/>
      </w:pPr>
      <w:r>
        <w:rPr/>
        <w:t>The selected language is stored in %LOCALAPPDATA%\&lt;ApplicationId&gt;\language.ini.</w:t>
      </w:r>
    </w:p>
    <w:p>
      <w:pPr>
        <w:pStyle w:val="ListBullet"/>
        <w:numPr>
          <w:ilvl w:val="0"/>
          <w:numId w:val="1"/>
        </w:numPr>
        <w:ind w:hanging="271" w:start="540"/>
        <w:rPr/>
      </w:pPr>
      <w:r>
        <w:rPr/>
        <w:t>The executable folder can therefore remain read-only, as it normally is under Program Files.</w:t>
      </w:r>
    </w:p>
    <w:p>
      <w:pPr>
        <w:pStyle w:val="ListBullet"/>
        <w:numPr>
          <w:ilvl w:val="0"/>
          <w:numId w:val="1"/>
        </w:numPr>
        <w:ind w:hanging="271" w:start="540"/>
        <w:rPr/>
      </w:pPr>
      <w:r>
        <w:rPr/>
        <w:t>FMX uses additive before-show/release messages. VCL uses additive application idle/modal notifications and direct owner application.</w:t>
      </w:r>
    </w:p>
    <w:p>
      <w:pPr>
        <w:pStyle w:val="ListBullet"/>
        <w:numPr>
          <w:ilvl w:val="0"/>
          <w:numId w:val="1"/>
        </w:numPr>
        <w:ind w:hanging="271" w:start="540"/>
        <w:rPr/>
      </w:pPr>
      <w:r>
        <w:rPr/>
        <w:t>Selecting or reselecting a language applies the selected pack to every open form immediately. English is a real generated pack, so returning from another language restores all scanned source strings without restarting.</w:t>
      </w:r>
    </w:p>
    <w:p>
      <w:pPr>
        <w:pStyle w:val="Heading2"/>
        <w:rPr/>
      </w:pPr>
      <w:bookmarkStart w:id="22" w:name="__RefHeading___Toc1565_2263633017"/>
      <w:bookmarkEnd w:id="22"/>
      <w:r>
        <w:rPr/>
        <w:t>11.3 Automatic Source Integration (Advanced)</w:t>
      </w:r>
    </w:p>
    <w:p>
      <w:pPr>
        <w:pStyle w:val="Normal"/>
        <w:rPr/>
      </w:pPr>
      <w:r>
        <w:rP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30"/>
        </w:numPr>
        <w:rPr/>
      </w:pPr>
      <w:r>
        <w:rPr/>
        <w:t>Change Integration method to Automatic Source Integration (Advanced).</w:t>
      </w:r>
    </w:p>
    <w:p>
      <w:pPr>
        <w:pStyle w:val="ListNumber"/>
        <w:numPr>
          <w:ilvl w:val="0"/>
          <w:numId w:val="7"/>
        </w:numPr>
        <w:rPr/>
      </w:pPr>
      <w:r>
        <w:rPr/>
        <w:t>Enter the designer language-menu component name and build the plan.</w:t>
      </w:r>
    </w:p>
    <w:p>
      <w:pPr>
        <w:pStyle w:val="ListNumber"/>
        <w:numPr>
          <w:ilvl w:val="0"/>
          <w:numId w:val="7"/>
        </w:numPr>
        <w:rPr/>
      </w:pPr>
      <w:r>
        <w:rPr/>
        <w:t>Generate the exact preview and inspect any file that needs closer review.</w:t>
      </w:r>
    </w:p>
    <w:p>
      <w:pPr>
        <w:pStyle w:val="ListNumber"/>
        <w:numPr>
          <w:ilvl w:val="0"/>
          <w:numId w:val="7"/>
        </w:numPr>
        <w:rPr/>
      </w:pPr>
      <w:r>
        <w:rPr/>
        <w:t>Authorize once, optionally select build/deploy, and choose Apply.</w:t>
      </w:r>
    </w:p>
    <w:p>
      <w:pPr>
        <w:pStyle w:val="ListNumber"/>
        <w:numPr>
          <w:ilvl w:val="0"/>
          <w:numId w:val="7"/>
        </w:numPr>
        <w:rPr/>
      </w:pPr>
      <w:r>
        <w:rPr/>
        <w:t>Use Restore for the session backup or Complete Reset for a recorded pre-integration baseline.</w:t>
      </w:r>
    </w:p>
    <w:p>
      <w:pPr>
        <w:pStyle w:val="Heading1"/>
        <w:rPr/>
      </w:pPr>
      <w:bookmarkStart w:id="23" w:name="__RefHeading___Toc1567_2263633017"/>
      <w:bookmarkEnd w:id="23"/>
      <w:r>
        <w:rPr/>
        <w:t>12. Translate the Studio Itself</w:t>
      </w:r>
    </w:p>
    <w:p>
      <w:pPr>
        <w:pStyle w:val="ListNumber"/>
        <w:numPr>
          <w:ilvl w:val="0"/>
          <w:numId w:val="31"/>
        </w:numPr>
        <w:rPr/>
      </w:pPr>
      <w:r>
        <w:rPr/>
        <w:t>Run the English Studio and select DelphiAppTranslationStudio.dproj.</w:t>
      </w:r>
    </w:p>
    <w:p>
      <w:pPr>
        <w:pStyle w:val="ListNumber"/>
        <w:numPr>
          <w:ilvl w:val="0"/>
          <w:numId w:val="7"/>
        </w:numPr>
        <w:rPr/>
      </w:pPr>
      <w:r>
        <w:rPr/>
        <w:t>Scan it and create the desired language catalog.</w:t>
      </w:r>
    </w:p>
    <w:p>
      <w:pPr>
        <w:pStyle w:val="ListNumber"/>
        <w:numPr>
          <w:ilvl w:val="0"/>
          <w:numId w:val="7"/>
        </w:numPr>
        <w:rPr/>
      </w:pPr>
      <w:r>
        <w:rPr/>
        <w:t>Translate, review, validate, and export the pack.</w:t>
      </w:r>
    </w:p>
    <w:p>
      <w:pPr>
        <w:pStyle w:val="ListNumber"/>
        <w:numPr>
          <w:ilvl w:val="0"/>
          <w:numId w:val="7"/>
        </w:numPr>
        <w:rPr/>
      </w:pPr>
      <w:r>
        <w:rPr/>
        <w:t>Copy the exported pack to the Studio project or deployed executable's Localization\Languages folder.</w:t>
      </w:r>
    </w:p>
    <w:p>
      <w:pPr>
        <w:pStyle w:val="ListNumber"/>
        <w:numPr>
          <w:ilvl w:val="0"/>
          <w:numId w:val="7"/>
        </w:numPr>
        <w:rPr/>
      </w:pPr>
      <w:r>
        <w:rPr/>
        <w:t>Add the locale to the designer-authored Studio Language menu when a selectable menu item is required.</w:t>
      </w:r>
    </w:p>
    <w:p>
      <w:pPr>
        <w:pStyle w:val="ListNumber"/>
        <w:numPr>
          <w:ilvl w:val="0"/>
          <w:numId w:val="7"/>
        </w:numPr>
        <w:rPr/>
      </w:pPr>
      <w:r>
        <w:rPr/>
        <w:t>Close the running Studio, rebuild when the menu changed, and start the executable.</w:t>
      </w:r>
    </w:p>
    <w:p>
      <w:pPr>
        <w:pStyle w:val="ListNumber"/>
        <w:numPr>
          <w:ilvl w:val="0"/>
          <w:numId w:val="7"/>
        </w:numPr>
        <w:rPr/>
      </w:pPr>
      <w:r>
        <w:rPr/>
        <w:t>Select the new language. Open forms change immediately and the preference is retained for the next launch.</w:t>
      </w:r>
    </w:p>
    <w:p>
      <w:pPr>
        <w:pStyle w:val="Normal"/>
        <w:rPr/>
      </w:pPr>
      <w:r>
        <w:rPr/>
        <w:t>The running executable is never overwritten. The JSON pack and preference are separate from the executable, and the rebuild supplies the updated menu on the next run.</w:t>
      </w:r>
    </w:p>
    <w:p>
      <w:pPr>
        <w:pStyle w:val="Heading1"/>
        <w:rPr/>
      </w:pPr>
      <w:bookmarkStart w:id="24" w:name="__RefHeading___Toc1569_2263633017"/>
      <w:bookmarkEnd w:id="24"/>
      <w:r>
        <w:rPr/>
        <w:t>13.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Symptom</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Likely action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framework unknown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the .dproj, confirm VCL/FMX units and project metadata, then rescan.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No scan entries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text DFM/FMX resources and designated user-visible properties.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401/403</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Replace the key; verify provider plan, API enablement, restrictions, and billing.</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429</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Quota or rate limit reached; wait, reduce batch size, or review provider quota.</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test fails only on one plan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to match the account endpoint.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Google test fails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Basic v2 Cloud Translation API is enabled and key API restriction permits it.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 blocked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Run Validation and correct every error.</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 is empty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valid nonempty packs, matching applicationId, and the deployed Localization\Languages folder; call RefreshLanguages after late deployment.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missing from Tool Palette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Show Design BPL, then Delphi Component &gt; Install Packages &gt; Add. Select the exact self-contained Win32 design BPL.</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Preference cannot be found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%LOCALAPPDATA%\&lt;ApplicationId&gt;\language.ini, not the executable folder.</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remains English</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manager ApplicationId, JSON applicationId/locale, deployment folder, preference, and manager initialization errors.</w:t>
            </w:r>
          </w:p>
        </w:tc>
      </w:tr>
    </w:tbl>
    <w:p>
      <w:pPr>
        <w:pStyle w:val="Heading1"/>
        <w:rPr/>
      </w:pPr>
      <w:bookmarkStart w:id="25" w:name="__RefHeading___Toc1571_2263633017"/>
      <w:bookmarkEnd w:id="25"/>
      <w:r>
        <w:rPr/>
        <w:t>14. Security and Privacy</w:t>
      </w:r>
    </w:p>
    <w:p>
      <w:pPr>
        <w:pStyle w:val="ListBullet"/>
        <w:numPr>
          <w:ilvl w:val="0"/>
          <w:numId w:val="1"/>
        </w:numPr>
        <w:ind w:hanging="271" w:start="540"/>
        <w:rPr/>
      </w:pPr>
      <w:r>
        <w:rPr/>
        <w:t>Only confirmed source strings are sent to the selected provider.</w:t>
      </w:r>
    </w:p>
    <w:p>
      <w:pPr>
        <w:pStyle w:val="ListBullet"/>
        <w:numPr>
          <w:ilvl w:val="0"/>
          <w:numId w:val="1"/>
        </w:numPr>
        <w:ind w:hanging="271" w:start="540"/>
        <w:rPr/>
      </w:pPr>
      <w:r>
        <w:rPr/>
        <w:t>Do not send secrets, personal data, customer data, or regulated information as UI text.</w:t>
      </w:r>
    </w:p>
    <w:p>
      <w:pPr>
        <w:pStyle w:val="ListBullet"/>
        <w:numPr>
          <w:ilvl w:val="0"/>
          <w:numId w:val="1"/>
        </w:numPr>
        <w:ind w:hanging="271" w:start="540"/>
        <w:rPr/>
      </w:pPr>
      <w:r>
        <w:rPr/>
        <w:t>Remembered keys are Windows Generic Credentials; session keys are not persisted.</w:t>
      </w:r>
    </w:p>
    <w:p>
      <w:pPr>
        <w:pStyle w:val="ListBullet"/>
        <w:numPr>
          <w:ilvl w:val="0"/>
          <w:numId w:val="1"/>
        </w:numPr>
        <w:ind w:hanging="271" w:start="540"/>
        <w:rPr/>
      </w:pPr>
      <w:r>
        <w:rPr/>
        <w:t>Removing a key affects only the selected provider.</w:t>
      </w:r>
    </w:p>
    <w:p>
      <w:pPr>
        <w:pStyle w:val="ListBullet"/>
        <w:numPr>
          <w:ilvl w:val="0"/>
          <w:numId w:val="1"/>
        </w:numPr>
        <w:ind w:hanging="271" w:start="540"/>
        <w:rPr/>
      </w:pPr>
      <w:r>
        <w:rPr/>
        <w:t>Provider settings JSON contains no API key.</w:t>
      </w:r>
    </w:p>
    <w:p>
      <w:pPr>
        <w:pStyle w:val="ListBullet"/>
        <w:numPr>
          <w:ilvl w:val="0"/>
          <w:numId w:val="1"/>
        </w:numPr>
        <w:ind w:hanging="271" w:start="540"/>
        <w:rPr/>
      </w:pPr>
      <w:r>
        <w:rPr/>
        <w:t>Catalogs, runtime packs, deployment packages, logs, backups, and Git should contain no key.</w:t>
      </w:r>
    </w:p>
    <w:p>
      <w:pPr>
        <w:pStyle w:val="ListBullet"/>
        <w:numPr>
          <w:ilvl w:val="0"/>
          <w:numId w:val="1"/>
        </w:numPr>
        <w:ind w:hanging="271" w:start="540"/>
        <w:rPr/>
      </w:pPr>
      <w:r>
        <w:rPr/>
        <w:t>Rotate a key immediately in the provider console if it may have been exposed, then replace it in the Studio.</w:t>
      </w:r>
    </w:p>
    <w:p>
      <w:pPr>
        <w:pStyle w:val="Heading1"/>
        <w:rPr/>
      </w:pPr>
      <w:bookmarkStart w:id="26" w:name="__RefHeading___Toc1573_2263633017"/>
      <w:bookmarkEnd w:id="26"/>
      <w:r>
        <w:rPr/>
        <w:t>15. File and Folder Reference</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Contents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Localization\Development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full development catalogs.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Localization\Languages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offline runtime JSON packs.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previews and temporary product output.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export\component-integration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Recommended non-mutating component setup kits.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packages\runtime / packages\design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Core/framework runtime packages and VCL/FMX IDE packages.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docs\guides / docs\pdf</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guides and companion PDFs.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%LOCALAPPDATA%\DelphiAppTranslationStudio</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Studio settings and language preference, but no remembered key.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Windows Credential Manager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Remembered DeepL/Google Generic Credentials.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%LOCALAPPDATA%\&lt;ApplicationId&gt;</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Integrated application's selected-language preference.</w:t>
            </w:r>
          </w:p>
        </w:tc>
      </w:tr>
    </w:tbl>
    <w:p>
      <w:pPr>
        <w:pStyle w:val="Heading1"/>
        <w:rPr/>
      </w:pPr>
      <w:bookmarkStart w:id="27" w:name="__RefHeading___Toc1575_2263633017"/>
      <w:bookmarkEnd w:id="27"/>
      <w:r>
        <w:rPr/>
        <w:t>16. Provider Reference and Change Notice</w:t>
      </w:r>
    </w:p>
    <w:p>
      <w:pPr>
        <w:pStyle w:val="Normal"/>
        <w:rPr/>
      </w:pPr>
      <w:r>
        <w:rP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pPr>
        <w:pStyle w:val="Normal"/>
        <w:widowControl/>
        <w:bidi w:val="0"/>
        <w:spacing w:lineRule="auto" w:line="300" w:before="0" w:after="120"/>
        <w:jc w:val="start"/>
        <w:rPr/>
      </w:pPr>
      <w:r>
        <w:rPr/>
        <w:t>This guide documents the implemented Studio as of August 10, 2026.</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17</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2026-08-10T22:03:30Z</dcterms:modified>
  <cp:revision>2</cp:revision>
  <dc:subject>Delphi App Translation Studio documentation</dc:subject>
  <dc:title>Delphi App Translation Studio User Guide</dc:title>
</cp:coreProperties>
</file>

<file path=docProps/custom.xml><?xml version="1.0" encoding="utf-8"?>
<Properties xmlns="http://schemas.openxmlformats.org/officeDocument/2006/custom-properties" xmlns:vt="http://schemas.openxmlformats.org/officeDocument/2006/docPropsVTypes"/>
</file>