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Product Scope and Invariants</w:t>
      </w:r>
      <w:r>
        <w:rPr>
          <w:rFonts w:ascii="Aptos" w:hAnsi="Aptos"/>
          <w:color w:val="5D7693"/>
          <w:sz w:val="18"/>
        </w:rPr>
        <w:t xml:space="preserve"> ......................................... 1</w:t>
      </w:r>
      <w:r>
        <w:br/>
      </w:r>
      <w:r>
        <w:rPr>
          <w:rFonts w:ascii="Aptos" w:hAnsi="Aptos"/>
          <w:color w:val="163A63"/>
          <w:sz w:val="18"/>
        </w:rPr>
        <w:t>2. Repository and Build Layout</w:t>
      </w:r>
      <w:r>
        <w:rPr>
          <w:rFonts w:ascii="Aptos" w:hAnsi="Aptos"/>
          <w:color w:val="5D7693"/>
          <w:sz w:val="18"/>
        </w:rPr>
        <w:t xml:space="preserve"> .......................................... 1</w:t>
      </w:r>
      <w:r>
        <w:br/>
      </w:r>
      <w:r>
        <w:rPr>
          <w:rFonts w:ascii="Aptos" w:hAnsi="Aptos"/>
          <w:color w:val="163A63"/>
          <w:sz w:val="18"/>
        </w:rPr>
        <w:t>3. System Architecture</w:t>
      </w:r>
      <w:r>
        <w:rPr>
          <w:rFonts w:ascii="Aptos" w:hAnsi="Aptos"/>
          <w:color w:val="5D7693"/>
          <w:sz w:val="18"/>
        </w:rPr>
        <w:t xml:space="preserve"> .................................................. 2</w:t>
      </w:r>
      <w:r>
        <w:br/>
      </w:r>
      <w:r>
        <w:rPr>
          <w:rFonts w:ascii="Aptos" w:hAnsi="Aptos"/>
          <w:color w:val="163A63"/>
          <w:sz w:val="18"/>
        </w:rPr>
        <w:t>4. Core Data Model and JSON</w:t>
      </w:r>
      <w:r>
        <w:rPr>
          <w:rFonts w:ascii="Aptos" w:hAnsi="Aptos"/>
          <w:color w:val="5D7693"/>
          <w:sz w:val="18"/>
        </w:rPr>
        <w:t xml:space="preserve"> ............................................. 3</w:t>
      </w:r>
      <w:r>
        <w:br/>
      </w:r>
      <w:r>
        <w:rPr>
          <w:rFonts w:ascii="Aptos" w:hAnsi="Aptos"/>
          <w:color w:val="163A63"/>
          <w:sz w:val="18"/>
        </w:rPr>
        <w:t>5. Project Detection and Scanning</w:t>
      </w:r>
      <w:r>
        <w:rPr>
          <w:rFonts w:ascii="Aptos" w:hAnsi="Aptos"/>
          <w:color w:val="5D7693"/>
          <w:sz w:val="18"/>
        </w:rPr>
        <w:t xml:space="preserve"> ....................................... 4</w:t>
      </w:r>
      <w:r>
        <w:br/>
      </w:r>
      <w:r>
        <w:rPr>
          <w:rFonts w:ascii="Aptos" w:hAnsi="Aptos"/>
          <w:color w:val="163A63"/>
          <w:sz w:val="18"/>
        </w:rPr>
        <w:t>6. Studio UI and Workflow State</w:t>
      </w:r>
      <w:r>
        <w:rPr>
          <w:rFonts w:ascii="Aptos" w:hAnsi="Aptos"/>
          <w:color w:val="5D7693"/>
          <w:sz w:val="18"/>
        </w:rPr>
        <w:t xml:space="preserve"> ......................................... 5</w:t>
      </w:r>
      <w:r>
        <w:br/>
      </w:r>
      <w:r>
        <w:rPr>
          <w:rFonts w:ascii="Aptos" w:hAnsi="Aptos"/>
          <w:color w:val="163A63"/>
          <w:sz w:val="18"/>
        </w:rPr>
        <w:t>7. Provider Settings and Secret Storage</w:t>
      </w:r>
      <w:r>
        <w:rPr>
          <w:rFonts w:ascii="Aptos" w:hAnsi="Aptos"/>
          <w:color w:val="5D7693"/>
          <w:sz w:val="18"/>
        </w:rPr>
        <w:t xml:space="preserve"> ................................. 6</w:t>
      </w:r>
      <w:r>
        <w:br/>
      </w:r>
      <w:r>
        <w:rPr>
          <w:rFonts w:ascii="Aptos" w:hAnsi="Aptos"/>
          <w:color w:val="163A63"/>
          <w:sz w:val="18"/>
        </w:rPr>
        <w:t>8. Provider HTTP Clients</w:t>
      </w:r>
      <w:r>
        <w:rPr>
          <w:rFonts w:ascii="Aptos" w:hAnsi="Aptos"/>
          <w:color w:val="5D7693"/>
          <w:sz w:val="18"/>
        </w:rPr>
        <w:t xml:space="preserve"> ................................................ 7</w:t>
      </w:r>
      <w:r>
        <w:br/>
      </w:r>
      <w:r>
        <w:rPr>
          <w:rFonts w:ascii="Aptos" w:hAnsi="Aptos"/>
          <w:color w:val="163A63"/>
          <w:sz w:val="18"/>
        </w:rPr>
        <w:t>9. Automatic Provider Translation and Review</w:t>
      </w:r>
      <w:r>
        <w:rPr>
          <w:rFonts w:ascii="Aptos" w:hAnsi="Aptos"/>
          <w:color w:val="5D7693"/>
          <w:sz w:val="18"/>
        </w:rPr>
        <w:t xml:space="preserve"> ............................ 8</w:t>
      </w:r>
      <w:r>
        <w:br/>
      </w:r>
      <w:r>
        <w:rPr>
          <w:rFonts w:ascii="Aptos" w:hAnsi="Aptos"/>
          <w:color w:val="163A63"/>
          <w:sz w:val="18"/>
        </w:rPr>
        <w:t>10. Validation and Runtime Pack Export</w:t>
      </w:r>
      <w:r>
        <w:rPr>
          <w:rFonts w:ascii="Aptos" w:hAnsi="Aptos"/>
          <w:color w:val="5D7693"/>
          <w:sz w:val="18"/>
        </w:rPr>
        <w:t xml:space="preserve"> .................................. 9</w:t>
      </w:r>
      <w:r>
        <w:br/>
      </w:r>
      <w:r>
        <w:rPr>
          <w:rFonts w:ascii="Aptos" w:hAnsi="Aptos"/>
          <w:color w:val="163A63"/>
          <w:sz w:val="18"/>
        </w:rPr>
        <w:t>11. Runtime Engine</w:t>
      </w:r>
      <w:r>
        <w:rPr>
          <w:rFonts w:ascii="Aptos" w:hAnsi="Aptos"/>
          <w:color w:val="5D7693"/>
          <w:sz w:val="18"/>
        </w:rPr>
        <w:t xml:space="preserve"> ...................................................... 9</w:t>
      </w:r>
      <w:r>
        <w:br/>
      </w:r>
      <w:r>
        <w:rPr>
          <w:rFonts w:ascii="Aptos" w:hAnsi="Aptos"/>
          <w:color w:val="163A63"/>
          <w:sz w:val="18"/>
        </w:rPr>
        <w:t>12. Component Packages and Integration Modes</w:t>
      </w:r>
      <w:r>
        <w:rPr>
          <w:rFonts w:ascii="Aptos" w:hAnsi="Aptos"/>
          <w:color w:val="5D7693"/>
          <w:sz w:val="18"/>
        </w:rPr>
        <w:t xml:space="preserve"> ............................ 10</w:t>
      </w:r>
      <w:r>
        <w:br/>
      </w:r>
      <w:r>
        <w:rPr>
          <w:rFonts w:ascii="Aptos" w:hAnsi="Aptos"/>
          <w:color w:val="163A63"/>
          <w:sz w:val="18"/>
        </w:rPr>
        <w:t>13. Self-Localization</w:t>
      </w:r>
      <w:r>
        <w:rPr>
          <w:rFonts w:ascii="Aptos" w:hAnsi="Aptos"/>
          <w:color w:val="5D7693"/>
          <w:sz w:val="18"/>
        </w:rPr>
        <w:t xml:space="preserve"> ................................................... 12</w:t>
      </w:r>
      <w:r>
        <w:br/>
      </w:r>
      <w:r>
        <w:rPr>
          <w:rFonts w:ascii="Aptos" w:hAnsi="Aptos"/>
          <w:color w:val="163A63"/>
          <w:sz w:val="18"/>
        </w:rPr>
        <w:t>14. Error Handling and Diagnostics</w:t>
      </w:r>
      <w:r>
        <w:rPr>
          <w:rFonts w:ascii="Aptos" w:hAnsi="Aptos"/>
          <w:color w:val="5D7693"/>
          <w:sz w:val="18"/>
        </w:rPr>
        <w:t xml:space="preserve"> ...................................... 12</w:t>
      </w:r>
      <w:r>
        <w:br/>
      </w:r>
      <w:r>
        <w:rPr>
          <w:rFonts w:ascii="Aptos" w:hAnsi="Aptos"/>
          <w:color w:val="163A63"/>
          <w:sz w:val="18"/>
        </w:rPr>
        <w:t>15. Test Strategy and Verified Matrix</w:t>
      </w:r>
      <w:r>
        <w:rPr>
          <w:rFonts w:ascii="Aptos" w:hAnsi="Aptos"/>
          <w:color w:val="5D7693"/>
          <w:sz w:val="18"/>
        </w:rPr>
        <w:t xml:space="preserve"> ................................... 12</w:t>
      </w:r>
      <w:r>
        <w:br/>
      </w:r>
      <w:r>
        <w:rPr>
          <w:rFonts w:ascii="Aptos" w:hAnsi="Aptos"/>
          <w:color w:val="163A63"/>
          <w:sz w:val="18"/>
        </w:rPr>
        <w:t>16. Security Review</w:t>
      </w:r>
      <w:r>
        <w:rPr>
          <w:rFonts w:ascii="Aptos" w:hAnsi="Aptos"/>
          <w:color w:val="5D7693"/>
          <w:sz w:val="18"/>
        </w:rPr>
        <w:t xml:space="preserve"> ..................................................... 14</w:t>
      </w:r>
      <w:r>
        <w:br/>
      </w:r>
      <w:r>
        <w:rPr>
          <w:rFonts w:ascii="Aptos" w:hAnsi="Aptos"/>
          <w:color w:val="163A63"/>
          <w:sz w:val="18"/>
        </w:rPr>
        <w:t>17. Release and Contribution Workflow</w:t>
      </w:r>
      <w:r>
        <w:rPr>
          <w:rFonts w:ascii="Aptos" w:hAnsi="Aptos"/>
          <w:color w:val="5D7693"/>
          <w:sz w:val="18"/>
        </w:rPr>
        <w:t xml:space="preserve"> ................................... 14</w:t>
      </w:r>
      <w:r>
        <w:br/>
      </w:r>
      <w:r>
        <w:rPr>
          <w:rFonts w:ascii="Aptos" w:hAnsi="Aptos"/>
          <w:color w:val="163A63"/>
          <w:sz w:val="18"/>
        </w:rPr>
        <w:t>18. Known Boundaries and Future-Compatible Design</w:t>
      </w:r>
      <w:r>
        <w:rPr>
          <w:rFonts w:ascii="Aptos" w:hAnsi="Aptos"/>
          <w:color w:val="5D7693"/>
          <w:sz w:val="18"/>
        </w:rPr>
        <w:t xml:space="preserve"> ....................... 15</w:t>
      </w:r>
      <w:r>
        <w:br/>
      </w:r>
      <w:r>
        <w:rPr>
          <w:rFonts w:ascii="Aptos" w:hAnsi="Aptos"/>
          <w:color w:val="163A63"/>
          <w:sz w:val="18"/>
        </w:rPr>
        <w:t>19. Documentation Generation</w:t>
      </w:r>
      <w:r>
        <w:rPr>
          <w:rFonts w:ascii="Aptos" w:hAnsi="Aptos"/>
          <w:color w:val="5D7693"/>
          <w:sz w:val="18"/>
        </w:rPr>
        <w:t xml:space="preserve"> ............................................ 15</w:t>
      </w:r>
      <w:r>
        <w:br/>
      </w:r>
      <w:r>
        <w:rPr>
          <w:rFonts w:ascii="Aptos" w:hAnsi="Aptos"/>
          <w:color w:val="163A63"/>
          <w:sz w:val="18"/>
        </w:rPr>
        <w:t>20. Source References</w:t>
      </w:r>
      <w:r>
        <w:rPr>
          <w:rFonts w:ascii="Aptos" w:hAnsi="Aptos"/>
          <w:color w:val="5D7693"/>
          <w:sz w:val="18"/>
        </w:rPr>
        <w:t xml:space="preserve"> ................................................... 15</w:t>
      </w:r>
      <w:r>
        <w:br/>
      </w:r>
      <w:r>
        <w:rPr>
          <w:rFonts w:ascii="Aptos" w:hAnsi="Aptos"/>
          <w:color w:val="163A63"/>
          <w:sz w:val="18"/>
        </w:rPr>
        <w:t>21. Total Stabilization Contracts</w:t>
      </w:r>
      <w:r>
        <w:rPr>
          <w:rFonts w:ascii="Aptos" w:hAnsi="Aptos"/>
          <w:color w:val="5D7693"/>
          <w:sz w:val="18"/>
        </w:rPr>
        <w:t xml:space="preserve"> ....................................... 16</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nine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deterministic cancellable scan, duplicate/conflict handling, schema/provenance round-trip, atomic persistence/recovery, strict pack admission, saved-preference fallback, provider contracts, review/approval, validation, runtime pack, preference, integration, and Studio responsiveness contracts.</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Source and translated Studio packs, strict compatibility, all four configurations, and state restoration.</w:t>
            </w:r>
          </w:p>
        </w:tc>
      </w:tr>
      <w:tr>
        <w:trPr>
          <w:cantSplit/>
        </w:trPr>
        <w:tc>
          <w:tcPr>
            <w:tcW w:type="dxa" w:w="2700"/>
            <w:vAlign w:val="center"/>
          </w:tcPr>
          <w:p>
            <w:r>
              <w:t>RunPhase10ReleaseValidation.ps1</w:t>
            </w:r>
          </w:p>
        </w:tc>
        <w:tc>
          <w:tcPr>
            <w:tcW w:type="dxa" w:w="6660"/>
            <w:vAlign w:val="center"/>
          </w:tcPr>
          <w:p>
            <w:r>
              <w:t>Debug/Release Win32/Win64 packages and Studio builds, runtime suites, streaming, launch, self-localization, deployed pilots, and release guards.</w:t>
            </w:r>
          </w:p>
        </w:tc>
      </w:tr>
    </w:tbl>
    <w:p>
      <w:r>
        <w:t>The August 27, 2026 stabilization gate requires the complete verification harness and Phase 10 release validation to pass without interruption. The gate covers Debug and Release packages, Win32/Win64 manager suites, scanner/catalog/provider contracts, atomic persistence and recovery, strict packs, component non-mutation, runtime and advanced integration, Studio builds, direct FMX form streaming, launch, self-localization, and disposable real-application pilots.</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Automatic layout acceptance is intentionally limited to relative, reversible adjustments. Absolute geometry, deliberately positioned artwork, and grid-column widths require a reviewed layout decision.</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pPr>
      <w:r>
        <w:t>20. Source References</w:t>
      </w:r>
    </w:p>
    <w:p>
      <w:pPr>
        <w:pStyle w:val="ListBullet"/>
      </w:pPr>
      <w:r>
        <w:t>Repository source, forms, project metadata, schemas, and smoke tests as of August 27,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p>
      <w:pPr>
        <w:pStyle w:val="Heading1"/>
      </w:pPr>
      <w:r>
        <w:t>21. Total Stabilization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Contract</w:t>
            </w:r>
          </w:p>
        </w:tc>
        <w:tc>
          <w:tcPr>
            <w:tcW w:type="dxa" w:w="3900"/>
            <w:shd w:fill="234C80"/>
          </w:tcPr>
          <w:p>
            <w:r>
              <w:rPr>
                <w:b/>
                <w:color w:val="FFFFFF"/>
              </w:rPr>
              <w:t>Required behavior</w:t>
            </w:r>
          </w:p>
        </w:tc>
        <w:tc>
          <w:tcPr>
            <w:tcW w:type="dxa" w:w="3660"/>
            <w:shd w:fill="234C80"/>
          </w:tcPr>
          <w:p>
            <w:r>
              <w:rPr>
                <w:b/>
                <w:color w:val="FFFFFF"/>
              </w:rPr>
              <w:t>Primary verification</w:t>
            </w:r>
          </w:p>
        </w:tc>
      </w:tr>
      <w:tr>
        <w:trPr>
          <w:cantSplit/>
        </w:trPr>
        <w:tc>
          <w:tcPr>
            <w:tcW w:type="dxa" w:w="1800"/>
            <w:vAlign w:val="center"/>
          </w:tcPr>
          <w:p>
            <w:r>
              <w:t>Persistence</w:t>
            </w:r>
          </w:p>
        </w:tc>
        <w:tc>
          <w:tcPr>
            <w:tcW w:type="dxa" w:w="3900"/>
            <w:vAlign w:val="center"/>
          </w:tcPr>
          <w:p>
            <w:r>
              <w:t>Write to staging, validate, atomically replace, retain one recoverable previous file, and quarantine invalid current data.</w:t>
            </w:r>
          </w:p>
        </w:tc>
        <w:tc>
          <w:tcPr>
            <w:tcW w:type="dxa" w:w="3660"/>
            <w:vAlign w:val="center"/>
          </w:tcPr>
          <w:p>
            <w:r>
              <w:t>AtomicPersistenceSmokeTests and FoundationSmokeTests</w:t>
            </w:r>
          </w:p>
        </w:tc>
      </w:tr>
      <w:tr>
        <w:trPr>
          <w:cantSplit/>
        </w:trPr>
        <w:tc>
          <w:tcPr>
            <w:tcW w:type="dxa" w:w="1800"/>
            <w:vAlign w:val="center"/>
          </w:tcPr>
          <w:p>
            <w:r>
              <w:t>Pack admission</w:t>
            </w:r>
          </w:p>
        </w:tc>
        <w:tc>
          <w:tcPr>
            <w:tcW w:type="dxa" w:w="3900"/>
            <w:vAlign w:val="center"/>
          </w:tcPr>
          <w:p>
            <w:r>
              <w:t>Reject duplicate keys, wrong locale/file name, wrong application/framework/version, checksum failure, and missing compatible source pack.</w:t>
            </w:r>
          </w:p>
        </w:tc>
        <w:tc>
          <w:tcPr>
            <w:tcW w:type="dxa" w:w="3660"/>
            <w:vAlign w:val="center"/>
          </w:tcPr>
          <w:p>
            <w:r>
              <w:t>LanguageManagerCoreTests and runtime suites</w:t>
            </w:r>
          </w:p>
        </w:tc>
      </w:tr>
      <w:tr>
        <w:trPr>
          <w:cantSplit/>
        </w:trPr>
        <w:tc>
          <w:tcPr>
            <w:tcW w:type="dxa" w:w="1800"/>
            <w:vAlign w:val="center"/>
          </w:tcPr>
          <w:p>
            <w:r>
              <w:t>Startup preference</w:t>
            </w:r>
          </w:p>
        </w:tc>
        <w:tc>
          <w:tcPr>
            <w:tcW w:type="dxa" w:w="3900"/>
            <w:vAlign w:val="center"/>
          </w:tcPr>
          <w:p>
            <w:r>
              <w:t>A stale or incompatible saved locale falls back to the validated source language and repairs the preference.</w:t>
            </w:r>
          </w:p>
        </w:tc>
        <w:tc>
          <w:tcPr>
            <w:tcW w:type="dxa" w:w="3660"/>
            <w:vAlign w:val="center"/>
          </w:tcPr>
          <w:p>
            <w:r>
              <w:t>FoundationSmokeTests</w:t>
            </w:r>
          </w:p>
        </w:tc>
      </w:tr>
      <w:tr>
        <w:trPr>
          <w:cantSplit/>
        </w:trPr>
        <w:tc>
          <w:tcPr>
            <w:tcW w:type="dxa" w:w="1800"/>
            <w:vAlign w:val="center"/>
          </w:tcPr>
          <w:p>
            <w:r>
              <w:t>Lifecycle</w:t>
            </w:r>
          </w:p>
        </w:tc>
        <w:tc>
          <w:tcPr>
            <w:tcW w:type="dxa" w:w="3900"/>
            <w:vAlign w:val="center"/>
          </w:tcPr>
          <w:p>
            <w:r>
              <w:t>One manager, deterministic registration/removal, FMX before-show, VCL explicit pre-display call where the framework has no universal additive hook, and no post-show replay loop.</w:t>
            </w:r>
          </w:p>
        </w:tc>
        <w:tc>
          <w:tcPr>
            <w:tcW w:type="dxa" w:w="3660"/>
            <w:vAlign w:val="center"/>
          </w:tcPr>
          <w:p>
            <w:r>
              <w:t>VCL/FMX manager and lifecycle suites</w:t>
            </w:r>
          </w:p>
        </w:tc>
      </w:tr>
      <w:tr>
        <w:trPr>
          <w:cantSplit/>
        </w:trPr>
        <w:tc>
          <w:tcPr>
            <w:tcW w:type="dxa" w:w="1800"/>
            <w:vAlign w:val="center"/>
          </w:tcPr>
          <w:p>
            <w:r>
              <w:t>Direction</w:t>
            </w:r>
          </w:p>
        </w:tc>
        <w:tc>
          <w:tcPr>
            <w:tcW w:type="dxa" w:w="3900"/>
            <w:vAlign w:val="center"/>
          </w:tcPr>
          <w:p>
            <w:r>
              <w:t>Every switch starts from the persisted designer baseline, applies exactly one LTR or RTL transformation, and restores menu, status, input, grid, and container direction.</w:t>
            </w:r>
          </w:p>
        </w:tc>
        <w:tc>
          <w:tcPr>
            <w:tcW w:type="dxa" w:w="3660"/>
            <w:vAlign w:val="center"/>
          </w:tcPr>
          <w:p>
            <w:r>
              <w:t>Layout contracts plus VCL/FMX runtime tests</w:t>
            </w:r>
          </w:p>
        </w:tc>
      </w:tr>
      <w:tr>
        <w:trPr>
          <w:cantSplit/>
        </w:trPr>
        <w:tc>
          <w:tcPr>
            <w:tcW w:type="dxa" w:w="1800"/>
            <w:vAlign w:val="center"/>
          </w:tcPr>
          <w:p>
            <w:r>
              <w:t>Layout</w:t>
            </w:r>
          </w:p>
        </w:tc>
        <w:tc>
          <w:tcPr>
            <w:tcW w:type="dxa" w:w="3900"/>
            <w:vAlign w:val="center"/>
          </w:tcPr>
          <w:p>
            <w:r>
              <w:t>Only relative and reversible proposals may be auto-accepted; absolute geometry and grid widths remain reviewed decisions.</w:t>
            </w:r>
          </w:p>
        </w:tc>
        <w:tc>
          <w:tcPr>
            <w:tcW w:type="dxa" w:w="3660"/>
            <w:vAlign w:val="center"/>
          </w:tcPr>
          <w:p>
            <w:r>
              <w:t>Layout contract fixtures</w:t>
            </w:r>
          </w:p>
        </w:tc>
      </w:tr>
      <w:tr>
        <w:trPr>
          <w:cantSplit/>
        </w:trPr>
        <w:tc>
          <w:tcPr>
            <w:tcW w:type="dxa" w:w="1800"/>
            <w:vAlign w:val="center"/>
          </w:tcPr>
          <w:p>
            <w:r>
              <w:t>HTML</w:t>
            </w:r>
          </w:p>
        </w:tc>
        <w:tc>
          <w:tcPr>
            <w:tcW w:type="dxa" w:w="3900"/>
            <w:vAlign w:val="center"/>
          </w:tcPr>
          <w:p>
            <w:r>
              <w:t>Translate visible prose only; preserve markup, comments, protected nodes, scripts, styles, identifiers, and technical tokens.</w:t>
            </w:r>
          </w:p>
        </w:tc>
        <w:tc>
          <w:tcPr>
            <w:tcW w:type="dxa" w:w="3660"/>
            <w:vAlign w:val="center"/>
          </w:tcPr>
          <w:p>
            <w:r>
              <w:t>Foundation browser-pair fixtures</w:t>
            </w:r>
          </w:p>
        </w:tc>
      </w:tr>
      <w:tr>
        <w:trPr>
          <w:cantSplit/>
        </w:trPr>
        <w:tc>
          <w:tcPr>
            <w:tcW w:type="dxa" w:w="1800"/>
            <w:vAlign w:val="center"/>
          </w:tcPr>
          <w:p>
            <w:r>
              <w:t>Scanner</w:t>
            </w:r>
          </w:p>
        </w:tc>
        <w:tc>
          <w:tcPr>
            <w:tcW w:type="dxa" w:w="3900"/>
            <w:vAlign w:val="center"/>
          </w:tcPr>
          <w:p>
            <w:r>
              <w:t>Deterministic order, pruned output trees, cancellation, identical duplicate suppression, and visible conflicting duplicates.</w:t>
            </w:r>
          </w:p>
        </w:tc>
        <w:tc>
          <w:tcPr>
            <w:tcW w:type="dxa" w:w="3660"/>
            <w:vAlign w:val="center"/>
          </w:tcPr>
          <w:p>
            <w:r>
              <w:t>Foundation and scanner contract suites</w:t>
            </w:r>
          </w:p>
        </w:tc>
      </w:tr>
      <w:tr>
        <w:trPr>
          <w:cantSplit/>
        </w:trPr>
        <w:tc>
          <w:tcPr>
            <w:tcW w:type="dxa" w:w="1800"/>
            <w:vAlign w:val="center"/>
          </w:tcPr>
          <w:p>
            <w:r>
              <w:t>Integration</w:t>
            </w:r>
          </w:p>
        </w:tc>
        <w:tc>
          <w:tcPr>
            <w:tcW w:type="dxa" w:w="3900"/>
            <w:vAlign w:val="center"/>
          </w:tcPr>
          <w:p>
            <w:r>
              <w:t>Create component kits in staging, validate manifest and hashes, publish atomically, and roll back failed deployment.</w:t>
            </w:r>
          </w:p>
        </w:tc>
        <w:tc>
          <w:tcPr>
            <w:tcW w:type="dxa" w:w="3660"/>
            <w:vAlign w:val="center"/>
          </w:tcPr>
          <w:p>
            <w:r>
              <w:t>Foundation integration fixtures and package suites</w:t>
            </w:r>
          </w:p>
        </w:tc>
      </w:tr>
      <w:tr>
        <w:trPr>
          <w:cantSplit/>
        </w:trPr>
        <w:tc>
          <w:tcPr>
            <w:tcW w:type="dxa" w:w="1800"/>
            <w:vAlign w:val="center"/>
          </w:tcPr>
          <w:p>
            <w:r>
              <w:t>Responsiveness</w:t>
            </w:r>
          </w:p>
        </w:tc>
        <w:tc>
          <w:tcPr>
            <w:tcW w:type="dxa" w:w="3900"/>
            <w:vAlign w:val="center"/>
          </w:tcPr>
          <w:p>
            <w:r>
              <w:t>Long Studio work executes outside the UI thread, queues progress safely, observes cancellation, and contains no production ProcessMessages loop.</w:t>
            </w:r>
          </w:p>
        </w:tc>
        <w:tc>
          <w:tcPr>
            <w:tcW w:type="dxa" w:w="3660"/>
            <w:vAlign w:val="center"/>
          </w:tcPr>
          <w:p>
            <w:r>
              <w:t>Studio responsiveness contract and launch tests</w:t>
            </w:r>
          </w:p>
        </w:tc>
      </w:tr>
    </w:tbl>
    <w:p>
      <w:pPr>
        <w:pStyle w:val="Heading2"/>
      </w:pPr>
      <w:r>
        <w:t>21.1 Diagnostics boundary</w:t>
      </w:r>
    </w:p>
    <w:p>
      <w:r>
        <w:t>DAT.Core.Diagnostics is the common boundary for persistence recovery, rejected packs, fallback decisions, scan cancellation/conflicts, package publication, deployment rollback, and runtime lifecycle failures. Messages contain operation, artifact, and corrective context but never provider keys or raw authenticated responses.</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