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df72d301a298dd1eee3fe396ccea388ddc1addc"/>
    <w:p>
      <w:pPr>
        <w:pStyle w:val="Heading1"/>
      </w:pPr>
      <w:r>
        <w:t xml:space="preserve">Proposal: Merge "Agent Ready OpenAPI Spec" into PPM-1129</w:t>
      </w:r>
    </w:p>
    <w:tbl>
      <w:tblPr>
        <w:tblStyle w:val="Table"/>
        <w:tblW w:w="10080" w:type="dxa"/>
        <w:tblLook w:firstRow="1" w:lastRow="0" w:firstColumn="0" w:lastColumn="0" w:noHBand="0" w:noVBand="0" w:val="0020"/>
      </w:tblPr>
      <w:tblGrid>
        <w:gridCol w:w="1706"/>
        <w:gridCol w:w="8374"/>
      </w:tblGrid>
      <w:tr>
        <w:trPr>
          <w:tblHeader w:val="on"/>
        </w:trPr>
        <w:tc>
          <w:tcPr>
            <w:tcW w:w="1706" w:type="dxa"/>
          </w:tcPr>
          <w:p>
            <w:pPr>
              <w:pStyle w:val="Compact"/>
            </w:pPr>
          </w:p>
        </w:tc>
        <w:tc>
          <w:tcPr>
            <w:tcW w:w="8374" w:type="dxa"/>
          </w:tcPr>
          <w:p>
            <w:pPr>
              <w:pStyle w:val="Compact"/>
            </w:pPr>
          </w:p>
        </w:tc>
      </w:tr>
      <w:tr>
        <w:tc>
          <w:tcPr>
            <w:tcW w:w="1706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Status</w:t>
            </w:r>
          </w:p>
        </w:tc>
        <w:tc>
          <w:tcPr>
            <w:tcW w:w="8374" w:type="dxa"/>
          </w:tcPr>
          <w:p>
            <w:pPr>
              <w:pStyle w:val="Compact"/>
            </w:pPr>
            <w:r>
              <w:t xml:space="preserve">Draft for review</w:t>
            </w:r>
          </w:p>
        </w:tc>
      </w:tr>
      <w:tr>
        <w:tc>
          <w:tcPr>
            <w:tcW w:w="1706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>
            <w:tcW w:w="8374" w:type="dxa"/>
          </w:tcPr>
          <w:p>
            <w:pPr>
              <w:pStyle w:val="Compact"/>
            </w:pPr>
            <w:r>
              <w:t xml:space="preserve">2026-09-28</w:t>
            </w:r>
          </w:p>
        </w:tc>
      </w:tr>
      <w:tr>
        <w:tc>
          <w:tcPr>
            <w:tcW w:w="1706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Audience</w:t>
            </w:r>
          </w:p>
        </w:tc>
        <w:tc>
          <w:tcPr>
            <w:tcW w:w="8374" w:type="dxa"/>
          </w:tcPr>
          <w:p>
            <w:pPr>
              <w:pStyle w:val="Compact"/>
            </w:pPr>
            <w:r>
              <w:t xml:space="preserve">Geeta Zanvar, Elima Sugunan, Nick Mathison; ARB and CTC reviewers</w:t>
            </w:r>
          </w:p>
        </w:tc>
      </w:tr>
      <w:tr>
        <w:tc>
          <w:tcPr>
            <w:tcW w:w="1706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Concerns</w:t>
            </w:r>
          </w:p>
        </w:tc>
        <w:tc>
          <w:tcPr>
            <w:tcW w:w="8374" w:type="dxa"/>
          </w:tcPr>
          <w:p>
            <w:pPr>
              <w:pStyle w:val="Compact"/>
            </w:pPr>
            <w:r>
              <w:t xml:space="preserve">PPM-1129 (Vocabulary &amp; Domain Model Guidance); row 6 of the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DCT AI Assistant – Delphix MCP Server – GA</w:t>
              </w:r>
            </w:hyperlink>
            <w:r>
              <w:t xml:space="preserve"> </w:t>
            </w:r>
            <w:r>
              <w:t xml:space="preserve">page ("Agent Ready Open API Spec"); DLPXECO-14529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0" w:name="recommendation"/>
    <w:p>
      <w:pPr>
        <w:pStyle w:val="Heading2"/>
      </w:pPr>
      <w:r>
        <w:t xml:space="preserve">Recommendation</w:t>
      </w:r>
    </w:p>
    <w:p>
      <w:pPr>
        <w:pStyle w:val="FirstParagraph"/>
      </w:pPr>
      <w:r>
        <w:t xml:space="preserve">Track the agent-ready OpenAPI spec work</w:t>
      </w:r>
      <w:r>
        <w:t xml:space="preserve"> </w:t>
      </w:r>
      <w:r>
        <w:rPr>
          <w:b/>
          <w:bCs/>
        </w:rPr>
        <w:t xml:space="preserve">inside PPM-1129</w:t>
      </w:r>
      <w:r>
        <w:t xml:space="preserve"> </w:t>
      </w:r>
      <w:r>
        <w:t xml:space="preserve">rather than as a second idea.</w:t>
      </w:r>
      <w:r>
        <w:t xml:space="preserve"> </w:t>
      </w:r>
      <w:r>
        <w:t xml:space="preserve">Retitle PPM-1129 to reflect the widened scope, point both row 5 and row 6 of the GA page at it,</w:t>
      </w:r>
      <w:r>
        <w:t xml:space="preserve"> </w:t>
      </w:r>
      <w:r>
        <w:t xml:space="preserve">and split delivery into two epics so the DCT-side build blockers do not gate the MCP-side work.</w:t>
      </w:r>
    </w:p>
    <w:p>
      <w:pPr>
        <w:pStyle w:val="BodyText"/>
      </w:pPr>
      <w:r>
        <w:t xml:space="preserve">No second PPM is needed. Row 6 has no ticket today, so this is a decision not to create a</w:t>
      </w:r>
      <w:r>
        <w:t xml:space="preserve"> </w:t>
      </w:r>
      <w:r>
        <w:t xml:space="preserve">duplicate rather than a consolidation of two live items.</w:t>
      </w:r>
    </w:p>
    <w:p>
      <w:r>
        <w:pict>
          <v:rect style="width:0;height:1.5pt" o:hralign="center" o:hrstd="t" o:hr="t"/>
        </w:pict>
      </w:r>
    </w:p>
    <w:bookmarkEnd w:id="10"/>
    <w:bookmarkStart w:id="15" w:name="why-these-are-one-piece-of-work-not-two"/>
    <w:p>
      <w:pPr>
        <w:pStyle w:val="Heading2"/>
      </w:pPr>
      <w:r>
        <w:t xml:space="preserve">Why these are one piece of work, not two</w:t>
      </w:r>
    </w:p>
    <w:bookmarkStart w:id="11" w:name="Xccf1a8b1d26c2f606fb4856dc2cfb26711a80cd"/>
    <w:p>
      <w:pPr>
        <w:pStyle w:val="Heading3"/>
      </w:pPr>
      <w:r>
        <w:t xml:space="preserve">1. They are the same edit to the same fields</w:t>
      </w:r>
    </w:p>
    <w:p>
      <w:pPr>
        <w:pStyle w:val="FirstParagraph"/>
      </w:pPr>
      <w:r>
        <w:t xml:space="preserve">Agent-readiness asks whether an operation says anything useful at all. Vocabulary asks which</w:t>
      </w:r>
      <w:r>
        <w:t xml:space="preserve"> </w:t>
      </w:r>
      <w:r>
        <w:t xml:space="preserve">words it uses when it does. Both are answered by writing the</w:t>
      </w:r>
      <w:r>
        <w:t xml:space="preserve"> </w:t>
      </w:r>
      <w:r>
        <w:rPr>
          <w:rStyle w:val="VerbatimChar"/>
        </w:rPr>
        <w:t xml:space="preserve">summary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of the</w:t>
      </w:r>
      <w:r>
        <w:t xml:space="preserve"> </w:t>
      </w:r>
      <w:r>
        <w:t xml:space="preserve">same operations in the same five source specs (</w:t>
      </w:r>
      <w:r>
        <w:rPr>
          <w:rStyle w:val="VerbatimChar"/>
        </w:rPr>
        <w:t xml:space="preserve">core-api</w:t>
      </w:r>
      <w:r>
        <w:t xml:space="preserve">,</w:t>
      </w:r>
      <w:r>
        <w:t xml:space="preserve"> </w:t>
      </w:r>
      <w:r>
        <w:rPr>
          <w:rStyle w:val="VerbatimChar"/>
        </w:rPr>
        <w:t xml:space="preserve">virtualization-api</w:t>
      </w:r>
      <w:r>
        <w:t xml:space="preserve">,</w:t>
      </w:r>
      <w:r>
        <w:t xml:space="preserve"> </w:t>
      </w:r>
      <w:r>
        <w:rPr>
          <w:rStyle w:val="VerbatimChar"/>
        </w:rPr>
        <w:t xml:space="preserve">masking-api</w:t>
      </w:r>
      <w:r>
        <w:t xml:space="preserve">,</w:t>
      </w:r>
      <w:r>
        <w:t xml:space="preserve"> </w:t>
      </w:r>
      <w:r>
        <w:rPr>
          <w:rStyle w:val="VerbatimChar"/>
        </w:rPr>
        <w:t xml:space="preserve">syngen-api</w:t>
      </w:r>
      <w:r>
        <w:t xml:space="preserve">,</w:t>
      </w:r>
      <w:r>
        <w:t xml:space="preserve"> </w:t>
      </w:r>
      <w:r>
        <w:rPr>
          <w:rStyle w:val="VerbatimChar"/>
        </w:rPr>
        <w:t xml:space="preserve">ai-control-api</w:t>
      </w:r>
      <w:r>
        <w:t xml:space="preserve">).</w:t>
      </w:r>
    </w:p>
    <w:p>
      <w:pPr>
        <w:pStyle w:val="BodyText"/>
      </w:pPr>
      <w:r>
        <w:t xml:space="preserve">Writing the 1,025 currently-missing descriptions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moment the vocabulary gets chosen.</w:t>
      </w:r>
      <w:r>
        <w:t xml:space="preserve"> </w:t>
      </w:r>
      <w:r>
        <w:t xml:space="preserve">Sequencing them as separate tickets means authoring the same YAML twice, with the second pass</w:t>
      </w:r>
      <w:r>
        <w:t xml:space="preserve"> </w:t>
      </w:r>
      <w:r>
        <w:t xml:space="preserve">conflicting with the first.</w:t>
      </w:r>
    </w:p>
    <w:bookmarkEnd w:id="11"/>
    <w:bookmarkStart w:id="12" w:name="X3291102ee517722be96b5654d418c6a73440cc7"/>
    <w:p>
      <w:pPr>
        <w:pStyle w:val="Heading3"/>
      </w:pPr>
      <w:r>
        <w:t xml:space="preserve">2. Both compete for one scarce field</w:t>
      </w:r>
    </w:p>
    <w:p>
      <w:pPr>
        <w:pStyle w:val="FirstParagraph"/>
      </w:pPr>
      <w:r>
        <w:t xml:space="preserve">The MCP server matches user intent on</w:t>
      </w:r>
      <w:r>
        <w:t xml:space="preserve"> </w:t>
      </w:r>
      <w:r>
        <w:rPr>
          <w:rStyle w:val="VerbatimChar"/>
        </w:rPr>
        <w:t xml:space="preserve">operationId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tags</w:t>
      </w:r>
      <w:r>
        <w:t xml:space="preserve">, and</w:t>
      </w:r>
      <w:r>
        <w:t xml:space="preserve"> </w:t>
      </w:r>
      <w:r>
        <w:rPr>
          <w:b/>
          <w:bCs/>
        </w:rPr>
        <w:t xml:space="preserve">never 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description</w:t>
      </w:r>
      <w:r>
        <w:t xml:space="preserve"> </w:t>
      </w:r>
      <w:r>
        <w:t xml:space="preserve">(measured in DLPXECO-14529; confirmed in</w:t>
      </w:r>
      <w:r>
        <w:t xml:space="preserve"> </w:t>
      </w:r>
      <w:r>
        <w:rPr>
          <w:rStyle w:val="VerbatimChar"/>
        </w:rPr>
        <w:t xml:space="preserve">tools/core/dynamic.py:1197</w:t>
      </w:r>
      <w:r>
        <w:t xml:space="preserve">, where</w:t>
      </w:r>
      <w:r>
        <w:t xml:space="preserve"> </w:t>
      </w:r>
      <w:r>
        <w:rPr>
          <w:rStyle w:val="VerbatimChar"/>
        </w:rPr>
        <w:t xml:space="preserve">_action_list_operations</w:t>
      </w:r>
      <w:r>
        <w:t xml:space="preserve"> </w:t>
      </w:r>
      <w:r>
        <w:t xml:space="preserve">returns exactly those four fields to the model).</w:t>
      </w:r>
    </w:p>
    <w:p>
      <w:pPr>
        <w:pStyle w:val="BodyText"/>
      </w:pPr>
      <w:r>
        <w:t xml:space="preserve">This has a consequence that reshapes both efforts: any synonym intended to be</w:t>
      </w:r>
      <w:r>
        <w:t xml:space="preserve"> </w:t>
      </w:r>
      <w:r>
        <w:rPr>
          <w:i/>
          <w:iCs/>
        </w:rPr>
        <w:t xml:space="preserve">searchable</w:t>
      </w:r>
      <w:r>
        <w:t xml:space="preserve"> </w:t>
      </w:r>
      <w:r>
        <w:t xml:space="preserve">must</w:t>
      </w:r>
      <w:r>
        <w:t xml:space="preserve"> </w:t>
      </w:r>
      <w:r>
        <w:t xml:space="preserve">live in</w:t>
      </w:r>
      <w:r>
        <w:t xml:space="preserve"> </w:t>
      </w:r>
      <w:r>
        <w:rPr>
          <w:rStyle w:val="VerbatimChar"/>
        </w:rPr>
        <w:t xml:space="preserve">summary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. Vocabulary work and agent-readiness work therefore contend</w:t>
      </w:r>
      <w:r>
        <w:t xml:space="preserve"> </w:t>
      </w:r>
      <w:r>
        <w:t xml:space="preserve">for the same handful of characters in the same field. That is a single editorial decision per</w:t>
      </w:r>
      <w:r>
        <w:t xml:space="preserve"> </w:t>
      </w:r>
      <w:r>
        <w:t xml:space="preserve">operation, not two independent ones.</w:t>
      </w:r>
    </w:p>
    <w:bookmarkEnd w:id="12"/>
    <w:bookmarkStart w:id="13" w:name="Xf5bf1de5c4c50180a7249e7134642891efb7e99"/>
    <w:p>
      <w:pPr>
        <w:pStyle w:val="Heading3"/>
      </w:pPr>
      <w:r>
        <w:t xml:space="preserve">3. The implementing story already spans both</w:t>
      </w:r>
    </w:p>
    <w:p>
      <w:pPr>
        <w:pStyle w:val="FirstParagraph"/>
      </w:pPr>
      <w:r>
        <w:t xml:space="preserve">DLPXECO-14529 ("Enrich DCT OpenAPI descriptions so the MCP server can infer user intent") opens</w:t>
      </w:r>
      <w:r>
        <w:t xml:space="preserve"> </w:t>
      </w:r>
      <w:r>
        <w:t xml:space="preserve">with</w:t>
      </w:r>
      <w:r>
        <w:t xml:space="preserve"> </w:t>
      </w:r>
      <w:r>
        <w:rPr>
          <w:i/>
          <w:iCs/>
        </w:rPr>
        <w:t xml:space="preserve">"Implements the spec-level lever of PPM-1129"</w:t>
      </w:r>
      <w:r>
        <w:t xml:space="preserve"> </w:t>
      </w:r>
      <w:r>
        <w:t xml:space="preserve">and is linked to PPM-1129 as</w:t>
      </w:r>
      <w:r>
        <w:t xml:space="preserve"> </w:t>
      </w:r>
      <w:r>
        <w:rPr>
          <w:i/>
          <w:iCs/>
        </w:rPr>
        <w:t xml:space="preserve">is implemented</w:t>
      </w:r>
      <w:r>
        <w:rPr>
          <w:i/>
          <w:iCs/>
        </w:rPr>
        <w:t xml:space="preserve"> </w:t>
      </w:r>
      <w:r>
        <w:rPr>
          <w:i/>
          <w:iCs/>
        </w:rPr>
        <w:t xml:space="preserve">by</w:t>
      </w:r>
      <w:r>
        <w:t xml:space="preserve">. It already carries the measurements, a working prototype branch, and both blockers. A second</w:t>
      </w:r>
      <w:r>
        <w:t xml:space="preserve"> </w:t>
      </w:r>
      <w:r>
        <w:t xml:space="preserve">PPM for row 6 would give one prototype branch two parents.</w:t>
      </w:r>
    </w:p>
    <w:bookmarkEnd w:id="13"/>
    <w:bookmarkStart w:id="14" w:name="Xaa550f2bf3c7ad6978be31fb43252a50f324b8e"/>
    <w:p>
      <w:pPr>
        <w:pStyle w:val="Heading3"/>
      </w:pPr>
      <w:r>
        <w:t xml:space="preserve">4. They share every gate</w:t>
      </w:r>
    </w:p>
    <w:p>
      <w:pPr>
        <w:pStyle w:val="FirstParagraph"/>
      </w:pPr>
      <w:r>
        <w:t xml:space="preserve">Rows 5 and 6 of the GA page are identical on every axis that matters: Teams = DCT + MCP, Status =</w:t>
      </w:r>
      <w:r>
        <w:t xml:space="preserve"> </w:t>
      </w:r>
      <w:r>
        <w:t xml:space="preserve">Exploration, ARB Required, CTC for MCP Required, and the same release pair (DCT GA 2026.6.0 /</w:t>
      </w:r>
      <w:r>
        <w:t xml:space="preserve"> </w:t>
      </w:r>
      <w:r>
        <w:t xml:space="preserve">MCP GA 2026.1.0). One PPM means one ARB submission, one CTC page, one set of Design reviewers.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what-agent-ready-means-concretely"/>
    <w:p>
      <w:pPr>
        <w:pStyle w:val="Heading2"/>
      </w:pPr>
      <w:r>
        <w:t xml:space="preserve">What "agent-ready" means concretely</w:t>
      </w:r>
    </w:p>
    <w:p>
      <w:pPr>
        <w:pStyle w:val="FirstParagraph"/>
      </w:pPr>
      <w:r>
        <w:t xml:space="preserve">The phrase needs pinning down in the ticket, because the work behind it is specific. Baseline</w:t>
      </w:r>
      <w:r>
        <w:t xml:space="preserve"> </w:t>
      </w:r>
      <w:r>
        <w:t xml:space="preserve">measured against DCT 3.30.0, 1,044 external operations in</w:t>
      </w:r>
      <w:r>
        <w:t xml:space="preserve"> </w:t>
      </w:r>
      <w:r>
        <w:rPr>
          <w:rStyle w:val="VerbatimChar"/>
        </w:rPr>
        <w:t xml:space="preserve">api-external.yaml</w:t>
      </w:r>
      <w:r>
        <w:t xml:space="preserve">; "prototype" column</w:t>
      </w:r>
      <w:r>
        <w:t xml:space="preserve"> </w:t>
      </w:r>
      <w:r>
        <w:t xml:space="preserve">is the state reached on the unpushed branch described in DLPXECO-14529.</w:t>
      </w:r>
    </w:p>
    <w:tbl>
      <w:tblPr>
        <w:tblStyle w:val="Table"/>
        <w:tblW w:w="10080" w:type="dxa"/>
        <w:tblLook w:firstRow="1" w:lastRow="0" w:firstColumn="0" w:lastColumn="0" w:noHBand="0" w:noVBand="0" w:val="0020"/>
      </w:tblPr>
      <w:tblGrid>
        <w:gridCol w:w="4158"/>
        <w:gridCol w:w="2772"/>
        <w:gridCol w:w="3150"/>
      </w:tblGrid>
      <w:tr>
        <w:trPr>
          <w:tblHeader w:val="on"/>
        </w:trPr>
        <w:tc>
          <w:tcPr>
            <w:tcW w:w="4158" w:type="dxa"/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W w:w="2772" w:type="dxa"/>
          </w:tcPr>
          <w:p>
            <w:pPr>
              <w:pStyle w:val="Compact"/>
            </w:pPr>
            <w:r>
              <w:t xml:space="preserve">Today</w:t>
            </w:r>
          </w:p>
        </w:tc>
        <w:tc>
          <w:tcPr>
            <w:tcW w:w="3150" w:type="dxa"/>
          </w:tcPr>
          <w:p>
            <w:pPr>
              <w:pStyle w:val="Compact"/>
            </w:pPr>
            <w:r>
              <w:t xml:space="preserve">Agent-ready target</w:t>
            </w:r>
          </w:p>
        </w:tc>
      </w:tr>
      <w:tr>
        <w:tc>
          <w:tcPr>
            <w:tcW w:w="4158" w:type="dxa"/>
          </w:tcPr>
          <w:p>
            <w:pPr>
              <w:pStyle w:val="Compact"/>
            </w:pPr>
            <w:r>
              <w:t xml:space="preserve">Operations carrying a</w:t>
            </w:r>
            <w:r>
              <w:t xml:space="preserve"> </w:t>
            </w:r>
            <w:r>
              <w:rPr>
                <w:rStyle w:val="VerbatimChar"/>
              </w:rPr>
              <w:t xml:space="preserve">description</w:t>
            </w:r>
          </w:p>
        </w:tc>
        <w:tc>
          <w:tcPr>
            <w:tcW w:w="2772" w:type="dxa"/>
          </w:tcPr>
          <w:p>
            <w:pPr>
              <w:pStyle w:val="Compact"/>
            </w:pPr>
            <w:r>
              <w:t xml:space="preserve">19 (1.8%)</w:t>
            </w:r>
          </w:p>
        </w:tc>
        <w:tc>
          <w:tcPr>
            <w:tcW w:w="3150" w:type="dxa"/>
          </w:tcPr>
          <w:p>
            <w:pPr>
              <w:pStyle w:val="Compact"/>
            </w:pPr>
            <w:r>
              <w:t xml:space="preserve">1,044 (100%)</w:t>
            </w:r>
          </w:p>
        </w:tc>
      </w:tr>
      <w:tr>
        <w:tc>
          <w:tcPr>
            <w:tcW w:w="4158" w:type="dxa"/>
          </w:tcPr>
          <w:p>
            <w:pPr>
              <w:pStyle w:val="Compact"/>
            </w:pPr>
            <w:r>
              <w:t xml:space="preserve">Operations stating an explicit use case</w:t>
            </w:r>
          </w:p>
        </w:tc>
        <w:tc>
          <w:tcPr>
            <w:tcW w:w="2772" w:type="dxa"/>
          </w:tcPr>
          <w:p>
            <w:pPr>
              <w:pStyle w:val="Compact"/>
            </w:pPr>
            <w:r>
              <w:t xml:space="preserve">198 (18.6%)</w:t>
            </w:r>
          </w:p>
        </w:tc>
        <w:tc>
          <w:tcPr>
            <w:tcW w:w="3150" w:type="dxa"/>
          </w:tcPr>
          <w:p>
            <w:pPr>
              <w:pStyle w:val="Compact"/>
            </w:pPr>
            <w:r>
              <w:t xml:space="preserve">406 (38.2%)</w:t>
            </w:r>
          </w:p>
        </w:tc>
      </w:tr>
      <w:tr>
        <w:tc>
          <w:tcPr>
            <w:tcW w:w="4158" w:type="dxa"/>
          </w:tcPr>
          <w:p>
            <w:pPr>
              <w:pStyle w:val="Compact"/>
            </w:pPr>
            <w:r>
              <w:t xml:space="preserve">Purely mechanical descriptions</w:t>
            </w:r>
          </w:p>
        </w:tc>
        <w:tc>
          <w:tcPr>
            <w:tcW w:w="2772" w:type="dxa"/>
          </w:tcPr>
          <w:p>
            <w:pPr>
              <w:pStyle w:val="Compact"/>
            </w:pPr>
            <w:r>
              <w:t xml:space="preserve">533 (50.1%)</w:t>
            </w:r>
          </w:p>
        </w:tc>
        <w:tc>
          <w:tcPr>
            <w:tcW w:w="3150" w:type="dxa"/>
          </w:tcPr>
          <w:p>
            <w:pPr>
              <w:pStyle w:val="Compact"/>
            </w:pPr>
            <w:r>
              <w:t xml:space="preserve">326 (30.6%)</w:t>
            </w:r>
          </w:p>
        </w:tc>
      </w:tr>
      <w:tr>
        <w:tc>
          <w:tcPr>
            <w:tcW w:w="4158" w:type="dxa"/>
          </w:tcPr>
          <w:p>
            <w:pPr>
              <w:pStyle w:val="Compact"/>
            </w:pPr>
            <w:r>
              <w:t xml:space="preserve">Terse generic-verb summaries</w:t>
            </w:r>
          </w:p>
        </w:tc>
        <w:tc>
          <w:tcPr>
            <w:tcW w:w="2772" w:type="dxa"/>
          </w:tcPr>
          <w:p>
            <w:pPr>
              <w:pStyle w:val="Compact"/>
            </w:pPr>
            <w:r>
              <w:t xml:space="preserve">540 (51.7%)</w:t>
            </w:r>
          </w:p>
        </w:tc>
        <w:tc>
          <w:tcPr>
            <w:tcW w:w="3150" w:type="dxa"/>
          </w:tcPr>
          <w:p>
            <w:pPr>
              <w:pStyle w:val="Compact"/>
            </w:pPr>
            <w:r>
              <w:t xml:space="preserve">materially reduced</w:t>
            </w:r>
          </w:p>
        </w:tc>
      </w:tr>
      <w:tr>
        <w:tc>
          <w:tcPr>
            <w:tcW w:w="4158" w:type="dxa"/>
          </w:tcPr>
          <w:p>
            <w:pPr>
              <w:pStyle w:val="Compact"/>
            </w:pPr>
            <w:r>
              <w:t xml:space="preserve">Request-body properties undescribed</w:t>
            </w:r>
          </w:p>
        </w:tc>
        <w:tc>
          <w:tcPr>
            <w:tcW w:w="2772" w:type="dxa"/>
          </w:tcPr>
          <w:p>
            <w:pPr>
              <w:pStyle w:val="Compact"/>
            </w:pPr>
            <w:r>
              <w:t xml:space="preserve">144</w:t>
            </w:r>
          </w:p>
        </w:tc>
        <w:tc>
          <w:tcPr>
            <w:tcW w:w="3150" w:type="dxa"/>
          </w:tcPr>
          <w:p>
            <w:pPr>
              <w:pStyle w:val="Compact"/>
            </w:pPr>
            <w:r>
              <w:t xml:space="preserve">0</w:t>
            </w:r>
          </w:p>
        </w:tc>
      </w:tr>
      <w:tr>
        <w:tc>
          <w:tcPr>
            <w:tcW w:w="4158" w:type="dxa"/>
          </w:tcPr>
          <w:p>
            <w:pPr>
              <w:pStyle w:val="Compact"/>
            </w:pPr>
            <w:r>
              <w:t xml:space="preserve">Searchable vocabulary / synonyms</w:t>
            </w:r>
          </w:p>
        </w:tc>
        <w:tc>
          <w:tcPr>
            <w:tcW w:w="2772" w:type="dxa"/>
          </w:tcPr>
          <w:p>
            <w:pPr>
              <w:pStyle w:val="Compact"/>
            </w:pPr>
            <w:r>
              <w:t xml:space="preserve">none</w:t>
            </w:r>
          </w:p>
        </w:tc>
        <w:tc>
          <w:tcPr>
            <w:tcW w:w="3150" w:type="dxa"/>
          </w:tcPr>
          <w:p>
            <w:pPr>
              <w:pStyle w:val="Compact"/>
            </w:pPr>
            <w:r>
              <w:t xml:space="preserve">present in</w:t>
            </w:r>
            <w:r>
              <w:t xml:space="preserve"> </w:t>
            </w:r>
            <w:r>
              <w:rPr>
                <w:rStyle w:val="VerbatimChar"/>
              </w:rPr>
              <w:t xml:space="preserve">summary</w:t>
            </w:r>
            <w:r>
              <w:t xml:space="preserve">, where routing reads</w:t>
            </w:r>
          </w:p>
        </w:tc>
      </w:tr>
      <w:tr>
        <w:tc>
          <w:tcPr>
            <w:tcW w:w="4158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filter_expression</w:t>
            </w:r>
            <w:r>
              <w:t xml:space="preserve"> </w:t>
            </w:r>
            <w:r>
              <w:t xml:space="preserve">documentation</w:t>
            </w:r>
          </w:p>
        </w:tc>
        <w:tc>
          <w:tcPr>
            <w:tcW w:w="2772" w:type="dxa"/>
          </w:tcPr>
          <w:p>
            <w:pPr>
              <w:pStyle w:val="Compact"/>
            </w:pPr>
            <w:r>
              <w:t xml:space="preserve">one cryptic example, shared by all 138</w:t>
            </w:r>
            <w:r>
              <w:t xml:space="preserve"> </w:t>
            </w:r>
            <w:r>
              <w:rPr>
                <w:rStyle w:val="VerbatimChar"/>
              </w:rPr>
              <w:t xml:space="preserve">/search</w:t>
            </w:r>
            <w:r>
              <w:t xml:space="preserve"> </w:t>
            </w:r>
            <w:r>
              <w:t xml:space="preserve">endpoints</w:t>
            </w:r>
          </w:p>
        </w:tc>
        <w:tc>
          <w:tcPr>
            <w:tcW w:w="3150" w:type="dxa"/>
          </w:tcPr>
          <w:p>
            <w:pPr>
              <w:pStyle w:val="Compact"/>
            </w:pPr>
            <w:r>
              <w:t xml:space="preserve">operator grammar plus per-endpoint filterable-field lists</w:t>
            </w:r>
          </w:p>
        </w:tc>
      </w:tr>
      <w:tr>
        <w:tc>
          <w:tcPr>
            <w:tcW w:w="4158" w:type="dxa"/>
          </w:tcPr>
          <w:p>
            <w:pPr>
              <w:pStyle w:val="Compact"/>
            </w:pPr>
            <w:r>
              <w:t xml:space="preserve">Operation mechanics</w:t>
            </w:r>
          </w:p>
        </w:tc>
        <w:tc>
          <w:tcPr>
            <w:tcW w:w="2772" w:type="dxa"/>
          </w:tcPr>
          <w:p>
            <w:pPr>
              <w:pStyle w:val="Compact"/>
            </w:pPr>
            <w:r>
              <w:t xml:space="preserve">implicit</w:t>
            </w:r>
          </w:p>
        </w:tc>
        <w:tc>
          <w:tcPr>
            <w:tcW w:w="3150" w:type="dxa"/>
          </w:tcPr>
          <w:p>
            <w:pPr>
              <w:pStyle w:val="Compact"/>
            </w:pPr>
            <w:r>
              <w:t xml:space="preserve">pagination, async job polling and required fields stated</w:t>
            </w:r>
          </w:p>
        </w:tc>
      </w:tr>
    </w:tbl>
    <w:p>
      <w:pPr>
        <w:pStyle w:val="BodyText"/>
      </w:pPr>
      <w:r>
        <w:t xml:space="preserve">Descriptions in the prototype are generated from facts already in the spec, not invented: for</w:t>
      </w:r>
      <w:r>
        <w:t xml:space="preserve"> </w:t>
      </w:r>
      <w:r>
        <w:t xml:space="preserve">long-tail endpoints the lead sentence is the existing summary verbatim with derived mechanics</w:t>
      </w:r>
      <w:r>
        <w:t xml:space="preserve"> </w:t>
      </w:r>
      <w:r>
        <w:t xml:space="preserve">appended, and domain prose is drawn from the 505 component schemas that already carry</w:t>
      </w:r>
      <w:r>
        <w:t xml:space="preserve"> </w:t>
      </w:r>
      <w:r>
        <w:t xml:space="preserve">descriptions.</w:t>
      </w:r>
    </w:p>
    <w:p>
      <w:pPr>
        <w:pStyle w:val="BodyText"/>
      </w:pPr>
      <w:r>
        <w:rPr>
          <w:b/>
          <w:bCs/>
        </w:rPr>
        <w:t xml:space="preserve">Demonstrated effect.</w:t>
      </w:r>
      <w:r>
        <w:t xml:space="preserve"> </w:t>
      </w:r>
      <w:r>
        <w:t xml:space="preserve">An A/B harness run against the MCP server's own</w:t>
      </w:r>
      <w:r>
        <w:t xml:space="preserve"> </w:t>
      </w:r>
      <w:r>
        <w:rPr>
          <w:rStyle w:val="VerbatimChar"/>
        </w:rPr>
        <w:t xml:space="preserve">endpoint_discovery</w:t>
      </w:r>
      <w:r>
        <w:t xml:space="preserve"> </w:t>
      </w:r>
      <w:r>
        <w:t xml:space="preserve">module showed routing changes such as: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"list my golden copies"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GET /compliance-job-collections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GET /vdbs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"generate a secure lookup list for a masking algorithm"</w:t>
      </w:r>
      <w:r>
        <w:t xml:space="preserve"> </w:t>
      </w:r>
      <w:r>
        <w:t xml:space="preserve">— a masking-file-download endpoint →</w:t>
      </w:r>
      <w:r>
        <w:t xml:space="preserve"> </w:t>
      </w:r>
      <w:r>
        <w:rPr>
          <w:rStyle w:val="VerbatimChar"/>
        </w:rPr>
        <w:t xml:space="preserve">POST /ai/generate</w:t>
      </w:r>
    </w:p>
    <w:p>
      <w:pPr>
        <w:pStyle w:val="FirstParagraph"/>
      </w:pPr>
      <w:r>
        <w:rPr>
          <w:b/>
          <w:bCs/>
        </w:rPr>
        <w:t xml:space="preserve">Annotation precedent.</w:t>
      </w:r>
      <w:r>
        <w:t xml:space="preserve"> </w:t>
      </w:r>
      <w:r>
        <w:t xml:space="preserve">The spec already carries</w:t>
      </w:r>
      <w:r>
        <w:t xml:space="preserve"> </w:t>
      </w:r>
      <w:r>
        <w:rPr>
          <w:rStyle w:val="VerbatimChar"/>
        </w:rPr>
        <w:t xml:space="preserve">x-dct-toolkit-credential-field</w:t>
      </w:r>
      <w:r>
        <w:t xml:space="preserve">, which the MCP</w:t>
      </w:r>
      <w:r>
        <w:t xml:space="preserve"> </w:t>
      </w:r>
      <w:r>
        <w:t xml:space="preserve">server treats as the authoritative list of secret fields. Agent-affordance annotations</w:t>
      </w:r>
      <w:r>
        <w:t xml:space="preserve"> </w:t>
      </w:r>
      <w:r>
        <w:t xml:space="preserve">(idempotency, destructiveness, long-running) would extend that established pattern rather than</w:t>
      </w:r>
      <w:r>
        <w:t xml:space="preserve"> </w:t>
      </w:r>
      <w:r>
        <w:t xml:space="preserve">introduce a new one, and would feed PPM-1127 (Tool Annotations) directly.</w:t>
      </w:r>
    </w:p>
    <w:p>
      <w:r>
        <w:pict>
          <v:rect style="width:0;height:1.5pt" o:hralign="center" o:hrstd="t" o:hr="t"/>
        </w:pict>
      </w:r>
    </w:p>
    <w:bookmarkEnd w:id="16"/>
    <w:bookmarkStart w:id="17" w:name="X2ad2b16e6ceae3f1f9d85c9695a625178953eb9"/>
    <w:p>
      <w:pPr>
        <w:pStyle w:val="Heading2"/>
      </w:pPr>
      <w:r>
        <w:t xml:space="preserve">What the vocabulary work covers concretely</w:t>
      </w:r>
    </w:p>
    <w:p>
      <w:pPr>
        <w:pStyle w:val="FirstParagraph"/>
      </w:pPr>
      <w:r>
        <w:t xml:space="preserve">The other half of the merged scope. Where agent-readiness asks whether an operation says anything</w:t>
      </w:r>
      <w:r>
        <w:t xml:space="preserve"> </w:t>
      </w:r>
      <w:r>
        <w:t xml:space="preserve">useful, this decides the words it uses. Source is PPM-1129's problem statement, to be reconciled</w:t>
      </w:r>
      <w:r>
        <w:t xml:space="preserve"> </w:t>
      </w:r>
      <w:r>
        <w:t xml:space="preserve">against Glossary v1.2 (30 canonical terms, ~168 synonym rows).</w:t>
      </w:r>
    </w:p>
    <w:tbl>
      <w:tblPr>
        <w:tblStyle w:val="Table"/>
        <w:tblW w:w="10080" w:type="dxa"/>
        <w:tblLook w:firstRow="1" w:lastRow="0" w:firstColumn="0" w:lastColumn="0" w:noHBand="0" w:noVBand="0" w:val="0020"/>
      </w:tblPr>
      <w:tblGrid>
        <w:gridCol w:w="1638"/>
        <w:gridCol w:w="1386"/>
        <w:gridCol w:w="2142"/>
        <w:gridCol w:w="1512"/>
        <w:gridCol w:w="3402"/>
      </w:tblGrid>
      <w:tr>
        <w:trPr>
          <w:tblHeader w:val="on"/>
        </w:trPr>
        <w:tc>
          <w:tcPr>
            <w:tcW w:w="1638" w:type="dxa"/>
          </w:tcPr>
          <w:p>
            <w:pPr>
              <w:pStyle w:val="Compact"/>
            </w:pPr>
            <w:r>
              <w:t xml:space="preserve">Concern</w:t>
            </w:r>
          </w:p>
        </w:tc>
        <w:tc>
          <w:tcPr>
            <w:tcW w:w="1386" w:type="dxa"/>
          </w:tcPr>
          <w:p>
            <w:pPr>
              <w:pStyle w:val="Compact"/>
            </w:pPr>
            <w:r>
              <w:t xml:space="preserve">Canonical</w:t>
            </w:r>
          </w:p>
        </w:tc>
        <w:tc>
          <w:tcPr>
            <w:tcW w:w="2142" w:type="dxa"/>
          </w:tcPr>
          <w:p>
            <w:pPr>
              <w:pStyle w:val="Compact"/>
            </w:pPr>
            <w:r>
              <w:t xml:space="preserve">Accept as input</w:t>
            </w:r>
          </w:p>
        </w:tc>
        <w:tc>
          <w:tcPr>
            <w:tcW w:w="1512" w:type="dxa"/>
          </w:tcPr>
          <w:p>
            <w:pPr>
              <w:pStyle w:val="Compact"/>
            </w:pPr>
            <w:r>
              <w:t xml:space="preserve">Avoid in output</w:t>
            </w:r>
          </w:p>
        </w:tc>
        <w:tc>
          <w:tcPr>
            <w:tcW w:w="3402" w:type="dxa"/>
          </w:tcPr>
          <w:p>
            <w:pPr>
              <w:pStyle w:val="Compact"/>
            </w:pPr>
            <w:r>
              <w:t xml:space="preserve">Why it matters</w:t>
            </w:r>
          </w:p>
        </w:tc>
      </w:tr>
      <w:tr>
        <w:tc>
          <w:tcPr>
            <w:tcW w:w="1638" w:type="dxa"/>
          </w:tcPr>
          <w:p>
            <w:pPr>
              <w:pStyle w:val="Compact"/>
            </w:pPr>
            <w:r>
              <w:t xml:space="preserve">Core data object</w:t>
            </w:r>
          </w:p>
        </w:tc>
        <w:tc>
          <w:tcPr>
            <w:tcW w:w="1386" w:type="dxa"/>
          </w:tcPr>
          <w:p>
            <w:pPr>
              <w:pStyle w:val="Compact"/>
            </w:pPr>
            <w:r>
              <w:t xml:space="preserve">VDB</w:t>
            </w:r>
          </w:p>
        </w:tc>
        <w:tc>
          <w:tcPr>
            <w:tcW w:w="2142" w:type="dxa"/>
          </w:tcPr>
          <w:p>
            <w:pPr>
              <w:pStyle w:val="Compact"/>
            </w:pPr>
            <w:r>
              <w:t xml:space="preserve">database, virtual database, clone, copy</w:t>
            </w:r>
          </w:p>
        </w:tc>
        <w:tc>
          <w:tcPr>
            <w:tcW w:w="1512" w:type="dxa"/>
          </w:tcPr>
          <w:p>
            <w:pPr>
              <w:pStyle w:val="Compact"/>
            </w:pPr>
            <w:r>
              <w:t xml:space="preserve">—</w:t>
            </w:r>
          </w:p>
        </w:tc>
        <w:tc>
          <w:tcPr>
            <w:tcW w:w="3402" w:type="dxa"/>
          </w:tcPr>
          <w:p>
            <w:pPr>
              <w:pStyle w:val="Compact"/>
            </w:pPr>
            <w:r>
              <w:t xml:space="preserve">Customers use all five interchangeably; the model cannot know they are one thing unless told</w:t>
            </w:r>
          </w:p>
        </w:tc>
      </w:tr>
      <w:tr>
        <w:tc>
          <w:tcPr>
            <w:tcW w:w="1638" w:type="dxa"/>
          </w:tcPr>
          <w:p>
            <w:pPr>
              <w:pStyle w:val="Compact"/>
            </w:pPr>
            <w:r>
              <w:t xml:space="preserve">Source object</w:t>
            </w:r>
          </w:p>
        </w:tc>
        <w:tc>
          <w:tcPr>
            <w:tcW w:w="1386" w:type="dxa"/>
          </w:tcPr>
          <w:p>
            <w:pPr>
              <w:pStyle w:val="Compact"/>
            </w:pPr>
            <w:r>
              <w:t xml:space="preserve">dSource</w:t>
            </w:r>
          </w:p>
        </w:tc>
        <w:tc>
          <w:tcPr>
            <w:tcW w:w="2142" w:type="dxa"/>
          </w:tcPr>
          <w:p>
            <w:pPr>
              <w:pStyle w:val="Compact"/>
            </w:pPr>
            <w:r>
              <w:t xml:space="preserve">Delphix source, data source, source DB</w:t>
            </w:r>
          </w:p>
        </w:tc>
        <w:tc>
          <w:tcPr>
            <w:tcW w:w="1512" w:type="dxa"/>
          </w:tcPr>
          <w:p>
            <w:pPr>
              <w:pStyle w:val="Compact"/>
            </w:pPr>
            <w:r>
              <w:t xml:space="preserve">—</w:t>
            </w:r>
          </w:p>
        </w:tc>
        <w:tc>
          <w:tcPr>
            <w:tcW w:w="3402" w:type="dxa"/>
          </w:tcPr>
          <w:p>
            <w:pPr>
              <w:pStyle w:val="Compact"/>
            </w:pPr>
            <w:r>
              <w:t xml:space="preserve">Retained as canonical in v1.2; Design System Glossary recommends deprecating it — unresolved</w:t>
            </w:r>
          </w:p>
        </w:tc>
      </w:tr>
      <w:tr>
        <w:tc>
          <w:tcPr>
            <w:tcW w:w="1638" w:type="dxa"/>
          </w:tcPr>
          <w:p>
            <w:pPr>
              <w:pStyle w:val="Compact"/>
            </w:pPr>
            <w:r>
              <w:t xml:space="preserve">Infrastructure</w:t>
            </w:r>
          </w:p>
        </w:tc>
        <w:tc>
          <w:tcPr>
            <w:tcW w:w="1386" w:type="dxa"/>
          </w:tcPr>
          <w:p>
            <w:pPr>
              <w:pStyle w:val="Compact"/>
            </w:pPr>
            <w:r>
              <w:t xml:space="preserve">environment</w:t>
            </w:r>
          </w:p>
        </w:tc>
        <w:tc>
          <w:tcPr>
            <w:tcW w:w="2142" w:type="dxa"/>
          </w:tcPr>
          <w:p>
            <w:pPr>
              <w:pStyle w:val="Compact"/>
            </w:pPr>
            <w:r>
              <w:t xml:space="preserve">host, infrastructure, machine, VM</w:t>
            </w:r>
          </w:p>
        </w:tc>
        <w:tc>
          <w:tcPr>
            <w:tcW w:w="1512" w:type="dxa"/>
          </w:tcPr>
          <w:p>
            <w:pPr>
              <w:pStyle w:val="Compact"/>
            </w:pPr>
            <w:r>
              <w:t xml:space="preserve">—</w:t>
            </w:r>
          </w:p>
        </w:tc>
        <w:tc>
          <w:tcPr>
            <w:tcW w:w="3402" w:type="dxa"/>
          </w:tcPr>
          <w:p>
            <w:pPr>
              <w:pStyle w:val="Compact"/>
            </w:pPr>
            <w:r>
              <w:t xml:space="preserve">Four common aliases, none currently mapped</w:t>
            </w:r>
          </w:p>
        </w:tc>
      </w:tr>
      <w:tr>
        <w:tc>
          <w:tcPr>
            <w:tcW w:w="1638" w:type="dxa"/>
          </w:tcPr>
          <w:p>
            <w:pPr>
              <w:pStyle w:val="Compact"/>
            </w:pPr>
            <w:r>
              <w:t xml:space="preserve">Timeline</w:t>
            </w:r>
          </w:p>
        </w:tc>
        <w:tc>
          <w:tcPr>
            <w:tcW w:w="1386" w:type="dxa"/>
          </w:tcPr>
          <w:p>
            <w:pPr>
              <w:pStyle w:val="Compact"/>
            </w:pPr>
            <w:r>
              <w:t xml:space="preserve">timeline</w:t>
            </w:r>
          </w:p>
        </w:tc>
        <w:tc>
          <w:tcPr>
            <w:tcW w:w="2142" w:type="dxa"/>
          </w:tcPr>
          <w:p>
            <w:pPr>
              <w:pStyle w:val="Compact"/>
            </w:pPr>
            <w:r>
              <w:t xml:space="preserve">timeflow</w:t>
            </w:r>
          </w:p>
        </w:tc>
        <w:tc>
          <w:tcPr>
            <w:tcW w:w="1512" w:type="dxa"/>
          </w:tcPr>
          <w:p>
            <w:pPr>
              <w:pStyle w:val="Compact"/>
            </w:pPr>
            <w:r>
              <w:t xml:space="preserve">timeflow</w:t>
            </w:r>
          </w:p>
        </w:tc>
        <w:tc>
          <w:tcPr>
            <w:tcW w:w="3402" w:type="dxa"/>
          </w:tcPr>
          <w:p>
            <w:pPr>
              <w:pStyle w:val="Compact"/>
            </w:pPr>
            <w:r>
              <w:t xml:space="preserve">Legacy Continuous Data engine term; the model echoes it back wherever tool definitions use it</w:t>
            </w:r>
          </w:p>
        </w:tc>
      </w:tr>
      <w:tr>
        <w:tc>
          <w:tcPr>
            <w:tcW w:w="1638" w:type="dxa"/>
          </w:tcPr>
          <w:p>
            <w:pPr>
              <w:pStyle w:val="Compact"/>
            </w:pPr>
            <w:r>
              <w:t xml:space="preserve">Grouping</w:t>
            </w:r>
          </w:p>
        </w:tc>
        <w:tc>
          <w:tcPr>
            <w:tcW w:w="1386" w:type="dxa"/>
          </w:tcPr>
          <w:p>
            <w:pPr>
              <w:pStyle w:val="Compact"/>
            </w:pPr>
            <w:r>
              <w:t xml:space="preserve">VDB Group</w:t>
            </w:r>
          </w:p>
        </w:tc>
        <w:tc>
          <w:tcPr>
            <w:tcW w:w="2142" w:type="dxa"/>
          </w:tcPr>
          <w:p>
            <w:pPr>
              <w:pStyle w:val="Compact"/>
            </w:pPr>
            <w:r>
              <w:t xml:space="preserve">container</w:t>
            </w:r>
          </w:p>
        </w:tc>
        <w:tc>
          <w:tcPr>
            <w:tcW w:w="1512" w:type="dxa"/>
          </w:tcPr>
          <w:p>
            <w:pPr>
              <w:pStyle w:val="Compact"/>
            </w:pPr>
            <w:r>
              <w:t xml:space="preserve">container</w:t>
            </w:r>
          </w:p>
        </w:tc>
        <w:tc>
          <w:tcPr>
            <w:tcW w:w="3402" w:type="dxa"/>
          </w:tcPr>
          <w:p>
            <w:pPr>
              <w:pStyle w:val="Compact"/>
            </w:pPr>
            <w:r>
              <w:t xml:space="preserve">"Container" reads as Kubernetes in today's context; legacy Self-Service / Jetstream users mean VDB Group</w:t>
            </w:r>
          </w:p>
        </w:tc>
      </w:tr>
      <w:tr>
        <w:tc>
          <w:tcPr>
            <w:tcW w:w="1638" w:type="dxa"/>
          </w:tcPr>
          <w:p>
            <w:pPr>
              <w:pStyle w:val="Compact"/>
            </w:pPr>
            <w:r>
              <w:t xml:space="preserve">Connector split</w:t>
            </w:r>
          </w:p>
        </w:tc>
        <w:tc>
          <w:tcPr>
            <w:tcW w:w="1386" w:type="dxa"/>
          </w:tcPr>
          <w:p>
            <w:pPr>
              <w:pStyle w:val="Compact"/>
            </w:pPr>
            <w:r>
              <w:t xml:space="preserve">connector</w:t>
            </w:r>
          </w:p>
        </w:tc>
        <w:tc>
          <w:tcPr>
            <w:tcW w:w="2142" w:type="dxa"/>
          </w:tcPr>
          <w:p>
            <w:pPr>
              <w:pStyle w:val="Compact"/>
            </w:pPr>
            <w:r>
              <w:t xml:space="preserve">AppData, plugin, native connector</w:t>
            </w:r>
          </w:p>
        </w:tc>
        <w:tc>
          <w:tcPr>
            <w:tcW w:w="1512" w:type="dxa"/>
          </w:tcPr>
          <w:p>
            <w:pPr>
              <w:pStyle w:val="Compact"/>
            </w:pPr>
            <w:r>
              <w:t xml:space="preserve">AppData, plugin</w:t>
            </w:r>
          </w:p>
        </w:tc>
        <w:tc>
          <w:tcPr>
            <w:tcW w:w="3402" w:type="dxa"/>
          </w:tcPr>
          <w:p>
            <w:pPr>
              <w:pStyle w:val="Compact"/>
            </w:pPr>
            <w:r>
              <w:t xml:space="preserve">Oracle/SQL Server/ASE/V-files are native; PostgreSQL/MongoDB/SAP HANA/Db2 are AppData plugins. An implementation split customers should never see</w:t>
            </w:r>
          </w:p>
        </w:tc>
      </w:tr>
      <w:tr>
        <w:tc>
          <w:tcPr>
            <w:tcW w:w="1638" w:type="dxa"/>
          </w:tcPr>
          <w:p>
            <w:pPr>
              <w:pStyle w:val="Compact"/>
            </w:pPr>
            <w:r>
              <w:t xml:space="preserve">Product boundary</w:t>
            </w:r>
          </w:p>
        </w:tc>
        <w:tc>
          <w:tcPr>
            <w:tcW w:w="1386" w:type="dxa"/>
          </w:tcPr>
          <w:p>
            <w:pPr>
              <w:pStyle w:val="Compact"/>
            </w:pPr>
            <w:r>
              <w:t xml:space="preserve">DCT, or</w:t>
            </w:r>
            <w:r>
              <w:t xml:space="preserve"> </w:t>
            </w:r>
            <w:r>
              <w:rPr>
                <w:i/>
                <w:iCs/>
              </w:rPr>
              <w:t xml:space="preserve">Continuous Data engine</w:t>
            </w:r>
          </w:p>
        </w:tc>
        <w:tc>
          <w:tcPr>
            <w:tcW w:w="2142" w:type="dxa"/>
          </w:tcPr>
          <w:p>
            <w:pPr>
              <w:pStyle w:val="Compact"/>
            </w:pPr>
            <w:r>
              <w:t xml:space="preserve">engine (unqualified)</w:t>
            </w:r>
          </w:p>
        </w:tc>
        <w:tc>
          <w:tcPr>
            <w:tcW w:w="1512" w:type="dxa"/>
          </w:tcPr>
          <w:p>
            <w:pPr>
              <w:pStyle w:val="Compact"/>
            </w:pPr>
            <w:r>
              <w:t xml:space="preserve">bare "engine"</w:t>
            </w:r>
          </w:p>
        </w:tc>
        <w:tc>
          <w:tcPr>
            <w:tcW w:w="3402" w:type="dxa"/>
          </w:tcPr>
          <w:p>
            <w:pPr>
              <w:pStyle w:val="Compact"/>
            </w:pPr>
            <w:r>
              <w:t xml:space="preserve">Unqualified "engine" is repeatedly conflated with DCT itself</w:t>
            </w:r>
          </w:p>
        </w:tc>
      </w:tr>
    </w:tbl>
    <w:p>
      <w:pPr>
        <w:pStyle w:val="BodyText"/>
      </w:pPr>
      <w:r>
        <w:rPr>
          <w:b/>
          <w:bCs/>
        </w:rPr>
        <w:t xml:space="preserve">Where each lands.</w:t>
      </w:r>
      <w:r>
        <w:t xml:space="preserve"> </w:t>
      </w:r>
      <w:r>
        <w:t xml:space="preserve">These are not all the same kind of edit, which is part of why the two-epic</w:t>
      </w:r>
      <w:r>
        <w:t xml:space="preserve"> </w:t>
      </w:r>
      <w:r>
        <w:t xml:space="preserve">split works: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Spec-side (DCT epic)</w:t>
      </w:r>
      <w:r>
        <w:t xml:space="preserve"> </w:t>
      </w:r>
      <w:r>
        <w:t xml:space="preserve">— synonyms into</w:t>
      </w:r>
      <w:r>
        <w:t xml:space="preserve"> </w:t>
      </w:r>
      <w:r>
        <w:rPr>
          <w:rStyle w:val="VerbatimChar"/>
        </w:rPr>
        <w:t xml:space="preserve">summary</w:t>
      </w:r>
      <w:r>
        <w:t xml:space="preserve"> </w:t>
      </w:r>
      <w:r>
        <w:t xml:space="preserve">so they are searchable; canonical terms in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prose; hiding the AppData/native split in customer-facing wording.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MCP-side epic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server_instructions</w:t>
      </w:r>
      <w:r>
        <w:t xml:space="preserve"> </w:t>
      </w:r>
      <w:r>
        <w:t xml:space="preserve">carries the cross-cutting rules (accept these aliases,</w:t>
      </w:r>
      <w:r>
        <w:t xml:space="preserve"> </w:t>
      </w:r>
      <w:r>
        <w:t xml:space="preserve">emit these canonical terms, never surface these); the 79</w:t>
      </w:r>
      <w:r>
        <w:t xml:space="preserve"> </w:t>
      </w:r>
      <w:r>
        <w:rPr>
          <w:rStyle w:val="VerbatimChar"/>
        </w:rPr>
        <w:t xml:space="preserve">manual_confirmation.txt</w:t>
      </w:r>
      <w:r>
        <w:t xml:space="preserve"> </w:t>
      </w:r>
      <w:r>
        <w:t xml:space="preserve">templates get</w:t>
      </w:r>
      <w:r>
        <w:t xml:space="preserve"> </w:t>
      </w:r>
      <w:r>
        <w:t xml:space="preserve">a direct pass, since they are hand-authored in this repo and reach every user regardless of</w:t>
      </w:r>
      <w:r>
        <w:t xml:space="preserve"> </w:t>
      </w:r>
      <w:r>
        <w:t xml:space="preserve">toolset.</w:t>
      </w:r>
    </w:p>
    <w:p>
      <w:pPr>
        <w:pStyle w:val="FirstParagraph"/>
      </w:pPr>
      <w:r>
        <w:rPr>
          <w:b/>
          <w:bCs/>
        </w:rPr>
        <w:t xml:space="preserve">Current exposure in this repo</w:t>
      </w:r>
      <w:r>
        <w:t xml:space="preserve">, as a sizing input for the MCP-side epic:</w:t>
      </w:r>
    </w:p>
    <w:tbl>
      <w:tblPr>
        <w:tblStyle w:val="Table"/>
        <w:tblW w:w="10080" w:type="dxa"/>
        <w:tblLook w:firstRow="1" w:lastRow="0" w:firstColumn="0" w:lastColumn="0" w:noHBand="0" w:noVBand="0" w:val="0020"/>
      </w:tblPr>
      <w:tblGrid>
        <w:gridCol w:w="3691"/>
        <w:gridCol w:w="1278"/>
        <w:gridCol w:w="1278"/>
        <w:gridCol w:w="1278"/>
        <w:gridCol w:w="1278"/>
        <w:gridCol w:w="1277"/>
      </w:tblGrid>
      <w:tr>
        <w:trPr>
          <w:tblHeader w:val="on"/>
        </w:trPr>
        <w:tc>
          <w:tcPr>
            <w:tcW w:w="3691" w:type="dxa"/>
          </w:tcPr>
          <w:p>
            <w:pPr>
              <w:pStyle w:val="Compact"/>
            </w:pPr>
            <w:r>
              <w:t xml:space="preserve">Surface</w:t>
            </w:r>
          </w:p>
        </w:tc>
        <w:tc>
          <w:tcPr>
            <w:tcW w:w="1278" w:type="dxa"/>
          </w:tcPr>
          <w:p>
            <w:pPr>
              <w:pStyle w:val="Compact"/>
            </w:pPr>
            <w:r>
              <w:t xml:space="preserve">timeflow</w:t>
            </w:r>
          </w:p>
        </w:tc>
        <w:tc>
          <w:tcPr>
            <w:tcW w:w="1278" w:type="dxa"/>
          </w:tcPr>
          <w:p>
            <w:pPr>
              <w:pStyle w:val="Compact"/>
            </w:pPr>
            <w:r>
              <w:t xml:space="preserve">dSource</w:t>
            </w:r>
          </w:p>
        </w:tc>
        <w:tc>
          <w:tcPr>
            <w:tcW w:w="1278" w:type="dxa"/>
          </w:tcPr>
          <w:p>
            <w:pPr>
              <w:pStyle w:val="Compact"/>
            </w:pPr>
            <w:r>
              <w:t xml:space="preserve">VDB</w:t>
            </w:r>
          </w:p>
        </w:tc>
        <w:tc>
          <w:tcPr>
            <w:tcW w:w="1278" w:type="dxa"/>
          </w:tcPr>
          <w:p>
            <w:pPr>
              <w:pStyle w:val="Compact"/>
            </w:pPr>
            <w:r>
              <w:t xml:space="preserve">AppData</w:t>
            </w:r>
          </w:p>
        </w:tc>
        <w:tc>
          <w:tcPr>
            <w:tcW w:w="1277" w:type="dxa"/>
          </w:tcPr>
          <w:p>
            <w:pPr>
              <w:pStyle w:val="Compact"/>
            </w:pPr>
            <w:r>
              <w:t xml:space="preserve">environment</w:t>
            </w:r>
          </w:p>
        </w:tc>
      </w:tr>
      <w:tr>
        <w:tc>
          <w:tcPr>
            <w:tcW w:w="3691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config/toolsets/*.txt</w:t>
            </w:r>
            <w:r>
              <w:t xml:space="preserve"> </w:t>
            </w:r>
            <w:r>
              <w:t xml:space="preserve">(5 files, legacy)</w:t>
            </w:r>
          </w:p>
        </w:tc>
        <w:tc>
          <w:tcPr>
            <w:tcW w:w="1278" w:type="dxa"/>
          </w:tcPr>
          <w:p>
            <w:pPr>
              <w:pStyle w:val="Compact"/>
            </w:pPr>
            <w:r>
              <w:t xml:space="preserve">73</w:t>
            </w:r>
          </w:p>
        </w:tc>
        <w:tc>
          <w:tcPr>
            <w:tcW w:w="1278" w:type="dxa"/>
          </w:tcPr>
          <w:p>
            <w:pPr>
              <w:pStyle w:val="Compact"/>
            </w:pPr>
            <w:r>
              <w:t xml:space="preserve">183</w:t>
            </w:r>
          </w:p>
        </w:tc>
        <w:tc>
          <w:tcPr>
            <w:tcW w:w="1278" w:type="dxa"/>
          </w:tcPr>
          <w:p>
            <w:pPr>
              <w:pStyle w:val="Compact"/>
            </w:pPr>
            <w:r>
              <w:t xml:space="preserve">377</w:t>
            </w:r>
          </w:p>
        </w:tc>
        <w:tc>
          <w:tcPr>
            <w:tcW w:w="1278" w:type="dxa"/>
          </w:tcPr>
          <w:p>
            <w:pPr>
              <w:pStyle w:val="Compact"/>
            </w:pPr>
            <w:r>
              <w:t xml:space="preserve">14</w:t>
            </w:r>
          </w:p>
        </w:tc>
        <w:tc>
          <w:tcPr>
            <w:tcW w:w="1277" w:type="dxa"/>
          </w:tcPr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>
            <w:tcW w:w="3691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tools/*.py</w:t>
            </w:r>
            <w:r>
              <w:t xml:space="preserve"> </w:t>
            </w:r>
            <w:r>
              <w:t xml:space="preserve">(pre-built fallback)</w:t>
            </w:r>
          </w:p>
        </w:tc>
        <w:tc>
          <w:tcPr>
            <w:tcW w:w="1278" w:type="dxa"/>
          </w:tcPr>
          <w:p>
            <w:pPr>
              <w:pStyle w:val="Compact"/>
            </w:pPr>
            <w:r>
              <w:t xml:space="preserve">281</w:t>
            </w:r>
          </w:p>
        </w:tc>
        <w:tc>
          <w:tcPr>
            <w:tcW w:w="1278" w:type="dxa"/>
          </w:tcPr>
          <w:p>
            <w:pPr>
              <w:pStyle w:val="Compact"/>
            </w:pPr>
            <w:r>
              <w:t xml:space="preserve">959</w:t>
            </w:r>
          </w:p>
        </w:tc>
        <w:tc>
          <w:tcPr>
            <w:tcW w:w="1278" w:type="dxa"/>
          </w:tcPr>
          <w:p>
            <w:pPr>
              <w:pStyle w:val="Compact"/>
            </w:pPr>
            <w:r>
              <w:t xml:space="preserve">1,759</w:t>
            </w:r>
          </w:p>
        </w:tc>
        <w:tc>
          <w:tcPr>
            <w:tcW w:w="1278" w:type="dxa"/>
          </w:tcPr>
          <w:p>
            <w:pPr>
              <w:pStyle w:val="Compact"/>
            </w:pPr>
            <w:r>
              <w:t xml:space="preserve">159</w:t>
            </w:r>
          </w:p>
        </w:tc>
        <w:tc>
          <w:tcPr>
            <w:tcW w:w="1277" w:type="dxa"/>
          </w:tcPr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>
            <w:tcW w:w="3691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manual_confirmation.txt</w:t>
            </w:r>
            <w:r>
              <w:t xml:space="preserve"> </w:t>
            </w:r>
            <w:r>
              <w:t xml:space="preserve">(79 rules, reaches everyone)</w:t>
            </w:r>
          </w:p>
        </w:tc>
        <w:tc>
          <w:tcPr>
            <w:tcW w:w="1278" w:type="dxa"/>
          </w:tcPr>
          <w:p>
            <w:pPr>
              <w:pStyle w:val="Compact"/>
            </w:pPr>
            <w:r>
              <w:t xml:space="preserve">6</w:t>
            </w:r>
          </w:p>
        </w:tc>
        <w:tc>
          <w:tcPr>
            <w:tcW w:w="1278" w:type="dxa"/>
          </w:tcPr>
          <w:p>
            <w:pPr>
              <w:pStyle w:val="Compact"/>
            </w:pPr>
            <w:r>
              <w:t xml:space="preserve">31</w:t>
            </w:r>
          </w:p>
        </w:tc>
        <w:tc>
          <w:tcPr>
            <w:tcW w:w="1278" w:type="dxa"/>
          </w:tcPr>
          <w:p>
            <w:pPr>
              <w:pStyle w:val="Compact"/>
            </w:pPr>
            <w:r>
              <w:t xml:space="preserve">87</w:t>
            </w:r>
          </w:p>
        </w:tc>
        <w:tc>
          <w:tcPr>
            <w:tcW w:w="1278" w:type="dxa"/>
          </w:tcPr>
          <w:p>
            <w:pPr>
              <w:pStyle w:val="Compact"/>
            </w:pPr>
            <w:r>
              <w:t xml:space="preserve">—</w:t>
            </w:r>
          </w:p>
        </w:tc>
        <w:tc>
          <w:tcPr>
            <w:tcW w:w="1277" w:type="dxa"/>
          </w:tcPr>
          <w:p>
            <w:pPr>
              <w:pStyle w:val="Compac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The first two rows are opt-in legacy surfaces under dynamic mode; the third is not, which is why</w:t>
      </w:r>
      <w:r>
        <w:t xml:space="preserve"> </w:t>
      </w:r>
      <w:r>
        <w:t xml:space="preserve">Lever 4 stays in scope at full weight even as Levers 1–2 shrink.</w:t>
      </w:r>
    </w:p>
    <w:p>
      <w:r>
        <w:pict>
          <v:rect style="width:0;height:1.5pt" o:hralign="center" o:hrstd="t" o:hr="t"/>
        </w:pict>
      </w:r>
    </w:p>
    <w:bookmarkEnd w:id="17"/>
    <w:bookmarkStart w:id="18" w:name="Xb07083554c77355ca5952ba4065aeccadcefeee"/>
    <w:p>
      <w:pPr>
        <w:pStyle w:val="Heading2"/>
      </w:pPr>
      <w:r>
        <w:t xml:space="preserve">Why the original PPM-1129 lever split needs rescoping</w:t>
      </w:r>
    </w:p>
    <w:p>
      <w:pPr>
        <w:pStyle w:val="FirstParagraph"/>
      </w:pPr>
      <w:r>
        <w:t xml:space="preserve">PPM-1129 was written on 2026-04-17, before PPM-1174 (2-tool revision) landed. Its four levers</w:t>
      </w:r>
      <w:r>
        <w:t xml:space="preserve"> </w:t>
      </w:r>
      <w:r>
        <w:t xml:space="preserve">assume the curated per-domain toolsets are the primary surface. They no longer are.</w:t>
      </w:r>
    </w:p>
    <w:p>
      <w:pPr>
        <w:pStyle w:val="BodyText"/>
      </w:pPr>
      <w:r>
        <w:rPr>
          <w:rStyle w:val="VerbatimChar"/>
        </w:rPr>
        <w:t xml:space="preserve">DCT_TOOLSET</w:t>
      </w:r>
      <w:r>
        <w:t xml:space="preserve"> </w:t>
      </w:r>
      <w:r>
        <w:t xml:space="preserve">now defaults to</w:t>
      </w:r>
      <w:r>
        <w:t xml:space="preserve"> </w:t>
      </w:r>
      <w:r>
        <w:rPr>
          <w:rStyle w:val="VerbatimChar"/>
        </w:rPr>
        <w:t xml:space="preserve">dynamic</w:t>
      </w:r>
      <w:r>
        <w:t xml:space="preserve"> </w:t>
      </w:r>
      <w:r>
        <w:t xml:space="preserve">(</w:t>
      </w:r>
      <w:r>
        <w:rPr>
          <w:rStyle w:val="VerbatimChar"/>
        </w:rPr>
        <w:t xml:space="preserve">config/config.py:28</w:t>
      </w:r>
      <w:r>
        <w:t xml:space="preserve">). In dynamic mode the server</w:t>
      </w:r>
      <w:r>
        <w:t xml:space="preserve"> </w:t>
      </w:r>
      <w:r>
        <w:t xml:space="preserve">registers exactly two tools —</w:t>
      </w:r>
      <w:r>
        <w:t xml:space="preserve"> </w:t>
      </w:r>
      <w:r>
        <w:rPr>
          <w:rStyle w:val="VerbatimChar"/>
        </w:rPr>
        <w:t xml:space="preserve">discovery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execute</w:t>
      </w:r>
      <w:r>
        <w:t xml:space="preserve"> </w:t>
      </w:r>
      <w:r>
        <w:t xml:space="preserve">— and downloads the spec live from the</w:t>
      </w:r>
      <w:r>
        <w:t xml:space="preserve"> </w:t>
      </w:r>
      <w:r>
        <w:t xml:space="preserve">customer's own DCT instance at</w:t>
      </w:r>
      <w:r>
        <w:t xml:space="preserve"> </w:t>
      </w:r>
      <w:r>
        <w:rPr>
          <w:rStyle w:val="VerbatimChar"/>
        </w:rPr>
        <w:t xml:space="preserve">{DCT_BASE_URL}/dct/static/api-external.yaml</w:t>
      </w:r>
      <w:r>
        <w:t xml:space="preserve">, with</w:t>
      </w:r>
      <w:r>
        <w:t xml:space="preserve"> </w:t>
      </w:r>
      <w:r>
        <w:rPr>
          <w:b/>
          <w:bCs/>
        </w:rPr>
        <w:t xml:space="preserve">no bundled</w:t>
      </w:r>
      <w:r>
        <w:rPr>
          <w:b/>
          <w:bCs/>
        </w:rPr>
        <w:t xml:space="preserve"> </w:t>
      </w:r>
      <w:r>
        <w:rPr>
          <w:b/>
          <w:bCs/>
        </w:rPr>
        <w:t xml:space="preserve">fallback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tools/core/spec_cache.py</w:t>
      </w:r>
      <w:r>
        <w:t xml:space="preserve">). Everything the model sees about the API therefore comes</w:t>
      </w:r>
      <w:r>
        <w:t xml:space="preserve"> </w:t>
      </w:r>
      <w:r>
        <w:t xml:space="preserve">from that spec.</w:t>
      </w:r>
    </w:p>
    <w:tbl>
      <w:tblPr>
        <w:tblStyle w:val="Table"/>
        <w:tblW w:w="10080" w:type="dxa"/>
        <w:tblLook w:firstRow="1" w:lastRow="0" w:firstColumn="0" w:lastColumn="0" w:noHBand="0" w:noVBand="0" w:val="0020"/>
      </w:tblPr>
      <w:tblGrid>
        <w:gridCol w:w="2160"/>
        <w:gridCol w:w="3168"/>
        <w:gridCol w:w="4752"/>
      </w:tblGrid>
      <w:tr>
        <w:trPr>
          <w:tblHeader w:val="on"/>
        </w:trPr>
        <w:tc>
          <w:tcPr>
            <w:tcW w:w="2160" w:type="dxa"/>
          </w:tcPr>
          <w:p>
            <w:pPr>
              <w:pStyle w:val="Compact"/>
            </w:pPr>
            <w:r>
              <w:t xml:space="preserve">Lever</w:t>
            </w:r>
          </w:p>
        </w:tc>
        <w:tc>
          <w:tcPr>
            <w:tcW w:w="3168" w:type="dxa"/>
          </w:tcPr>
          <w:p>
            <w:pPr>
              <w:pStyle w:val="Compact"/>
            </w:pPr>
            <w:r>
              <w:t xml:space="preserve">As written</w:t>
            </w:r>
          </w:p>
        </w:tc>
        <w:tc>
          <w:tcPr>
            <w:tcW w:w="4752" w:type="dxa"/>
          </w:tcPr>
          <w:p>
            <w:pPr>
              <w:pStyle w:val="Compact"/>
            </w:pPr>
            <w:r>
              <w:t xml:space="preserve">Assessment against current architecture</w:t>
            </w:r>
          </w:p>
        </w:tc>
      </w:tr>
      <w:tr>
        <w:tc>
          <w:tcPr>
            <w:tcW w:w="2160" w:type="dxa"/>
          </w:tcPr>
          <w:p>
            <w:pPr>
              <w:pStyle w:val="Compact"/>
            </w:pPr>
            <w:r>
              <w:t xml:space="preserve">1. Tool/action renames across 5 toolsets (~1.5 wk)</w:t>
            </w:r>
          </w:p>
        </w:tc>
        <w:tc>
          <w:tcPr>
            <w:tcW w:w="3168" w:type="dxa"/>
          </w:tcPr>
          <w:p>
            <w:pPr>
              <w:pStyle w:val="Compact"/>
            </w:pPr>
            <w:r>
              <w:t xml:space="preserve">Rename actions containing</w:t>
            </w:r>
            <w:r>
              <w:t xml:space="preserve"> </w:t>
            </w:r>
            <w:r>
              <w:rPr>
                <w:rStyle w:val="VerbatimChar"/>
              </w:rPr>
              <w:t xml:space="preserve">database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plugin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timeflow</w:t>
            </w:r>
          </w:p>
        </w:tc>
        <w:tc>
          <w:tcPr>
            <w:tcW w:w="4752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Largely inert.</w:t>
            </w:r>
            <w:r>
              <w:t xml:space="preserve"> </w:t>
            </w:r>
            <w:r>
              <w:t xml:space="preserve">Dynamic mode has no action names to rename. The five</w:t>
            </w:r>
            <w:r>
              <w:t xml:space="preserve"> </w:t>
            </w:r>
            <w:r>
              <w:rPr>
                <w:rStyle w:val="VerbatimChar"/>
              </w:rPr>
              <w:t xml:space="preserve">.txt</w:t>
            </w:r>
            <w:r>
              <w:t xml:space="preserve"> </w:t>
            </w:r>
            <w:r>
              <w:t xml:space="preserve">toolsets do carry the terminology (183</w:t>
            </w:r>
            <w:r>
              <w:t xml:space="preserve"> </w:t>
            </w:r>
            <w:r>
              <w:rPr>
                <w:rStyle w:val="VerbatimChar"/>
              </w:rPr>
              <w:t xml:space="preserve">dsource</w:t>
            </w:r>
            <w:r>
              <w:t xml:space="preserve">, 377</w:t>
            </w:r>
            <w:r>
              <w:t xml:space="preserve"> </w:t>
            </w:r>
            <w:r>
              <w:rPr>
                <w:rStyle w:val="VerbatimChar"/>
              </w:rPr>
              <w:t xml:space="preserve">vdb</w:t>
            </w:r>
            <w:r>
              <w:t xml:space="preserve">, 73</w:t>
            </w:r>
            <w:r>
              <w:t xml:space="preserve"> </w:t>
            </w:r>
            <w:r>
              <w:rPr>
                <w:rStyle w:val="VerbatimChar"/>
              </w:rPr>
              <w:t xml:space="preserve">timeflow</w:t>
            </w:r>
            <w:r>
              <w:t xml:space="preserve">, 14</w:t>
            </w:r>
            <w:r>
              <w:t xml:space="preserve"> </w:t>
            </w:r>
            <w:r>
              <w:rPr>
                <w:rStyle w:val="VerbatimChar"/>
              </w:rPr>
              <w:t xml:space="preserve">appdata</w:t>
            </w:r>
            <w:r>
              <w:t xml:space="preserve"> </w:t>
            </w:r>
            <w:r>
              <w:t xml:space="preserve">hits) but are opt-in legacy.</w:t>
            </w:r>
          </w:p>
        </w:tc>
      </w:tr>
      <w:tr>
        <w:tc>
          <w:tcPr>
            <w:tcW w:w="2160" w:type="dxa"/>
          </w:tcPr>
          <w:p>
            <w:pPr>
              <w:pStyle w:val="Compact"/>
            </w:pPr>
            <w:r>
              <w:t xml:space="preserve">2. Docstrings and descriptions (~1 wk)</w:t>
            </w:r>
          </w:p>
        </w:tc>
        <w:tc>
          <w:tcPr>
            <w:tcW w:w="3168" w:type="dxa"/>
          </w:tcPr>
          <w:p>
            <w:pPr>
              <w:pStyle w:val="Compact"/>
            </w:pPr>
            <w:r>
              <w:t xml:space="preserve">Rewrite every tool- and action-level description</w:t>
            </w:r>
          </w:p>
        </w:tc>
        <w:tc>
          <w:tcPr>
            <w:tcW w:w="4752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Shrinks to two docstrings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discovery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execute</w:t>
            </w:r>
            <w:r>
              <w:t xml:space="preserve">) plus the spec — which this repo does not own. This is the lever that becomes the spec work.</w:t>
            </w:r>
          </w:p>
        </w:tc>
      </w:tr>
      <w:tr>
        <w:tc>
          <w:tcPr>
            <w:tcW w:w="2160" w:type="dxa"/>
          </w:tcPr>
          <w:p>
            <w:pPr>
              <w:pStyle w:val="Compact"/>
            </w:pPr>
            <w:r>
              <w:t xml:space="preserve">3. Server instructions (~3 d)</w:t>
            </w:r>
          </w:p>
        </w:tc>
        <w:tc>
          <w:tcPr>
            <w:tcW w:w="3168" w:type="dxa"/>
          </w:tcPr>
          <w:p>
            <w:pPr>
              <w:pStyle w:val="Compact"/>
            </w:pPr>
            <w:r>
              <w:t xml:space="preserve">Author</w:t>
            </w:r>
            <w:r>
              <w:t xml:space="preserve"> </w:t>
            </w:r>
            <w:r>
              <w:rPr>
                <w:rStyle w:val="VerbatimChar"/>
              </w:rPr>
              <w:t xml:space="preserve">server_instructions.txt</w:t>
            </w:r>
            <w:r>
              <w:t xml:space="preserve"> </w:t>
            </w:r>
            <w:r>
              <w:t xml:space="preserve">loaded at FastMCP init</w:t>
            </w:r>
          </w:p>
        </w:tc>
        <w:tc>
          <w:tcPr>
            <w:tcW w:w="4752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Highest leverage, cheapest, currently 0% done.</w:t>
            </w:r>
            <w:r>
              <w:t xml:space="preserve"> </w:t>
            </w:r>
            <w:r>
              <w:rPr>
                <w:rStyle w:val="VerbatimChar"/>
              </w:rPr>
              <w:t xml:space="preserve">main.py:69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FastMCP(name=..., lifespan=...)</w:t>
            </w:r>
            <w:r>
              <w:t xml:space="preserve"> </w:t>
            </w:r>
            <w:r>
              <w:t xml:space="preserve">with no</w:t>
            </w:r>
            <w:r>
              <w:t xml:space="preserve"> </w:t>
            </w:r>
            <w:r>
              <w:rPr>
                <w:rStyle w:val="VerbatimChar"/>
              </w:rPr>
              <w:t xml:space="preserve">instructions=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fastmcp&gt;=2.13.2</w:t>
            </w:r>
            <w:r>
              <w:t xml:space="preserve"> </w:t>
            </w:r>
            <w:r>
              <w:t xml:space="preserve">is already pinned and supports it —</w:t>
            </w:r>
            <w:r>
              <w:t xml:space="preserve"> </w:t>
            </w:r>
            <w:r>
              <w:rPr>
                <w:b/>
                <w:bCs/>
              </w:rPr>
              <w:t xml:space="preserve">the "FastMCP version bump may be a prerequisite" open question is resolved: no bump needed.</w:t>
            </w:r>
          </w:p>
        </w:tc>
      </w:tr>
      <w:tr>
        <w:tc>
          <w:tcPr>
            <w:tcW w:w="2160" w:type="dxa"/>
          </w:tcPr>
          <w:p>
            <w:pPr>
              <w:pStyle w:val="Compact"/>
            </w:pPr>
            <w:r>
              <w:t xml:space="preserve">4. Errors and confirmation prompts (~2 d)</w:t>
            </w:r>
          </w:p>
        </w:tc>
        <w:tc>
          <w:tcPr>
            <w:tcW w:w="3168" w:type="dxa"/>
          </w:tcPr>
          <w:p>
            <w:pPr>
              <w:pStyle w:val="Compact"/>
            </w:pPr>
            <w:r>
              <w:t xml:space="preserve">Audit</w:t>
            </w:r>
            <w:r>
              <w:t xml:space="preserve"> </w:t>
            </w:r>
            <w:r>
              <w:rPr>
                <w:rStyle w:val="VerbatimChar"/>
              </w:rPr>
              <w:t xml:space="preserve">manual_confirmation.txt</w:t>
            </w:r>
          </w:p>
        </w:tc>
        <w:tc>
          <w:tcPr>
            <w:tcW w:w="4752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Real and correctly sized.</w:t>
            </w:r>
            <w:r>
              <w:t xml:space="preserve"> </w:t>
            </w:r>
            <w:r>
              <w:t xml:space="preserve">79 hand-authored rules in this repo reaching every user regardless of toolset; message templates contain 87</w:t>
            </w:r>
            <w:r>
              <w:t xml:space="preserve"> </w:t>
            </w:r>
            <w:r>
              <w:rPr>
                <w:rStyle w:val="VerbatimChar"/>
              </w:rPr>
              <w:t xml:space="preserve">VDB</w:t>
            </w:r>
            <w:r>
              <w:t xml:space="preserve">, 31</w:t>
            </w:r>
            <w:r>
              <w:t xml:space="preserve"> </w:t>
            </w:r>
            <w:r>
              <w:rPr>
                <w:rStyle w:val="VerbatimChar"/>
              </w:rPr>
              <w:t xml:space="preserve">dSource</w:t>
            </w:r>
            <w:r>
              <w:t xml:space="preserve">, 12</w:t>
            </w:r>
            <w:r>
              <w:t xml:space="preserve"> </w:t>
            </w:r>
            <w:r>
              <w:rPr>
                <w:rStyle w:val="VerbatimChar"/>
              </w:rPr>
              <w:t xml:space="preserve">environment</w:t>
            </w:r>
            <w:r>
              <w:t xml:space="preserve">, 9</w:t>
            </w:r>
            <w:r>
              <w:t xml:space="preserve"> </w:t>
            </w:r>
            <w:r>
              <w:rPr>
                <w:rStyle w:val="VerbatimChar"/>
              </w:rPr>
              <w:t xml:space="preserve">database</w:t>
            </w:r>
            <w:r>
              <w:t xml:space="preserve">, 6</w:t>
            </w:r>
            <w:r>
              <w:t xml:space="preserve"> </w:t>
            </w:r>
            <w:r>
              <w:rPr>
                <w:rStyle w:val="VerbatimChar"/>
              </w:rPr>
              <w:t xml:space="preserve">timeflow</w:t>
            </w:r>
            <w:r>
              <w:t xml:space="preserve"> </w:t>
            </w:r>
            <w:r>
              <w:t xml:space="preserve">occurrences.</w:t>
            </w:r>
          </w:p>
        </w:tc>
      </w:tr>
    </w:tbl>
    <w:p>
      <w:pPr>
        <w:pStyle w:val="BodyText"/>
      </w:pPr>
      <w:r>
        <w:t xml:space="preserve">The net effect: the original "~3 weeks, mostly editorial, in the MCP repo" estimate is inverted.</w:t>
      </w:r>
      <w:r>
        <w:t xml:space="preserve"> </w:t>
      </w:r>
      <w:r>
        <w:t xml:space="preserve">Most of the user-visible benefit sits in Levers 3–4 (~1 week, no cross-team dependency), and the</w:t>
      </w:r>
      <w:r>
        <w:t xml:space="preserve"> </w:t>
      </w:r>
      <w:r>
        <w:t xml:space="preserve">dominant vocabulary surface is the spec — owned by another team and carrying real build risk.</w:t>
      </w:r>
    </w:p>
    <w:p>
      <w:r>
        <w:pict>
          <v:rect style="width:0;height:1.5pt" o:hralign="center" o:hrstd="t" o:hr="t"/>
        </w:pict>
      </w:r>
    </w:p>
    <w:bookmarkEnd w:id="18"/>
    <w:bookmarkStart w:id="19" w:name="X726f534f6bc9cbe70af6a6fbe4b873452a196f8"/>
    <w:p>
      <w:pPr>
        <w:pStyle w:val="Heading2"/>
      </w:pPr>
      <w:r>
        <w:t xml:space="preserve">Known blockers, inherited from DLPXECO-14529</w:t>
      </w:r>
    </w:p>
    <w:p>
      <w:pPr>
        <w:pStyle w:val="FirstParagraph"/>
      </w:pPr>
      <w:r>
        <w:t xml:space="preserve">These belong to the DCT-side epic and must be visible at ARB.</w:t>
      </w:r>
    </w:p>
    <w:p>
      <w:pPr>
        <w:pStyle w:val="BodyText"/>
      </w:pPr>
      <w:r>
        <w:rPr>
          <w:b/>
          <w:bCs/>
        </w:rPr>
        <w:t xml:space="preserve">A hard 3 MB build ceiling.</w:t>
      </w:r>
      <w:r>
        <w:t xml:space="preserve"> </w:t>
      </w:r>
      <w:r>
        <w:rPr>
          <w:rStyle w:val="VerbatimChar"/>
        </w:rPr>
        <w:t xml:space="preserve">app/build/api-codeGen.yaml</w:t>
      </w:r>
      <w:r>
        <w:t xml:space="preserve"> </w:t>
      </w:r>
      <w:r>
        <w:t xml:space="preserve">must stay under SnakeYAML's</w:t>
      </w:r>
      <w:r>
        <w:t xml:space="preserve"> </w:t>
      </w:r>
      <w:r>
        <w:t xml:space="preserve">3,145,728 code-point limit or</w:t>
      </w:r>
      <w:r>
        <w:t xml:space="preserve"> </w:t>
      </w:r>
      <w:r>
        <w:rPr>
          <w:rStyle w:val="VerbatimChar"/>
        </w:rPr>
        <w:t xml:space="preserve">validateSwaggerApi_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openApiGenerate_</w:t>
      </w:r>
      <w:r>
        <w:t xml:space="preserve"> </w:t>
      </w:r>
      <w:r>
        <w:t xml:space="preserve">fail. It was already at</w:t>
      </w:r>
      <w:r>
        <w:t xml:space="preserve"> </w:t>
      </w:r>
      <w:r>
        <w:t xml:space="preserve">~81% before any enrichment; the prototype lands at ~0.5% headroom. Verified by bytecode inspection</w:t>
      </w:r>
      <w:r>
        <w:t xml:space="preserve"> </w:t>
      </w:r>
      <w:r>
        <w:t xml:space="preserve">that the limit is SnakeYAML's own</w:t>
      </w:r>
      <w:r>
        <w:t xml:space="preserve"> </w:t>
      </w:r>
      <w:r>
        <w:rPr>
          <w:rStyle w:val="VerbatimChar"/>
        </w:rPr>
        <w:t xml:space="preserve">LoaderOptions</w:t>
      </w:r>
      <w:r>
        <w:t xml:space="preserve"> </w:t>
      </w:r>
      <w:r>
        <w:t xml:space="preserve">default, identical in 1.33 and 2.5, and that</w:t>
      </w:r>
      <w:r>
        <w:t xml:space="preserve"> </w:t>
      </w:r>
      <w:r>
        <w:t xml:space="preserve">neither</w:t>
      </w:r>
      <w:r>
        <w:t xml:space="preserve"> </w:t>
      </w:r>
      <w:r>
        <w:rPr>
          <w:rStyle w:val="VerbatimChar"/>
        </w:rPr>
        <w:t xml:space="preserve">jackson-dataformat-yaml</w:t>
      </w:r>
      <w:r>
        <w:t xml:space="preserve"> </w:t>
      </w:r>
      <w:r>
        <w:t xml:space="preserve">nor</w:t>
      </w:r>
      <w:r>
        <w:t xml:space="preserve"> </w:t>
      </w:r>
      <w:r>
        <w:rPr>
          <w:rStyle w:val="VerbatimChar"/>
        </w:rPr>
        <w:t xml:space="preserve">swagger-core</w:t>
      </w:r>
      <w:r>
        <w:t xml:space="preserve"> </w:t>
      </w:r>
      <w:r>
        <w:t xml:space="preserve">ever calls</w:t>
      </w:r>
      <w:r>
        <w:t xml:space="preserve"> </w:t>
      </w:r>
      <w:r>
        <w:rPr>
          <w:rStyle w:val="VerbatimChar"/>
        </w:rPr>
        <w:t xml:space="preserve">setCodePointLimit</w:t>
      </w:r>
      <w:r>
        <w:t xml:space="preserve">. It is only</w:t>
      </w:r>
      <w:r>
        <w:t xml:space="preserve"> </w:t>
      </w:r>
      <w:r>
        <w:t xml:space="preserve">configurable from swagger-parser-v3 ≥ 2.1.43, absent from the 2.1.2 pinned by openapi-generator</w:t>
      </w:r>
      <w:r>
        <w:t xml:space="preserve"> </w:t>
      </w:r>
      <w:r>
        <w:t xml:space="preserve">6.3.0.</w:t>
      </w:r>
      <w:r>
        <w:t xml:space="preserve"> </w:t>
      </w:r>
      <w:r>
        <w:rPr>
          <w:b/>
          <w:bCs/>
        </w:rPr>
        <w:t xml:space="preserve">Bumping openapi-generator alone does nothing</w:t>
      </w:r>
      <w:r>
        <w:t xml:space="preserve"> </w:t>
      </w:r>
      <w:r>
        <w:t xml:space="preserve">— it needs the bump plus a</w:t>
      </w:r>
      <w:r>
        <w:t xml:space="preserve"> </w:t>
      </w:r>
      <w:r>
        <w:rPr>
          <w:rStyle w:val="VerbatimChar"/>
        </w:rPr>
        <w:t xml:space="preserve">maxYamlCodePoints</w:t>
      </w:r>
      <w:r>
        <w:t xml:space="preserve"> </w:t>
      </w:r>
      <w:r>
        <w:t xml:space="preserve">system property, or descriptions stripped from the codegen input only.</w:t>
      </w:r>
    </w:p>
    <w:p>
      <w:pPr>
        <w:pStyle w:val="BodyText"/>
      </w:pPr>
      <w:r>
        <w:rPr>
          <w:b/>
          <w:bCs/>
        </w:rPr>
        <w:t xml:space="preserve">A breaking-change trap for description work.</w:t>
      </w:r>
      <w:r>
        <w:t xml:space="preserve"> </w:t>
      </w:r>
      <w:r>
        <w:rPr>
          <w:rStyle w:val="VerbatimChar"/>
        </w:rPr>
        <w:t xml:space="preserve">UpdateComplianceJobRequest</w:t>
      </w:r>
      <w:r>
        <w:t xml:space="preserve"> </w:t>
      </w:r>
      <w:r>
        <w:t xml:space="preserve">declares</w:t>
      </w:r>
      <w:r>
        <w:t xml:space="preserve"> </w:t>
      </w:r>
      <w:r>
        <w:rPr>
          <w:rStyle w:val="VerbatimChar"/>
        </w:rPr>
        <w:t xml:space="preserve">pre_script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post_script</w:t>
      </w:r>
      <w:r>
        <w:t xml:space="preserve"> </w:t>
      </w:r>
      <w:r>
        <w:t xml:space="preserve">as two byte-identical inline schemas sharing</w:t>
      </w:r>
      <w:r>
        <w:t xml:space="preserve"> </w:t>
      </w:r>
      <w:r>
        <w:rPr>
          <w:rStyle w:val="VerbatimChar"/>
        </w:rPr>
        <w:t xml:space="preserve">title: UpdateComplianceJobScript</w:t>
      </w:r>
      <w:r>
        <w:t xml:space="preserve">,</w:t>
      </w:r>
      <w:r>
        <w:t xml:space="preserve"> </w:t>
      </w:r>
      <w:r>
        <w:t xml:space="preserve">which openapi-generator deduplicates into one model class. Giving them different descriptions</w:t>
      </w:r>
      <w:r>
        <w:t xml:space="preserve"> </w:t>
      </w:r>
      <w:r>
        <w:t xml:space="preserve">splits it into</w:t>
      </w:r>
      <w:r>
        <w:t xml:space="preserve"> </w:t>
      </w:r>
      <w:r>
        <w:rPr>
          <w:rStyle w:val="VerbatimChar"/>
        </w:rPr>
        <w:t xml:space="preserve">UpdateComplianceJobScript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UpdateComplianceJobScript1</w:t>
      </w:r>
      <w:r>
        <w:t xml:space="preserve"> </w:t>
      </w:r>
      <w:r>
        <w:t xml:space="preserve">and changes the type of</w:t>
      </w:r>
      <w:r>
        <w:t xml:space="preserve"> </w:t>
      </w:r>
      <w:r>
        <w:rPr>
          <w:rStyle w:val="VerbatimChar"/>
        </w:rPr>
        <w:t xml:space="preserve">postScript</w:t>
      </w:r>
      <w:r>
        <w:t xml:space="preserve"> </w:t>
      </w:r>
      <w:r>
        <w:t xml:space="preserve">— breaking for every published client library. Caught by generating Java before and</w:t>
      </w:r>
      <w:r>
        <w:t xml:space="preserve"> </w:t>
      </w:r>
      <w:r>
        <w:t xml:space="preserve">after and diffing all 1,534 files; fixed by giving both identical text. It is the only such case</w:t>
      </w:r>
      <w:r>
        <w:t xml:space="preserve"> </w:t>
      </w:r>
      <w:r>
        <w:t xml:space="preserve">across the five source specs today, but the pattern will recur.</w:t>
      </w:r>
    </w:p>
    <w:p>
      <w:r>
        <w:pict>
          <v:rect style="width:0;height:1.5pt" o:hralign="center" o:hrstd="t" o:hr="t"/>
        </w:pict>
      </w:r>
    </w:p>
    <w:bookmarkEnd w:id="19"/>
    <w:bookmarkStart w:id="20" w:name="proposed-shape"/>
    <w:p>
      <w:pPr>
        <w:pStyle w:val="Heading2"/>
      </w:pPr>
      <w:r>
        <w:t xml:space="preserve">Proposed shape</w:t>
      </w:r>
    </w:p>
    <w:p>
      <w:pPr>
        <w:pStyle w:val="FirstParagraph"/>
      </w:pPr>
      <w:r>
        <w:rPr>
          <w:b/>
          <w:bCs/>
        </w:rPr>
        <w:t xml:space="preserve">One PPM.</w:t>
      </w:r>
      <w:r>
        <w:t xml:space="preserve"> </w:t>
      </w:r>
      <w:r>
        <w:t xml:space="preserve">Retitle PPM-1129 to</w:t>
      </w:r>
      <w:r>
        <w:t xml:space="preserve"> </w:t>
      </w:r>
      <w:r>
        <w:rPr>
          <w:i/>
          <w:iCs/>
        </w:rPr>
        <w:t xml:space="preserve">"AI Assistant (GA) — Agent-Ready API Surface: Vocabulary &amp;</w:t>
      </w:r>
      <w:r>
        <w:rPr>
          <w:i/>
          <w:iCs/>
        </w:rPr>
        <w:t xml:space="preserve"> </w:t>
      </w:r>
      <w:r>
        <w:rPr>
          <w:i/>
          <w:iCs/>
        </w:rPr>
        <w:t xml:space="preserve">Domain Model"</w:t>
      </w:r>
      <w:r>
        <w:t xml:space="preserve">. Fold row 6's intent into it and update the GA page so rows 5 and 6 both reference</w:t>
      </w:r>
      <w:r>
        <w:t xml:space="preserve"> </w:t>
      </w:r>
      <w:r>
        <w:t xml:space="preserve">it. One ARB, one CTC, one set of Design reviewers.</w:t>
      </w:r>
    </w:p>
    <w:p>
      <w:pPr>
        <w:pStyle w:val="BodyText"/>
      </w:pPr>
      <w:r>
        <w:rPr>
          <w:b/>
          <w:bCs/>
        </w:rPr>
        <w:t xml:space="preserve">Two delivery epics</w:t>
      </w:r>
      <w:r>
        <w:t xml:space="preserve">, because the risk profiles differ sharply:</w:t>
      </w:r>
    </w:p>
    <w:tbl>
      <w:tblPr>
        <w:tblStyle w:val="Table"/>
        <w:tblW w:w="10080" w:type="dxa"/>
        <w:tblLook w:firstRow="1" w:lastRow="0" w:firstColumn="0" w:lastColumn="0" w:noHBand="0" w:noVBand="0" w:val="0020"/>
      </w:tblPr>
      <w:tblGrid>
        <w:gridCol w:w="1872"/>
        <w:gridCol w:w="4176"/>
        <w:gridCol w:w="2736"/>
        <w:gridCol w:w="1296"/>
      </w:tblGrid>
      <w:tr>
        <w:trPr>
          <w:tblHeader w:val="on"/>
        </w:trPr>
        <w:tc>
          <w:tcPr>
            <w:tcW w:w="1872" w:type="dxa"/>
          </w:tcPr>
          <w:p>
            <w:pPr>
              <w:pStyle w:val="Compact"/>
            </w:pPr>
            <w:r>
              <w:t xml:space="preserve">Epic</w:t>
            </w:r>
          </w:p>
        </w:tc>
        <w:tc>
          <w:tcPr>
            <w:tcW w:w="4176" w:type="dxa"/>
          </w:tcPr>
          <w:p>
            <w:pPr>
              <w:pStyle w:val="Compact"/>
            </w:pPr>
            <w:r>
              <w:t xml:space="preserve">Scope</w:t>
            </w:r>
          </w:p>
        </w:tc>
        <w:tc>
          <w:tcPr>
            <w:tcW w:w="2736" w:type="dxa"/>
          </w:tcPr>
          <w:p>
            <w:pPr>
              <w:pStyle w:val="Compact"/>
            </w:pPr>
            <w:r>
              <w:t xml:space="preserve">Risk</w:t>
            </w:r>
          </w:p>
        </w:tc>
        <w:tc>
          <w:tcPr>
            <w:tcW w:w="1296" w:type="dxa"/>
          </w:tcPr>
          <w:p>
            <w:pPr>
              <w:pStyle w:val="Compact"/>
            </w:pPr>
            <w:r>
              <w:t xml:space="preserve">Rough size</w:t>
            </w:r>
          </w:p>
        </w:tc>
      </w:tr>
      <w:tr>
        <w:tc>
          <w:tcPr>
            <w:tcW w:w="1872" w:type="dxa"/>
          </w:tcPr>
          <w:p>
            <w:pPr>
              <w:pStyle w:val="Compact"/>
            </w:pPr>
            <w:r>
              <w:t xml:space="preserve">MCP-side (</w:t>
            </w:r>
            <w:r>
              <w:rPr>
                <w:rStyle w:val="VerbatimChar"/>
              </w:rPr>
              <w:t xml:space="preserve">dxi-mcp-server</w:t>
            </w:r>
            <w:r>
              <w:t xml:space="preserve">)</w:t>
            </w:r>
          </w:p>
        </w:tc>
        <w:tc>
          <w:tcPr>
            <w:tcW w:w="4176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server_instructions</w:t>
            </w:r>
            <w:r>
              <w:t xml:space="preserve"> </w:t>
            </w:r>
            <w:r>
              <w:t xml:space="preserve">wired into</w:t>
            </w:r>
            <w:r>
              <w:t xml:space="preserve"> </w:t>
            </w:r>
            <w:r>
              <w:rPr>
                <w:rStyle w:val="VerbatimChar"/>
              </w:rPr>
              <w:t xml:space="preserve">FastMCP(...)</w:t>
            </w:r>
            <w:r>
              <w:t xml:space="preserve">; vocabulary pass over the 79</w:t>
            </w:r>
            <w:r>
              <w:t xml:space="preserve"> </w:t>
            </w:r>
            <w:r>
              <w:rPr>
                <w:rStyle w:val="VerbatimChar"/>
              </w:rPr>
              <w:t xml:space="preserve">manual_confirmation.txt</w:t>
            </w:r>
            <w:r>
              <w:t xml:space="preserve"> </w:t>
            </w:r>
            <w:r>
              <w:t xml:space="preserve">templates; error-message translation layer; BYO AI provider startup notice (PPM-1077)</w:t>
            </w:r>
          </w:p>
        </w:tc>
        <w:tc>
          <w:tcPr>
            <w:tcW w:w="2736" w:type="dxa"/>
          </w:tcPr>
          <w:p>
            <w:pPr>
              <w:pStyle w:val="Compact"/>
            </w:pPr>
            <w:r>
              <w:t xml:space="preserve">None known. No cross-team dependency, no version bump.</w:t>
            </w:r>
          </w:p>
        </w:tc>
        <w:tc>
          <w:tcPr>
            <w:tcW w:w="1296" w:type="dxa"/>
          </w:tcPr>
          <w:p>
            <w:pPr>
              <w:pStyle w:val="Compact"/>
            </w:pPr>
            <w:r>
              <w:t xml:space="preserve">~1 week</w:t>
            </w:r>
          </w:p>
        </w:tc>
      </w:tr>
      <w:tr>
        <w:tc>
          <w:tcPr>
            <w:tcW w:w="1872" w:type="dxa"/>
          </w:tcPr>
          <w:p>
            <w:pPr>
              <w:pStyle w:val="Compact"/>
            </w:pPr>
            <w:r>
              <w:t xml:space="preserve">DCT-side (</w:t>
            </w:r>
            <w:r>
              <w:rPr>
                <w:rStyle w:val="VerbatimChar"/>
              </w:rPr>
              <w:t xml:space="preserve">apigw-services</w:t>
            </w:r>
            <w:r>
              <w:t xml:space="preserve">)</w:t>
            </w:r>
          </w:p>
        </w:tc>
        <w:tc>
          <w:tcPr>
            <w:tcW w:w="4176" w:type="dxa"/>
          </w:tcPr>
          <w:p>
            <w:pPr>
              <w:pStyle w:val="Compact"/>
            </w:pPr>
            <w:r>
              <w:t xml:space="preserve">DLPXECO-14529 un-deferred: description coverage to 100%, synonyms into</w:t>
            </w:r>
            <w:r>
              <w:t xml:space="preserve"> </w:t>
            </w:r>
            <w:r>
              <w:rPr>
                <w:rStyle w:val="VerbatimChar"/>
              </w:rPr>
              <w:t xml:space="preserve">summary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filter_expression</w:t>
            </w:r>
            <w:r>
              <w:t xml:space="preserve"> </w:t>
            </w:r>
            <w:r>
              <w:t xml:space="preserve">grammar, per-endpoint filterable fields, agent-affordance annotations</w:t>
            </w:r>
          </w:p>
        </w:tc>
        <w:tc>
          <w:tcPr>
            <w:tcW w:w="2736" w:type="dxa"/>
          </w:tcPr>
          <w:p>
            <w:pPr>
              <w:pStyle w:val="Compact"/>
            </w:pPr>
            <w:r>
              <w:t xml:space="preserve">SnakeYAML ceiling; codegen model-split trap; needs DCT team capacity</w:t>
            </w:r>
          </w:p>
        </w:tc>
        <w:tc>
          <w:tcPr>
            <w:tcW w:w="1296" w:type="dxa"/>
          </w:tcPr>
          <w:p>
            <w:pPr>
              <w:pStyle w:val="Compact"/>
            </w:pPr>
            <w:r>
              <w:t xml:space="preserve">Prototyped; needs re-estimation after the ceiling decision</w:t>
            </w:r>
          </w:p>
        </w:tc>
      </w:tr>
    </w:tbl>
    <w:p>
      <w:pPr>
        <w:pStyle w:val="BodyText"/>
      </w:pPr>
      <w:r>
        <w:t xml:space="preserve">Splitting this way means a build-toolchain problem gates only its own epic, not the November date</w:t>
      </w:r>
      <w:r>
        <w:t xml:space="preserve"> </w:t>
      </w:r>
      <w:r>
        <w:t xml:space="preserve">for both.</w:t>
      </w:r>
    </w:p>
    <w:p>
      <w:r>
        <w:pict>
          <v:rect style="width:0;height:1.5pt" o:hralign="center" o:hrstd="t" o:hr="t"/>
        </w:pict>
      </w:r>
    </w:p>
    <w:bookmarkEnd w:id="20"/>
    <w:bookmarkStart w:id="21" w:name="sequencing"/>
    <w:p>
      <w:pPr>
        <w:pStyle w:val="Heading2"/>
      </w:pPr>
      <w:r>
        <w:t xml:space="preserve">Sequencing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Now, unblocked:</w:t>
      </w:r>
      <w:r>
        <w:t xml:space="preserve"> </w:t>
      </w:r>
      <w:r>
        <w:t xml:space="preserve">MCP-side epic. Nothing outside this repo is required.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Decision needed early:</w:t>
      </w:r>
      <w:r>
        <w:t xml:space="preserve"> </w:t>
      </w:r>
      <w:r>
        <w:t xml:space="preserve">how to clear the 3 MB ceiling — lift it deliberately (generator bump</w:t>
      </w:r>
      <w:r>
        <w:t xml:space="preserve"> </w:t>
      </w:r>
      <w:r>
        <w:t xml:space="preserve">plus system property) or strip descriptions from the codegen input. This determines whether the</w:t>
      </w:r>
      <w:r>
        <w:t xml:space="preserve"> </w:t>
      </w:r>
      <w:r>
        <w:t xml:space="preserve">DCT-side epic fits the November release at all.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Design input needed before the spec pass is finalised:</w:t>
      </w:r>
      <w:r>
        <w:t xml:space="preserve"> </w:t>
      </w:r>
      <w:r>
        <w:t xml:space="preserve">dSource deprecation direction,</w:t>
      </w:r>
      <w:r>
        <w:t xml:space="preserve"> </w:t>
      </w:r>
      <w:r>
        <w:t xml:space="preserve">connector vs. connection/subconnection timing, glossary hosting. Reviewers named in PPM-1129 are</w:t>
      </w:r>
      <w:r>
        <w:t xml:space="preserve"> </w:t>
      </w:r>
      <w:r>
        <w:t xml:space="preserve">Jake Smith and Brian Deverter.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Downstream:</w:t>
      </w:r>
      <w:r>
        <w:t xml:space="preserve"> </w:t>
      </w:r>
      <w:r>
        <w:t xml:space="preserve">PPM-1174 Phase 2 (semantic search tool) depends on this landing. The fuzzy</w:t>
      </w:r>
      <w:r>
        <w:t xml:space="preserve"> </w:t>
      </w:r>
      <w:r>
        <w:t xml:space="preserve">ranker that would back it already exists at</w:t>
      </w:r>
      <w:r>
        <w:t xml:space="preserve"> </w:t>
      </w:r>
      <w:r>
        <w:rPr>
          <w:rStyle w:val="VerbatimChar"/>
        </w:rPr>
        <w:t xml:space="preserve">tools/core/endpoint_discovery.py</w:t>
      </w:r>
      <w:r>
        <w:t xml:space="preserve"> </w:t>
      </w:r>
      <w:r>
        <w:t xml:space="preserve">but is dormant —</w:t>
      </w:r>
      <w:r>
        <w:t xml:space="preserve"> </w:t>
      </w:r>
      <w:r>
        <w:t xml:space="preserve">imported only by</w:t>
      </w:r>
      <w:r>
        <w:t xml:space="preserve"> </w:t>
      </w:r>
      <w:r>
        <w:rPr>
          <w:rStyle w:val="VerbatimChar"/>
        </w:rPr>
        <w:t xml:space="preserve">meta_tools.py</w:t>
      </w:r>
      <w:r>
        <w:t xml:space="preserve">, which is not registered as MCP tools. It ranks on the same</w:t>
      </w:r>
      <w:r>
        <w:t xml:space="preserve"> </w:t>
      </w:r>
      <w:r>
        <w:t xml:space="preserve">thin</w:t>
      </w:r>
      <w:r>
        <w:t xml:space="preserve"> </w:t>
      </w:r>
      <w:r>
        <w:rPr>
          <w:rStyle w:val="VerbatimChar"/>
        </w:rPr>
        <w:t xml:space="preserve">summary</w:t>
      </w:r>
      <w:r>
        <w:t xml:space="preserve">/</w:t>
      </w:r>
      <w:r>
        <w:rPr>
          <w:rStyle w:val="VerbatimChar"/>
        </w:rPr>
        <w:t xml:space="preserve">path</w:t>
      </w:r>
      <w:r>
        <w:t xml:space="preserve"> </w:t>
      </w:r>
      <w:r>
        <w:t xml:space="preserve">tokens, which is precisely why it returns noise without this work. The</w:t>
      </w:r>
      <w:r>
        <w:t xml:space="preserve"> </w:t>
      </w:r>
      <w:r>
        <w:t xml:space="preserve">prerequisite claim in PPM-1129 checks out.</w:t>
      </w:r>
    </w:p>
    <w:p>
      <w:r>
        <w:pict>
          <v:rect style="width:0;height:1.5pt" o:hralign="center" o:hrstd="t" o:hr="t"/>
        </w:pict>
      </w:r>
    </w:p>
    <w:bookmarkEnd w:id="21"/>
    <w:bookmarkStart w:id="22" w:name="open-questions-carried-forward"/>
    <w:p>
      <w:pPr>
        <w:pStyle w:val="Heading2"/>
      </w:pPr>
      <w:r>
        <w:t xml:space="preserve">Open questions carried forward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Glossary hosting and Design review.</w:t>
      </w:r>
      <w:r>
        <w:t xml:space="preserve"> </w:t>
      </w:r>
      <w:r>
        <w:t xml:space="preserve">Glossary v1.2 (30 canonical terms, ~168 synonym rows,</w:t>
      </w:r>
      <w:r>
        <w:t xml:space="preserve"> </w:t>
      </w:r>
      <w:r>
        <w:t xml:space="preserve">three sheets) exists only as</w:t>
      </w:r>
      <w:r>
        <w:t xml:space="preserve"> </w:t>
      </w:r>
      <w:r>
        <w:rPr>
          <w:rStyle w:val="VerbatimChar"/>
        </w:rPr>
        <w:t xml:space="preserve">DCT_MCP_Server_Vocabulary_Glossary_v1.2.xlsx</w:t>
      </w:r>
      <w:r>
        <w:t xml:space="preserve"> </w:t>
      </w:r>
      <w:r>
        <w:t xml:space="preserve">and is not in any</w:t>
      </w:r>
      <w:r>
        <w:t xml:space="preserve"> </w:t>
      </w:r>
      <w:r>
        <w:t xml:space="preserve">repo. PPM-1129 recommends hosting the MCP-specific layer as a PDUX Confluence page linked to</w:t>
      </w:r>
      <w:r>
        <w:t xml:space="preserve"> </w:t>
      </w:r>
      <w:r>
        <w:t xml:space="preserve">canonical Delphix terminology, the Perforce Lexicon and the Design System Glossary. Blocks the</w:t>
      </w:r>
      <w:r>
        <w:t xml:space="preserve"> </w:t>
      </w:r>
      <w:r>
        <w:t xml:space="preserve">spec pass;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block the MCP-side epic.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dSource deprecation direction.</w:t>
      </w:r>
      <w:r>
        <w:t xml:space="preserve"> </w:t>
      </w:r>
      <w:r>
        <w:t xml:space="preserve">The Design System Glossary recommends deprecating</w:t>
      </w:r>
      <w:r>
        <w:t xml:space="preserve"> </w:t>
      </w:r>
      <w:r>
        <w:t xml:space="preserve">customer-facing</w:t>
      </w:r>
      <w:r>
        <w:t xml:space="preserve"> </w:t>
      </w:r>
      <w:r>
        <w:rPr>
          <w:i/>
          <w:iCs/>
        </w:rPr>
        <w:t xml:space="preserve">dSource</w:t>
      </w:r>
      <w:r>
        <w:t xml:space="preserve">; Glossary v1.2 retains it because no clean replacement exists.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Connector vs. connection/subconnection.</w:t>
      </w:r>
      <w:r>
        <w:t xml:space="preserve"> </w:t>
      </w:r>
      <w:r>
        <w:rPr>
          <w:i/>
          <w:iCs/>
        </w:rPr>
        <w:t xml:space="preserve">Connector</w:t>
      </w:r>
      <w:r>
        <w:t xml:space="preserve"> </w:t>
      </w:r>
      <w:r>
        <w:t xml:space="preserve">has dual meanings and Delphix is moving</w:t>
      </w:r>
      <w:r>
        <w:t xml:space="preserve"> </w:t>
      </w:r>
      <w:r>
        <w:t xml:space="preserve">toward connection/subconnection. Need Design confirmation of timing before renaming anything.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Raw API error translation layer.</w:t>
      </w:r>
      <w:r>
        <w:t xml:space="preserve"> </w:t>
      </w:r>
      <w:r>
        <w:t xml:space="preserve">Which layer should catch engine error messages containing</w:t>
      </w:r>
      <w:r>
        <w:t xml:space="preserve"> </w:t>
      </w:r>
      <w:r>
        <w:t xml:space="preserve">implementation terminology. Needs engineering input; sits in the MCP-side epic.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Terminology not yet applied by the prototype.</w:t>
      </w:r>
      <w:r>
        <w:t xml:space="preserve"> </w:t>
      </w:r>
      <w:r>
        <w:rPr>
          <w:rStyle w:val="VerbatimChar"/>
        </w:rPr>
        <w:t xml:space="preserve">timeflow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timeline</w:t>
      </w:r>
      <w:r>
        <w:t xml:space="preserve">; VDB Group ↔</w:t>
      </w:r>
      <w:r>
        <w:t xml:space="preserve"> </w:t>
      </w:r>
      <w:r>
        <w:t xml:space="preserve">"container"; environment/host/machine synonyms; hiding the AppData vs. native connector split;</w:t>
      </w:r>
      <w:r>
        <w:t xml:space="preserve"> </w:t>
      </w:r>
      <w:r>
        <w:t xml:space="preserve">unqualified "engine" vs. DCT. These are PPM-1129's headline items and remain to be reconciled</w:t>
      </w:r>
      <w:r>
        <w:t xml:space="preserve"> </w:t>
      </w:r>
      <w:r>
        <w:t xml:space="preserve">against Glossary v1.2 — the prototype's terms were derived from the codebase, not the spreadsheet.</w:t>
      </w:r>
    </w:p>
    <w:p>
      <w:r>
        <w:pict>
          <v:rect style="width:0;height:1.5pt" o:hralign="center" o:hrstd="t" o:hr="t"/>
        </w:pict>
      </w:r>
    </w:p>
    <w:bookmarkEnd w:id="22"/>
    <w:bookmarkStart w:id="23" w:name="explicitly-out-of-scope"/>
    <w:p>
      <w:pPr>
        <w:pStyle w:val="Heading2"/>
      </w:pPr>
      <w:r>
        <w:t xml:space="preserve">Explicitly out of scope</w:t>
      </w:r>
    </w:p>
    <w:p>
      <w:pPr>
        <w:pStyle w:val="Compact"/>
        <w:numPr>
          <w:ilvl w:val="0"/>
          <w:numId w:val="1005"/>
        </w:numPr>
      </w:pPr>
      <w:r>
        <w:t xml:space="preserve">Renaming API endpoints or OpenAPI tags. A tag rename also renames the generated client class</w:t>
      </w:r>
      <w:r>
        <w:t xml:space="preserve"> </w:t>
      </w:r>
      <w:r>
        <w:t xml:space="preserve">(</w:t>
      </w:r>
      <w:r>
        <w:rPr>
          <w:rStyle w:val="VerbatimChar"/>
        </w:rPr>
        <w:t xml:space="preserve">Connectors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ConnectorsApi</w:t>
      </w:r>
      <w:r>
        <w:t xml:space="preserve">), which is breaking.</w:t>
      </w:r>
    </w:p>
    <w:p>
      <w:pPr>
        <w:pStyle w:val="Compact"/>
        <w:numPr>
          <w:ilvl w:val="0"/>
          <w:numId w:val="1005"/>
        </w:numPr>
      </w:pPr>
      <w:r>
        <w:t xml:space="preserve">An API version bump. The structural diff is descriptions and summaries only, consistent with the</w:t>
      </w:r>
      <w:r>
        <w:t xml:space="preserve"> </w:t>
      </w:r>
      <w:r>
        <w:t xml:space="preserve">PPM-1124 precedent.</w:t>
      </w:r>
    </w:p>
    <w:p>
      <w:pPr>
        <w:pStyle w:val="Compact"/>
        <w:numPr>
          <w:ilvl w:val="0"/>
          <w:numId w:val="1005"/>
        </w:numPr>
      </w:pPr>
      <w:r>
        <w:t xml:space="preserve">Full Continuous Compliance terminology reconciliation.</w:t>
      </w:r>
    </w:p>
    <w:p>
      <w:pPr>
        <w:pStyle w:val="Compact"/>
        <w:numPr>
          <w:ilvl w:val="0"/>
          <w:numId w:val="1005"/>
        </w:numPr>
      </w:pPr>
      <w:r>
        <w:t xml:space="preserve">Customer-facing glossary publication.</w:t>
      </w:r>
    </w:p>
    <w:p>
      <w:pPr>
        <w:pStyle w:val="Compact"/>
        <w:numPr>
          <w:ilvl w:val="0"/>
          <w:numId w:val="1005"/>
        </w:numPr>
      </w:pPr>
      <w:r>
        <w:t xml:space="preserve">The post-GA "Guidance for AI Agents" documentation page — revisit once 3–6 months of real agent</w:t>
      </w:r>
      <w:r>
        <w:t xml:space="preserve"> </w:t>
      </w:r>
      <w:r>
        <w:t xml:space="preserve">interaction data exist.</w:t>
      </w:r>
    </w:p>
    <w:p>
      <w:r>
        <w:pict>
          <v:rect style="width:0;height:1.5pt" o:hralign="center" o:hrstd="t" o:hr="t"/>
        </w:pict>
      </w:r>
    </w:p>
    <w:bookmarkEnd w:id="23"/>
    <w:bookmarkStart w:id="24" w:name="sources"/>
    <w:p>
      <w:pPr>
        <w:pStyle w:val="Heading2"/>
      </w:pPr>
      <w:r>
        <w:t xml:space="preserve">Sources</w:t>
      </w:r>
    </w:p>
    <w:p>
      <w:pPr>
        <w:pStyle w:val="Compact"/>
        <w:numPr>
          <w:ilvl w:val="0"/>
          <w:numId w:val="1006"/>
        </w:numPr>
      </w:pPr>
      <w:r>
        <w:t xml:space="preserve">PPM-1129 description (Ready to Review, 18 pts, target 2026-11-24)</w:t>
      </w:r>
    </w:p>
    <w:p>
      <w:pPr>
        <w:pStyle w:val="Compact"/>
        <w:numPr>
          <w:ilvl w:val="0"/>
          <w:numId w:val="1006"/>
        </w:numPr>
      </w:pPr>
      <w:r>
        <w:t xml:space="preserve">DLPXECO-14529 description — measurements, prototype results, blockers</w:t>
      </w:r>
    </w:p>
    <w:p>
      <w:pPr>
        <w:pStyle w:val="Compact"/>
        <w:numPr>
          <w:ilvl w:val="0"/>
          <w:numId w:val="1006"/>
        </w:numPr>
      </w:pPr>
      <w:r>
        <w:t xml:space="preserve">GA planning page, rows 5 and 6, last edited 2026-09-23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dxi-mcp-server</w:t>
      </w:r>
      <w:r>
        <w:t xml:space="preserve"> </w:t>
      </w:r>
      <w:r>
        <w:t xml:space="preserve">@</w:t>
      </w:r>
      <w:r>
        <w:t xml:space="preserve"> </w:t>
      </w:r>
      <w:r>
        <w:rPr>
          <w:rStyle w:val="VerbatimChar"/>
        </w:rPr>
        <w:t xml:space="preserve">7f2f4da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config/config.py:28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main.py:69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tools/core/spec_cache.py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tools/core/dynamic.py:1197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config/mappings/manual_confirmation.txt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config/toolsets/*.txt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tools/core/endpoint_discovery.py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pyproject.toml</w:t>
      </w:r>
    </w:p>
    <w:bookmarkEnd w:id="24"/>
    <w:bookmarkEnd w:id="25"/>
    <w:sectPr>
      <w:pgSz w:h="15840" w:w="12240"/>
      <w:pgMar w:bottom="1080" w:footer="720" w:gutter="0" w:header="720" w:left="1080" w:right="1080" w:top="108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perforce.atlassian.net/wiki/spaces/DLXEN/pages/357059802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perforce.atlassian.net/wiki/spaces/DLXEN/pages/357059802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2026-09-28T13:46:15Z</dcterms:created>
  <dcterms:modified xsi:type="dcterms:W3CDTF">2026-09-28T13:46:15Z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