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f72d301a298dd1eee3fe396ccea388ddc1addc"/>
    <w:p>
      <w:pPr>
        <w:pStyle w:val="Heading1"/>
      </w:pPr>
      <w:r>
        <w:t xml:space="preserve">Proposal: Merge</w:t>
      </w:r>
      <w:r>
        <w:t xml:space="preserve"> </w:t>
      </w:r>
      <w:r>
        <w:t xml:space="preserve">“Agent Ready OpenAPI Spec”</w:t>
      </w:r>
      <w:r>
        <w:t xml:space="preserve"> </w:t>
      </w:r>
      <w:r>
        <w:t xml:space="preserve">into PPM-1129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Geeta Zanvar, Elima Sugunan, Nick Mathison; ARB and CTC reviewers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Concerns</w:t>
            </w:r>
          </w:p>
        </w:tc>
        <w:tc>
          <w:tcPr/>
          <w:p>
            <w:pPr>
              <w:pStyle w:val="Compact"/>
            </w:pPr>
            <w:r>
              <w:t xml:space="preserve">PPM-1129 (Vocabulary &amp; Domain Model Guidance); row 6 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DCT AI Assistant – Delphix MCP Server – GA</w:t>
              </w:r>
            </w:hyperlink>
            <w:r>
              <w:t xml:space="preserve"> </w:t>
            </w:r>
            <w:r>
              <w:t xml:space="preserve">page (</w:t>
            </w:r>
            <w:r>
              <w:t xml:space="preserve">“Agent Ready Open API Spec”</w:t>
            </w:r>
            <w:r>
              <w:t xml:space="preserve">); DLPXECO-14529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Track the agent-ready OpenAPI spec work</w:t>
      </w:r>
      <w:r>
        <w:t xml:space="preserve"> </w:t>
      </w:r>
      <w:r>
        <w:rPr>
          <w:b/>
          <w:bCs/>
        </w:rPr>
        <w:t xml:space="preserve">inside PPM-1129</w:t>
      </w:r>
      <w:r>
        <w:t xml:space="preserve"> </w:t>
      </w:r>
      <w:r>
        <w:t xml:space="preserve">rather than as a second idea.</w:t>
      </w:r>
      <w:r>
        <w:t xml:space="preserve"> </w:t>
      </w:r>
      <w:r>
        <w:t xml:space="preserve">Retitle PPM-1129 to reflect the widened scope, point both row 5 and row 6 of the GA page at it,</w:t>
      </w:r>
      <w:r>
        <w:t xml:space="preserve"> </w:t>
      </w:r>
      <w:r>
        <w:t xml:space="preserve">and split delivery into two epics so the DCT-side build blockers do not gate the MCP-side work.</w:t>
      </w:r>
    </w:p>
    <w:p>
      <w:pPr>
        <w:pStyle w:val="BodyText"/>
      </w:pPr>
      <w:r>
        <w:t xml:space="preserve">No second PPM is needed. Row 6 has no ticket today, so this is a decision not to create a</w:t>
      </w:r>
      <w:r>
        <w:t xml:space="preserve"> </w:t>
      </w:r>
      <w:r>
        <w:t xml:space="preserve">duplicate rather than a consolidation of two live items.</w:t>
      </w:r>
    </w:p>
    <w:p>
      <w:r>
        <w:pict>
          <v:rect style="width:0;height:1.5pt" o:hralign="center" o:hrstd="t" o:hr="t"/>
        </w:pict>
      </w:r>
    </w:p>
    <w:bookmarkEnd w:id="10"/>
    <w:bookmarkStart w:id="15" w:name="why-these-are-one-piece-of-work-not-two"/>
    <w:p>
      <w:pPr>
        <w:pStyle w:val="Heading2"/>
      </w:pPr>
      <w:r>
        <w:t xml:space="preserve">Why these are one piece of work, not two</w:t>
      </w:r>
    </w:p>
    <w:bookmarkStart w:id="11" w:name="X6009f4396b696ca6b147859051eee5b8e65ca28"/>
    <w:p>
      <w:pPr>
        <w:pStyle w:val="Heading3"/>
      </w:pPr>
      <w:r>
        <w:t xml:space="preserve">1. They are the same edit to the same fields</w:t>
      </w:r>
    </w:p>
    <w:p>
      <w:pPr>
        <w:pStyle w:val="FirstParagraph"/>
      </w:pPr>
      <w:r>
        <w:t xml:space="preserve">Agent-readiness asks whether an operation says anything useful at all. Vocabulary asks which</w:t>
      </w:r>
      <w:r>
        <w:t xml:space="preserve"> </w:t>
      </w:r>
      <w:r>
        <w:t xml:space="preserve">words it uses when it does. Both are answered by writing the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of the</w:t>
      </w:r>
      <w:r>
        <w:t xml:space="preserve"> </w:t>
      </w:r>
      <w:r>
        <w:t xml:space="preserve">same operations in the same five source specs (</w:t>
      </w:r>
      <w:r>
        <w:rPr>
          <w:rStyle w:val="VerbatimChar"/>
        </w:rPr>
        <w:t xml:space="preserve">core-api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virtualization-api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masking-api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syngen-api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ai-control-api</w:t>
      </w:r>
      <w:r>
        <w:t xml:space="preserve">).</w:t>
      </w:r>
    </w:p>
    <w:p>
      <w:pPr>
        <w:pStyle w:val="BodyText"/>
      </w:pPr>
      <w:r>
        <w:t xml:space="preserve">Writing the 1,025 currently-missing descriptions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moment the vocabulary gets chosen.</w:t>
      </w:r>
      <w:r>
        <w:t xml:space="preserve"> </w:t>
      </w:r>
      <w:r>
        <w:t xml:space="preserve">Sequencing them as separate tickets means authoring the same YAML twice, with the second pass</w:t>
      </w:r>
      <w:r>
        <w:t xml:space="preserve"> </w:t>
      </w:r>
      <w:r>
        <w:t xml:space="preserve">conflicting with the first.</w:t>
      </w:r>
    </w:p>
    <w:bookmarkEnd w:id="11"/>
    <w:bookmarkStart w:id="12" w:name="both-compete-for-one-scarce-field"/>
    <w:p>
      <w:pPr>
        <w:pStyle w:val="Heading3"/>
      </w:pPr>
      <w:r>
        <w:t xml:space="preserve">2. Both compete for one scarce field</w:t>
      </w:r>
    </w:p>
    <w:p>
      <w:pPr>
        <w:pStyle w:val="FirstParagraph"/>
      </w:pPr>
      <w:r>
        <w:t xml:space="preserve">The MCP server matches user intent on</w:t>
      </w:r>
      <w:r>
        <w:t xml:space="preserve"> </w:t>
      </w:r>
      <w:r>
        <w:rPr>
          <w:rStyle w:val="VerbatimChar"/>
        </w:rPr>
        <w:t xml:space="preserve">operationId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 and</w:t>
      </w:r>
      <w:r>
        <w:t xml:space="preserve"> </w:t>
      </w:r>
      <w:r>
        <w:rPr>
          <w:b/>
          <w:bCs/>
        </w:rPr>
        <w:t xml:space="preserve">never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description</w:t>
      </w:r>
      <w:r>
        <w:t xml:space="preserve"> </w:t>
      </w:r>
      <w:r>
        <w:t xml:space="preserve">(measured in DLPXECO-14529; confirmed in</w:t>
      </w:r>
      <w:r>
        <w:t xml:space="preserve"> </w:t>
      </w:r>
      <w:r>
        <w:rPr>
          <w:rStyle w:val="VerbatimChar"/>
        </w:rPr>
        <w:t xml:space="preserve">tools/core/dynamic.py:1197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_action_list_operations</w:t>
      </w:r>
      <w:r>
        <w:t xml:space="preserve"> </w:t>
      </w:r>
      <w:r>
        <w:t xml:space="preserve">returns exactly those four fields to the model).</w:t>
      </w:r>
    </w:p>
    <w:p>
      <w:pPr>
        <w:pStyle w:val="BodyText"/>
      </w:pPr>
      <w:r>
        <w:t xml:space="preserve">This has a consequence that reshapes both efforts: any synonym intended to be</w:t>
      </w:r>
      <w:r>
        <w:t xml:space="preserve"> </w:t>
      </w:r>
      <w:r>
        <w:rPr>
          <w:i/>
          <w:iCs/>
        </w:rPr>
        <w:t xml:space="preserve">searchable</w:t>
      </w:r>
      <w:r>
        <w:t xml:space="preserve"> </w:t>
      </w:r>
      <w:r>
        <w:t xml:space="preserve">must</w:t>
      </w:r>
      <w:r>
        <w:t xml:space="preserve"> </w:t>
      </w:r>
      <w:r>
        <w:t xml:space="preserve">live in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 Vocabulary work and agent-readiness work therefore contend</w:t>
      </w:r>
      <w:r>
        <w:t xml:space="preserve"> </w:t>
      </w:r>
      <w:r>
        <w:t xml:space="preserve">for the same handful of characters in the same field. That is a single editorial decision per</w:t>
      </w:r>
      <w:r>
        <w:t xml:space="preserve"> </w:t>
      </w:r>
      <w:r>
        <w:t xml:space="preserve">operation, not two independent ones.</w:t>
      </w:r>
    </w:p>
    <w:bookmarkEnd w:id="12"/>
    <w:bookmarkStart w:id="13" w:name="X8b4a65d93aec65e63182a66978b9208ab30b38a"/>
    <w:p>
      <w:pPr>
        <w:pStyle w:val="Heading3"/>
      </w:pPr>
      <w:r>
        <w:t xml:space="preserve">3. The implementing story already spans both</w:t>
      </w:r>
    </w:p>
    <w:p>
      <w:pPr>
        <w:pStyle w:val="FirstParagraph"/>
      </w:pPr>
      <w:r>
        <w:t xml:space="preserve">DLPXECO-14529 (</w:t>
      </w:r>
      <w:r>
        <w:t xml:space="preserve">“Enrich DCT OpenAPI descriptions so the MCP server can infer user intent”</w:t>
      </w:r>
      <w:r>
        <w:t xml:space="preserve">) opens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“Implements the spec-level lever of PPM-1129”</w:t>
      </w:r>
      <w:r>
        <w:t xml:space="preserve"> </w:t>
      </w:r>
      <w:r>
        <w:t xml:space="preserve">and is linked to PPM-1129 as</w:t>
      </w:r>
      <w:r>
        <w:t xml:space="preserve"> </w:t>
      </w:r>
      <w:r>
        <w:rPr>
          <w:i/>
          <w:iCs/>
        </w:rPr>
        <w:t xml:space="preserve">is implemented</w:t>
      </w:r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t xml:space="preserve">. It already carries the measurements, a working prototype branch, and both blockers. A second</w:t>
      </w:r>
      <w:r>
        <w:t xml:space="preserve"> </w:t>
      </w:r>
      <w:r>
        <w:t xml:space="preserve">PPM for row 6 would give one prototype branch two parents.</w:t>
      </w:r>
    </w:p>
    <w:bookmarkEnd w:id="13"/>
    <w:bookmarkStart w:id="14" w:name="they-share-every-gate"/>
    <w:p>
      <w:pPr>
        <w:pStyle w:val="Heading3"/>
      </w:pPr>
      <w:r>
        <w:t xml:space="preserve">4. They share every gate</w:t>
      </w:r>
    </w:p>
    <w:p>
      <w:pPr>
        <w:pStyle w:val="FirstParagraph"/>
      </w:pPr>
      <w:r>
        <w:t xml:space="preserve">Rows 5 and 6 of the GA page are identical on every axis that matters: Teams = DCT + MCP, Status =</w:t>
      </w:r>
      <w:r>
        <w:t xml:space="preserve"> </w:t>
      </w:r>
      <w:r>
        <w:t xml:space="preserve">Exploration, ARB Required, CTC for MCP Required, and the same release pair (DCT GA 2026.6.0 /</w:t>
      </w:r>
      <w:r>
        <w:t xml:space="preserve"> </w:t>
      </w:r>
      <w:r>
        <w:t xml:space="preserve">MCP GA 2026.1.0). One PPM means one ARB submission, one CTC page, one set of Design reviewers.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what-agent-ready-means-concretely"/>
    <w:p>
      <w:pPr>
        <w:pStyle w:val="Heading2"/>
      </w:pPr>
      <w:r>
        <w:t xml:space="preserve">What</w:t>
      </w:r>
      <w:r>
        <w:t xml:space="preserve"> </w:t>
      </w:r>
      <w:r>
        <w:t xml:space="preserve">“agent-ready”</w:t>
      </w:r>
      <w:r>
        <w:t xml:space="preserve"> </w:t>
      </w:r>
      <w:r>
        <w:t xml:space="preserve">means concretely</w:t>
      </w:r>
    </w:p>
    <w:p>
      <w:pPr>
        <w:pStyle w:val="FirstParagraph"/>
      </w:pPr>
      <w:r>
        <w:t xml:space="preserve">The phrase needs pinning down in the ticket, because the work behind it is specific. Baseline</w:t>
      </w:r>
      <w:r>
        <w:t xml:space="preserve"> </w:t>
      </w:r>
      <w:r>
        <w:t xml:space="preserve">measured against DCT 3.30.0, 1,044 external operations in</w:t>
      </w:r>
      <w:r>
        <w:t xml:space="preserve"> </w:t>
      </w:r>
      <w:r>
        <w:rPr>
          <w:rStyle w:val="VerbatimChar"/>
        </w:rPr>
        <w:t xml:space="preserve">api-external.yaml</w:t>
      </w:r>
      <w:r>
        <w:t xml:space="preserve">;</w:t>
      </w:r>
      <w:r>
        <w:t xml:space="preserve"> </w:t>
      </w:r>
      <w:r>
        <w:t xml:space="preserve">“prototype”</w:t>
      </w:r>
      <w:r>
        <w:t xml:space="preserve"> </w:t>
      </w:r>
      <w:r>
        <w:t xml:space="preserve">column</w:t>
      </w:r>
      <w:r>
        <w:t xml:space="preserve"> </w:t>
      </w:r>
      <w:r>
        <w:t xml:space="preserve">is the state reached on the unpushed branch described in DLPXECO-14529.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2288"/>
        <w:gridCol w:w="25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Agent-ready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carrying a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19 (1.8%)</w:t>
            </w:r>
          </w:p>
        </w:tc>
        <w:tc>
          <w:tcPr/>
          <w:p>
            <w:pPr>
              <w:pStyle w:val="Compact"/>
            </w:pPr>
            <w:r>
              <w:t xml:space="preserve">1,044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stating an explicit use case</w:t>
            </w:r>
          </w:p>
        </w:tc>
        <w:tc>
          <w:tcPr/>
          <w:p>
            <w:pPr>
              <w:pStyle w:val="Compact"/>
            </w:pPr>
            <w:r>
              <w:t xml:space="preserve">198 (18.6%)</w:t>
            </w:r>
          </w:p>
        </w:tc>
        <w:tc>
          <w:tcPr/>
          <w:p>
            <w:pPr>
              <w:pStyle w:val="Compact"/>
            </w:pPr>
            <w:r>
              <w:t xml:space="preserve">406 (38.2%)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Purely mechanical descriptions</w:t>
            </w:r>
          </w:p>
        </w:tc>
        <w:tc>
          <w:tcPr/>
          <w:p>
            <w:pPr>
              <w:pStyle w:val="Compact"/>
            </w:pPr>
            <w:r>
              <w:t xml:space="preserve">533 (50.1%)</w:t>
            </w:r>
          </w:p>
        </w:tc>
        <w:tc>
          <w:tcPr/>
          <w:p>
            <w:pPr>
              <w:pStyle w:val="Compact"/>
            </w:pPr>
            <w:r>
              <w:t xml:space="preserve">326 (30.6%)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Terse generic-verb summaries</w:t>
            </w:r>
          </w:p>
        </w:tc>
        <w:tc>
          <w:tcPr/>
          <w:p>
            <w:pPr>
              <w:pStyle w:val="Compact"/>
            </w:pPr>
            <w:r>
              <w:t xml:space="preserve">540 (51.7%)</w:t>
            </w:r>
          </w:p>
        </w:tc>
        <w:tc>
          <w:tcPr/>
          <w:p>
            <w:pPr>
              <w:pStyle w:val="Compact"/>
            </w:pPr>
            <w:r>
              <w:t xml:space="preserve">materially reduced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Request-body properties undescribed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Searchable vocabulary / synonyms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present in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, where routing 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filter_expression</w:t>
            </w:r>
            <w:r>
              <w:t xml:space="preserve"> </w:t>
            </w: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one cryptic example, shared by all 138</w:t>
            </w:r>
            <w:r>
              <w:t xml:space="preserve"> </w:t>
            </w:r>
            <w:r>
              <w:rPr>
                <w:rStyle w:val="VerbatimChar"/>
              </w:rPr>
              <w:t xml:space="preserve">/search</w:t>
            </w:r>
            <w:r>
              <w:t xml:space="preserve"> </w:t>
            </w: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operator grammar plus per-endpoint filterable-field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 mechanics</w:t>
            </w:r>
          </w:p>
        </w:tc>
        <w:tc>
          <w:tcPr/>
          <w:p>
            <w:pPr>
              <w:pStyle w:val="Compact"/>
            </w:pPr>
            <w:r>
              <w:t xml:space="preserve">implicit</w:t>
            </w:r>
          </w:p>
        </w:tc>
        <w:tc>
          <w:tcPr/>
          <w:p>
            <w:pPr>
              <w:pStyle w:val="Compact"/>
            </w:pPr>
            <w:r>
              <w:t xml:space="preserve">pagination, async job polling and required fields stated</w:t>
            </w:r>
          </w:p>
        </w:tc>
      </w:tr>
    </w:tbl>
    <w:p>
      <w:pPr>
        <w:pStyle w:val="BodyText"/>
      </w:pPr>
      <w:r>
        <w:t xml:space="preserve">Descriptions in the prototype are generated from facts already in the spec, not invented: for</w:t>
      </w:r>
      <w:r>
        <w:t xml:space="preserve"> </w:t>
      </w:r>
      <w:r>
        <w:t xml:space="preserve">long-tail endpoints the lead sentence is the existing summary verbatim with derived mechanics</w:t>
      </w:r>
      <w:r>
        <w:t xml:space="preserve"> </w:t>
      </w:r>
      <w:r>
        <w:t xml:space="preserve">appended, and domain prose is drawn from the 505 component schemas that already carry</w:t>
      </w:r>
      <w:r>
        <w:t xml:space="preserve"> </w:t>
      </w:r>
      <w:r>
        <w:t xml:space="preserve">descriptions.</w:t>
      </w:r>
    </w:p>
    <w:p>
      <w:pPr>
        <w:pStyle w:val="BodyText"/>
      </w:pPr>
      <w:r>
        <w:rPr>
          <w:b/>
          <w:bCs/>
        </w:rPr>
        <w:t xml:space="preserve">Demonstrated effect.</w:t>
      </w:r>
      <w:r>
        <w:t xml:space="preserve"> </w:t>
      </w:r>
      <w:r>
        <w:t xml:space="preserve">An A/B harness run against the MCP server’s own</w:t>
      </w:r>
      <w:r>
        <w:t xml:space="preserve"> </w:t>
      </w:r>
      <w:r>
        <w:rPr>
          <w:rStyle w:val="VerbatimChar"/>
        </w:rPr>
        <w:t xml:space="preserve">endpoint_discovery</w:t>
      </w:r>
      <w:r>
        <w:t xml:space="preserve"> </w:t>
      </w:r>
      <w:r>
        <w:t xml:space="preserve">module showed routing changes such as: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“list my golden copies”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/compliance-job-collections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/vdbs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“generate a secure lookup list for a masking algorithm”</w:t>
      </w:r>
      <w:r>
        <w:t xml:space="preserve"> </w:t>
      </w:r>
      <w:r>
        <w:t xml:space="preserve">— a masking-file-download endpoint →</w:t>
      </w:r>
      <w:r>
        <w:t xml:space="preserve"> </w:t>
      </w:r>
      <w:r>
        <w:rPr>
          <w:rStyle w:val="VerbatimChar"/>
        </w:rPr>
        <w:t xml:space="preserve">POST /ai/generate</w:t>
      </w:r>
    </w:p>
    <w:p>
      <w:pPr>
        <w:pStyle w:val="FirstParagraph"/>
      </w:pPr>
      <w:r>
        <w:rPr>
          <w:b/>
          <w:bCs/>
        </w:rPr>
        <w:t xml:space="preserve">Annotation precedent.</w:t>
      </w:r>
      <w:r>
        <w:t xml:space="preserve"> </w:t>
      </w:r>
      <w:r>
        <w:t xml:space="preserve">The spec already carries</w:t>
      </w:r>
      <w:r>
        <w:t xml:space="preserve"> </w:t>
      </w:r>
      <w:r>
        <w:rPr>
          <w:rStyle w:val="VerbatimChar"/>
        </w:rPr>
        <w:t xml:space="preserve">x-dct-toolkit-credential-field</w:t>
      </w:r>
      <w:r>
        <w:t xml:space="preserve">, which the MCP</w:t>
      </w:r>
      <w:r>
        <w:t xml:space="preserve"> </w:t>
      </w:r>
      <w:r>
        <w:t xml:space="preserve">server treats as the authoritative list of secret fields. Agent-affordance annotations</w:t>
      </w:r>
      <w:r>
        <w:t xml:space="preserve"> </w:t>
      </w:r>
      <w:r>
        <w:t xml:space="preserve">(idempotency, destructiveness, long-running) would extend that established pattern rather than</w:t>
      </w:r>
      <w:r>
        <w:t xml:space="preserve"> </w:t>
      </w:r>
      <w:r>
        <w:t xml:space="preserve">introduce a new one, and would feed PPM-1127 (Tool Annotations) directly.</w:t>
      </w:r>
    </w:p>
    <w:p>
      <w:r>
        <w:pict>
          <v:rect style="width:0;height:1.5pt" o:hralign="center" o:hrstd="t" o:hr="t"/>
        </w:pict>
      </w:r>
    </w:p>
    <w:bookmarkEnd w:id="16"/>
    <w:bookmarkStart w:id="17" w:name="X2ad2b16e6ceae3f1f9d85c9695a625178953eb9"/>
    <w:p>
      <w:pPr>
        <w:pStyle w:val="Heading2"/>
      </w:pPr>
      <w:r>
        <w:t xml:space="preserve">What the vocabulary work covers concretely</w:t>
      </w:r>
    </w:p>
    <w:p>
      <w:pPr>
        <w:pStyle w:val="FirstParagraph"/>
      </w:pPr>
      <w:r>
        <w:t xml:space="preserve">The other half of the merged scope. Where agent-readiness asks whether an operation says anything</w:t>
      </w:r>
      <w:r>
        <w:t xml:space="preserve"> </w:t>
      </w:r>
      <w:r>
        <w:t xml:space="preserve">useful, this decides the words it uses. Source is PPM-1129’s problem statement, to be reconciled</w:t>
      </w:r>
      <w:r>
        <w:t xml:space="preserve"> </w:t>
      </w:r>
      <w:r>
        <w:t xml:space="preserve">against Glossary v1.2 (32 Canonical Terms rows – #1-#28 plus 3a, 7a, 7b and 19a – and 169</w:t>
      </w:r>
      <w:r>
        <w:t xml:space="preserve"> </w:t>
      </w:r>
      <w:r>
        <w:t xml:space="preserve">Synonym Map rows; the sheet’s 172 rows include a title, a subtitle and a header row).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0"/>
        <w:gridCol w:w="833"/>
        <w:gridCol w:w="1667"/>
        <w:gridCol w:w="1083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t xml:space="preserve">Accept as input</w:t>
            </w:r>
          </w:p>
        </w:tc>
        <w:tc>
          <w:tcPr/>
          <w:p>
            <w:pPr>
              <w:pStyle w:val="Compact"/>
            </w:pPr>
            <w:r>
              <w:t xml:space="preserve">Avoid in output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data object</w:t>
            </w:r>
          </w:p>
        </w:tc>
        <w:tc>
          <w:tcPr/>
          <w:p>
            <w:pPr>
              <w:pStyle w:val="Compact"/>
            </w:pPr>
            <w:r>
              <w:t xml:space="preserve">VDB</w:t>
            </w:r>
          </w:p>
        </w:tc>
        <w:tc>
          <w:tcPr/>
          <w:p>
            <w:pPr>
              <w:pStyle w:val="Compact"/>
            </w:pPr>
            <w:r>
              <w:t xml:space="preserve">database, virtual database, clone, copy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Customers use all five interchangeably; the model cannot know they are one thing unless told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object</w:t>
            </w:r>
          </w:p>
        </w:tc>
        <w:tc>
          <w:tcPr/>
          <w:p>
            <w:pPr>
              <w:pStyle w:val="Compact"/>
            </w:pPr>
            <w:r>
              <w:t xml:space="preserve">dSource</w:t>
            </w:r>
          </w:p>
        </w:tc>
        <w:tc>
          <w:tcPr/>
          <w:p>
            <w:pPr>
              <w:pStyle w:val="Compact"/>
            </w:pPr>
            <w:r>
              <w:t xml:space="preserve">Delphix source, source DB, linked source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“Data source”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an alias: v1.2 defines it as the upstream system a dSource ingests from (#3). Retained as canonical in v1.2; Design System Glossary recommends deprecating it — resolved, Product has decided to keep dSource as-is for this PPM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host, infrastructure, machine, VM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Four common aliases, none currently mapped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timeflow</w:t>
            </w:r>
          </w:p>
        </w:tc>
        <w:tc>
          <w:tcPr/>
          <w:p>
            <w:pPr>
              <w:pStyle w:val="Compact"/>
            </w:pPr>
            <w:r>
              <w:t xml:space="preserve">timeflow</w:t>
            </w:r>
          </w:p>
        </w:tc>
        <w:tc>
          <w:tcPr/>
          <w:p>
            <w:pPr>
              <w:pStyle w:val="Compact"/>
            </w:pPr>
            <w:r>
              <w:t xml:space="preserve">Legacy Continuous Data engine term; the model echoes it back wherever tool definitions use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  <w:r>
              <w:t xml:space="preserve">VDB Group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“Container”</w:t>
            </w:r>
            <w:r>
              <w:t xml:space="preserve"> </w:t>
            </w:r>
            <w:r>
              <w:t xml:space="preserve">reads as Kubernetes in today’s context; legacy Self-Service / Jetstream users mean VDB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split</w:t>
            </w:r>
          </w:p>
        </w:tc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AppData, plugin, native connector</w:t>
            </w:r>
          </w:p>
        </w:tc>
        <w:tc>
          <w:tcPr/>
          <w:p>
            <w:pPr>
              <w:pStyle w:val="Compact"/>
            </w:pPr>
            <w:r>
              <w:t xml:space="preserve">AppData, plugin</w:t>
            </w:r>
          </w:p>
        </w:tc>
        <w:tc>
          <w:tcPr/>
          <w:p>
            <w:pPr>
              <w:pStyle w:val="Compact"/>
            </w:pPr>
            <w:r>
              <w:t xml:space="preserve">Oracle/SQL Server/ASE/V-files are native; PostgreSQL/MongoDB/SAP HANA/Db2 are AppData plugins. An implementation split customers should never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boundary</w:t>
            </w:r>
          </w:p>
        </w:tc>
        <w:tc>
          <w:tcPr/>
          <w:p>
            <w:pPr>
              <w:pStyle w:val="Compact"/>
            </w:pPr>
            <w:r>
              <w:t xml:space="preserve">DCT, or</w:t>
            </w:r>
            <w:r>
              <w:t xml:space="preserve"> </w:t>
            </w:r>
            <w:r>
              <w:rPr>
                <w:i/>
                <w:iCs/>
              </w:rPr>
              <w:t xml:space="preserve">Continuous Data engine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Continuous Compliance engine</w:t>
            </w:r>
            <w:r>
              <w:t xml:space="preserve"> </w:t>
            </w:r>
            <w:r>
              <w:t xml:space="preserve">(whichever the context shows)</w:t>
            </w:r>
          </w:p>
        </w:tc>
        <w:tc>
          <w:tcPr/>
          <w:p>
            <w:pPr>
              <w:pStyle w:val="Compact"/>
            </w:pPr>
            <w:r>
              <w:t xml:space="preserve">engine (unqualified), Delphix engine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t xml:space="preserve">“engine”</w:t>
            </w:r>
            <w:r>
              <w:t xml:space="preserve">,</w:t>
            </w:r>
            <w:r>
              <w:t xml:space="preserve"> </w:t>
            </w:r>
            <w:r>
              <w:t xml:space="preserve">“Delphix engine”</w:t>
            </w:r>
          </w:p>
        </w:tc>
        <w:tc>
          <w:tcPr/>
          <w:p>
            <w:pPr>
              <w:pStyle w:val="Compact"/>
            </w:pPr>
            <w:r>
              <w:t xml:space="preserve">Unqualified</w:t>
            </w:r>
            <w:r>
              <w:t xml:space="preserve"> </w:t>
            </w:r>
            <w:r>
              <w:t xml:space="preserve">“engine”</w:t>
            </w:r>
            <w:r>
              <w:t xml:space="preserve"> </w:t>
            </w:r>
            <w:r>
              <w:t xml:space="preserve">is repeatedly conflated with DCT itself, and is ambiguous between the two engine products (v1.2 #8)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each lands.</w:t>
      </w:r>
      <w:r>
        <w:t xml:space="preserve"> </w:t>
      </w:r>
      <w:r>
        <w:t xml:space="preserve">These are not all the same kind of edit, which is part of why the two-epic</w:t>
      </w:r>
      <w:r>
        <w:t xml:space="preserve"> </w:t>
      </w:r>
      <w:r>
        <w:t xml:space="preserve">split works: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Spec-side (DCT epic)</w:t>
      </w:r>
      <w:r>
        <w:t xml:space="preserve"> </w:t>
      </w:r>
      <w:r>
        <w:t xml:space="preserve">— synonyms into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so they are searchable; canonical terms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prose; hiding the AppData/native split in customer-facing wording.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MCP-side epic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server_instructions</w:t>
      </w:r>
      <w:r>
        <w:t xml:space="preserve"> </w:t>
      </w:r>
      <w:r>
        <w:t xml:space="preserve">carries the cross-cutting rules (accept these aliases,</w:t>
      </w:r>
      <w:r>
        <w:t xml:space="preserve"> </w:t>
      </w:r>
      <w:r>
        <w:t xml:space="preserve">emit these canonical terms, never surface these); the 79</w:t>
      </w:r>
      <w:r>
        <w:t xml:space="preserve"> </w:t>
      </w:r>
      <w:r>
        <w:rPr>
          <w:rStyle w:val="VerbatimChar"/>
        </w:rPr>
        <w:t xml:space="preserve">manual_confirmation.txt</w:t>
      </w:r>
      <w:r>
        <w:t xml:space="preserve"> </w:t>
      </w:r>
      <w:r>
        <w:t xml:space="preserve">templates get</w:t>
      </w:r>
      <w:r>
        <w:t xml:space="preserve"> </w:t>
      </w:r>
      <w:r>
        <w:t xml:space="preserve">a direct pass, since they are hand-authored in this repo and reach every user regardless of</w:t>
      </w:r>
      <w:r>
        <w:t xml:space="preserve"> </w:t>
      </w:r>
      <w:r>
        <w:t xml:space="preserve">toolset.</w:t>
      </w:r>
    </w:p>
    <w:p>
      <w:pPr>
        <w:pStyle w:val="FirstParagraph"/>
      </w:pPr>
      <w:r>
        <w:rPr>
          <w:b/>
          <w:bCs/>
        </w:rPr>
        <w:t xml:space="preserve">Current exposure in this repo</w:t>
      </w:r>
      <w:r>
        <w:t xml:space="preserve">, as a sizing input for the MCP-side epic: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timeflow</w:t>
            </w:r>
          </w:p>
        </w:tc>
        <w:tc>
          <w:tcPr/>
          <w:p>
            <w:pPr>
              <w:pStyle w:val="Compact"/>
            </w:pPr>
            <w:r>
              <w:t xml:space="preserve">dSource</w:t>
            </w:r>
          </w:p>
        </w:tc>
        <w:tc>
          <w:tcPr/>
          <w:p>
            <w:pPr>
              <w:pStyle w:val="Compact"/>
            </w:pPr>
            <w:r>
              <w:t xml:space="preserve">VDB</w:t>
            </w:r>
          </w:p>
        </w:tc>
        <w:tc>
          <w:tcPr/>
          <w:p>
            <w:pPr>
              <w:pStyle w:val="Compact"/>
            </w:pPr>
            <w:r>
              <w:t xml:space="preserve">AppData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config/toolsets/*.txt</w:t>
            </w:r>
            <w:r>
              <w:t xml:space="preserve"> </w:t>
            </w:r>
            <w:r>
              <w:t xml:space="preserve">(5 files, legacy)</w:t>
            </w:r>
          </w:p>
        </w:tc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tools/*.py</w:t>
            </w:r>
            <w:r>
              <w:t xml:space="preserve"> </w:t>
            </w:r>
            <w:r>
              <w:t xml:space="preserve">(pre-built fallback)</w:t>
            </w:r>
          </w:p>
        </w:tc>
        <w:tc>
          <w:tcPr/>
          <w:p>
            <w:pPr>
              <w:pStyle w:val="Compact"/>
            </w:pPr>
            <w:r>
              <w:t xml:space="preserve">281</w:t>
            </w:r>
          </w:p>
        </w:tc>
        <w:tc>
          <w:tcPr/>
          <w:p>
            <w:pPr>
              <w:pStyle w:val="Compact"/>
            </w:pPr>
            <w:r>
              <w:t xml:space="preserve">959</w:t>
            </w:r>
          </w:p>
        </w:tc>
        <w:tc>
          <w:tcPr/>
          <w:p>
            <w:pPr>
              <w:pStyle w:val="Compact"/>
            </w:pPr>
            <w:r>
              <w:t xml:space="preserve">1,759</w:t>
            </w:r>
          </w:p>
        </w:tc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manual_confirmation.txt</w:t>
            </w:r>
            <w:r>
              <w:t xml:space="preserve"> </w:t>
            </w:r>
            <w:r>
              <w:t xml:space="preserve">(79 rules, reaches everyone)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The first two rows are opt-in legacy surfaces under dynamic mode; the third is not, which is why</w:t>
      </w:r>
      <w:r>
        <w:t xml:space="preserve"> </w:t>
      </w:r>
      <w:r>
        <w:t xml:space="preserve">Lever 4 stays in scope at full weight even as Levers 1–2 shrink.</w:t>
      </w:r>
    </w:p>
    <w:p>
      <w:r>
        <w:pict>
          <v:rect style="width:0;height:1.5pt" o:hralign="center" o:hrstd="t" o:hr="t"/>
        </w:pict>
      </w:r>
    </w:p>
    <w:bookmarkEnd w:id="17"/>
    <w:bookmarkStart w:id="18" w:name="Xb07083554c77355ca5952ba4065aeccadcefeee"/>
    <w:p>
      <w:pPr>
        <w:pStyle w:val="Heading2"/>
      </w:pPr>
      <w:r>
        <w:t xml:space="preserve">Why the original PPM-1129 lever split needs rescoping</w:t>
      </w:r>
    </w:p>
    <w:p>
      <w:pPr>
        <w:pStyle w:val="FirstParagraph"/>
      </w:pPr>
      <w:r>
        <w:t xml:space="preserve">PPM-1129 was written on 2026-04-17, before PPM-1174 (2-tool revision) landed. Its four levers</w:t>
      </w:r>
      <w:r>
        <w:t xml:space="preserve"> </w:t>
      </w:r>
      <w:r>
        <w:t xml:space="preserve">assume the curated per-domain toolsets are the primary surface. They no longer are.</w:t>
      </w:r>
    </w:p>
    <w:p>
      <w:pPr>
        <w:pStyle w:val="BodyText"/>
      </w:pPr>
      <w:r>
        <w:rPr>
          <w:rStyle w:val="VerbatimChar"/>
        </w:rPr>
        <w:t xml:space="preserve">DCT_TOOLSET</w:t>
      </w:r>
      <w:r>
        <w:t xml:space="preserve"> </w:t>
      </w:r>
      <w:r>
        <w:t xml:space="preserve">now defaults to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config/config.py:28</w:t>
      </w:r>
      <w:r>
        <w:t xml:space="preserve">). In dynamic mode the server</w:t>
      </w:r>
      <w:r>
        <w:t xml:space="preserve"> </w:t>
      </w:r>
      <w:r>
        <w:t xml:space="preserve">registers exactly two tools —</w:t>
      </w:r>
      <w:r>
        <w:t xml:space="preserve"> </w:t>
      </w:r>
      <w:r>
        <w:rPr>
          <w:rStyle w:val="VerbatimChar"/>
        </w:rPr>
        <w:t xml:space="preserve">discovery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— and downloads the spec live from the</w:t>
      </w:r>
      <w:r>
        <w:t xml:space="preserve"> </w:t>
      </w:r>
      <w:r>
        <w:t xml:space="preserve">customer’s own DCT instance at</w:t>
      </w:r>
      <w:r>
        <w:t xml:space="preserve"> </w:t>
      </w:r>
      <w:r>
        <w:rPr>
          <w:rStyle w:val="VerbatimChar"/>
        </w:rPr>
        <w:t xml:space="preserve">{DCT_BASE_URL}/dct/static/api-external.yaml</w:t>
      </w:r>
      <w:r>
        <w:t xml:space="preserve">, with</w:t>
      </w:r>
      <w:r>
        <w:t xml:space="preserve"> </w:t>
      </w:r>
      <w:r>
        <w:rPr>
          <w:b/>
          <w:bCs/>
        </w:rPr>
        <w:t xml:space="preserve">no bundled</w:t>
      </w:r>
      <w:r>
        <w:rPr>
          <w:b/>
          <w:bCs/>
        </w:rP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tools/core/spec_cache.py</w:t>
      </w:r>
      <w:r>
        <w:t xml:space="preserve">). Everything the model sees about the API therefore comes</w:t>
      </w:r>
      <w:r>
        <w:t xml:space="preserve"> </w:t>
      </w:r>
      <w:r>
        <w:t xml:space="preserve">from that spec.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810"/>
        <w:gridCol w:w="46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As written</w:t>
            </w:r>
          </w:p>
        </w:tc>
        <w:tc>
          <w:tcPr/>
          <w:p>
            <w:pPr>
              <w:pStyle w:val="Compact"/>
            </w:pPr>
            <w:r>
              <w:t xml:space="preserve">Assessment against current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Tool/action renames across 5 toolsets (~1.5 wk)</w:t>
            </w:r>
          </w:p>
        </w:tc>
        <w:tc>
          <w:tcPr/>
          <w:p>
            <w:pPr>
              <w:pStyle w:val="Compact"/>
            </w:pPr>
            <w:r>
              <w:t xml:space="preserve">Rename actions containing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Largely inert.</w:t>
            </w:r>
            <w:r>
              <w:t xml:space="preserve"> </w:t>
            </w:r>
            <w:r>
              <w:t xml:space="preserve">Dynamic mode has no action names to rename. The five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toolsets do carry the terminology (183</w:t>
            </w:r>
            <w:r>
              <w:t xml:space="preserve"> </w:t>
            </w:r>
            <w:r>
              <w:rPr>
                <w:rStyle w:val="VerbatimChar"/>
              </w:rPr>
              <w:t xml:space="preserve">dsource</w:t>
            </w:r>
            <w:r>
              <w:t xml:space="preserve">, 377</w:t>
            </w:r>
            <w:r>
              <w:t xml:space="preserve"> </w:t>
            </w:r>
            <w:r>
              <w:rPr>
                <w:rStyle w:val="VerbatimChar"/>
              </w:rPr>
              <w:t xml:space="preserve">vdb</w:t>
            </w:r>
            <w:r>
              <w:t xml:space="preserve">, 73</w:t>
            </w:r>
            <w:r>
              <w:t xml:space="preserve"> </w:t>
            </w:r>
            <w:r>
              <w:rPr>
                <w:rStyle w:val="VerbatimChar"/>
              </w:rPr>
              <w:t xml:space="preserve">timeflow</w:t>
            </w:r>
            <w:r>
              <w:t xml:space="preserve">, 14</w:t>
            </w:r>
            <w:r>
              <w:t xml:space="preserve"> </w:t>
            </w:r>
            <w:r>
              <w:rPr>
                <w:rStyle w:val="VerbatimChar"/>
              </w:rPr>
              <w:t xml:space="preserve">appdata</w:t>
            </w:r>
            <w:r>
              <w:t xml:space="preserve"> </w:t>
            </w:r>
            <w:r>
              <w:t xml:space="preserve">hits) but are opt-in legacy.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Docstrings and descriptions (~1 wk)</w:t>
            </w:r>
          </w:p>
        </w:tc>
        <w:tc>
          <w:tcPr/>
          <w:p>
            <w:pPr>
              <w:pStyle w:val="Compact"/>
            </w:pPr>
            <w:r>
              <w:t xml:space="preserve">Rewrite every tool- and action-level 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Shrinks to two docstrings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discovery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execute</w:t>
            </w:r>
            <w:r>
              <w:t xml:space="preserve">) plus the spec — which this repo does not own. This is the lever that becomes the spec 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Server instructions (~3 d)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  <w:r>
              <w:t xml:space="preserve"> </w:t>
            </w:r>
            <w:r>
              <w:rPr>
                <w:rStyle w:val="VerbatimChar"/>
              </w:rPr>
              <w:t xml:space="preserve">server_instructions.txt</w:t>
            </w:r>
            <w:r>
              <w:t xml:space="preserve"> </w:t>
            </w:r>
            <w:r>
              <w:t xml:space="preserve">loaded at FastMCP init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 leverage, cheapest.</w:t>
            </w:r>
            <w:r>
              <w:t xml:space="preserve"> </w:t>
            </w:r>
            <w:r>
              <w:rPr>
                <w:i/>
                <w:iCs/>
              </w:rPr>
              <w:t xml:space="preserve">(At time of writing 0% done; now done — see status below.)</w:t>
            </w:r>
            <w:r>
              <w:t xml:space="preserve"> </w:t>
            </w:r>
            <w:r>
              <w:rPr>
                <w:rStyle w:val="VerbatimChar"/>
              </w:rPr>
              <w:t xml:space="preserve">main.py:69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FastMCP(name=..., lifespan=...)</w:t>
            </w:r>
            <w:r>
              <w:t xml:space="preserve"> </w:t>
            </w:r>
            <w:r>
              <w:t xml:space="preserve">with no</w:t>
            </w:r>
            <w:r>
              <w:t xml:space="preserve"> </w:t>
            </w:r>
            <w:r>
              <w:rPr>
                <w:rStyle w:val="VerbatimChar"/>
              </w:rPr>
              <w:t xml:space="preserve">instructions=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fastmcp&gt;=2.13.2</w:t>
            </w:r>
            <w:r>
              <w:t xml:space="preserve"> </w:t>
            </w:r>
            <w:r>
              <w:t xml:space="preserve">is already pinned and supports it —</w:t>
            </w:r>
            <w: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“FastMCP version bump may be a prerequisite”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open question is resolved: no bump needed.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Errors and confirmation prompts (~2 d)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  <w:r>
              <w:t xml:space="preserve"> </w:t>
            </w:r>
            <w:r>
              <w:rPr>
                <w:rStyle w:val="VerbatimChar"/>
              </w:rPr>
              <w:t xml:space="preserve">manual_confirmation.txt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and correctly sized.</w:t>
            </w:r>
            <w:r>
              <w:t xml:space="preserve"> </w:t>
            </w:r>
            <w:r>
              <w:t xml:space="preserve">79 hand-authored rules in this repo reaching every user regardless of toolset; message templates contain 87</w:t>
            </w:r>
            <w:r>
              <w:t xml:space="preserve"> </w:t>
            </w:r>
            <w:r>
              <w:rPr>
                <w:rStyle w:val="VerbatimChar"/>
              </w:rPr>
              <w:t xml:space="preserve">VDB</w:t>
            </w:r>
            <w:r>
              <w:t xml:space="preserve">, 31</w:t>
            </w:r>
            <w:r>
              <w:t xml:space="preserve"> </w:t>
            </w:r>
            <w:r>
              <w:rPr>
                <w:rStyle w:val="VerbatimChar"/>
              </w:rPr>
              <w:t xml:space="preserve">dSource</w:t>
            </w:r>
            <w:r>
              <w:t xml:space="preserve">, 12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, 9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  <w:r>
              <w:t xml:space="preserve">, 6</w:t>
            </w:r>
            <w:r>
              <w:t xml:space="preserve"> </w:t>
            </w:r>
            <w:r>
              <w:rPr>
                <w:rStyle w:val="VerbatimChar"/>
              </w:rPr>
              <w:t xml:space="preserve">timeflow</w:t>
            </w:r>
            <w:r>
              <w:t xml:space="preserve"> </w:t>
            </w:r>
            <w:r>
              <w:t xml:space="preserve">occurrences.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(current).</w:t>
      </w:r>
      <w:r>
        <w:t xml:space="preserve"> </w:t>
      </w:r>
      <w:r>
        <w:t xml:space="preserve">Lever 3 is done:</w:t>
      </w:r>
      <w:r>
        <w:t xml:space="preserve"> </w:t>
      </w:r>
      <w:r>
        <w:rPr>
          <w:rStyle w:val="VerbatimChar"/>
        </w:rPr>
        <w:t xml:space="preserve">config/server_instructions.md</w:t>
      </w:r>
      <w:r>
        <w:t xml:space="preserve"> </w:t>
      </w:r>
      <w:r>
        <w:t xml:space="preserve">is loaded by</w:t>
      </w:r>
      <w:r>
        <w:t xml:space="preserve"> </w:t>
      </w:r>
      <w:r>
        <w:rPr>
          <w:rStyle w:val="VerbatimChar"/>
        </w:rPr>
        <w:t xml:space="preserve">load_server_instructions()</w:t>
      </w:r>
      <w:r>
        <w:t xml:space="preserve"> </w:t>
      </w:r>
      <w:r>
        <w:t xml:space="preserve">and passed as</w:t>
      </w:r>
      <w:r>
        <w:t xml:space="preserve"> </w:t>
      </w:r>
      <w:r>
        <w:rPr>
          <w:rStyle w:val="VerbatimChar"/>
        </w:rPr>
        <w:t xml:space="preserve">instructions=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FastMCP(...)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  <w:r>
        <w:t xml:space="preserve"> </w:t>
      </w:r>
      <w:r>
        <w:t xml:space="preserve">Levers 1, 2 and 4 have also been applied in this repo for the toolsets and pre-built tools:</w:t>
      </w:r>
      <w:r>
        <w:t xml:space="preserve"> </w:t>
      </w:r>
      <w:r>
        <w:t xml:space="preserve">tool/action renames (</w:t>
      </w:r>
      <w:r>
        <w:rPr>
          <w:rStyle w:val="VerbatimChar"/>
        </w:rPr>
        <w:t xml:space="preserve">timeline_tool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connector_schema_tool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vdb_template_tool</w:t>
      </w:r>
      <w:r>
        <w:t xml:space="preserve">, …),</w:t>
      </w:r>
      <w:r>
        <w:t xml:space="preserve"> </w:t>
      </w:r>
      <w:r>
        <w:t xml:space="preserve">canonical pre-built docstrings with per-tool customer-alias lines, canonical confirmation</w:t>
      </w:r>
      <w:r>
        <w:t xml:space="preserve"> </w:t>
      </w:r>
      <w:r>
        <w:t xml:space="preserve">templates with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 </w:t>
      </w:r>
      <w:r>
        <w:t xml:space="preserve">placeholders rendered in every toolset, and</w:t>
      </w:r>
      <w:r>
        <w:t xml:space="preserve"> </w:t>
      </w:r>
      <w:r>
        <w:rPr>
          <w:rStyle w:val="VerbatimChar"/>
        </w:rPr>
        <w:t xml:space="preserve">to_canonical()</w:t>
      </w:r>
      <w:r>
        <w:t xml:space="preserve"> </w:t>
      </w:r>
      <w:r>
        <w:t xml:space="preserve">applied to</w:t>
      </w:r>
      <w:r>
        <w:t xml:space="preserve"> </w:t>
      </w:r>
      <w:r>
        <w:t xml:space="preserve">raw error bodies and to OpenAPI summaries shown by</w:t>
      </w:r>
      <w:r>
        <w:t xml:space="preserve"> </w:t>
      </w:r>
      <w:r>
        <w:rPr>
          <w:rStyle w:val="VerbatimChar"/>
        </w:rPr>
        <w:t xml:space="preserve">discovery</w:t>
      </w:r>
      <w:r>
        <w:t xml:space="preserve">. The spec-side work (DCT epic)</w:t>
      </w:r>
      <w:r>
        <w:t xml:space="preserve"> </w:t>
      </w:r>
      <w:r>
        <w:t xml:space="preserve">is unchanged by this.</w:t>
      </w:r>
    </w:p>
    <w:p>
      <w:pPr>
        <w:pStyle w:val="BodyText"/>
      </w:pPr>
      <w:r>
        <w:t xml:space="preserve">The net effect: the original</w:t>
      </w:r>
      <w:r>
        <w:t xml:space="preserve"> </w:t>
      </w:r>
      <w:r>
        <w:t xml:space="preserve">“~3 weeks, mostly editorial, in the MCP repo”</w:t>
      </w:r>
      <w:r>
        <w:t xml:space="preserve"> </w:t>
      </w:r>
      <w:r>
        <w:t xml:space="preserve">estimate is inverted.</w:t>
      </w:r>
      <w:r>
        <w:t xml:space="preserve"> </w:t>
      </w:r>
      <w:r>
        <w:t xml:space="preserve">Most of the user-visible benefit sits in Levers 3–4 (~1 week, no cross-team dependency), and the</w:t>
      </w:r>
      <w:r>
        <w:t xml:space="preserve"> </w:t>
      </w:r>
      <w:r>
        <w:t xml:space="preserve">dominant vocabulary surface is the spec — owned by another team and carrying real build risk.</w:t>
      </w:r>
    </w:p>
    <w:p>
      <w:r>
        <w:pict>
          <v:rect style="width:0;height:1.5pt" o:hralign="center" o:hrstd="t" o:hr="t"/>
        </w:pict>
      </w:r>
    </w:p>
    <w:bookmarkEnd w:id="18"/>
    <w:bookmarkStart w:id="19" w:name="X726f534f6bc9cbe70af6a6fbe4b873452a196f8"/>
    <w:p>
      <w:pPr>
        <w:pStyle w:val="Heading2"/>
      </w:pPr>
      <w:r>
        <w:t xml:space="preserve">Known blockers, inherited from DLPXECO-14529</w:t>
      </w:r>
    </w:p>
    <w:p>
      <w:pPr>
        <w:pStyle w:val="FirstParagraph"/>
      </w:pPr>
      <w:r>
        <w:t xml:space="preserve">These belong to the DCT-side epic and must be visible at ARB.</w:t>
      </w:r>
    </w:p>
    <w:p>
      <w:pPr>
        <w:pStyle w:val="BodyText"/>
      </w:pPr>
      <w:r>
        <w:rPr>
          <w:b/>
          <w:bCs/>
        </w:rPr>
        <w:t xml:space="preserve">A hard 3 MB build ceiling.</w:t>
      </w:r>
      <w:r>
        <w:t xml:space="preserve"> </w:t>
      </w:r>
      <w:r>
        <w:rPr>
          <w:rStyle w:val="VerbatimChar"/>
        </w:rPr>
        <w:t xml:space="preserve">app/build/api-codeGen.yaml</w:t>
      </w:r>
      <w:r>
        <w:t xml:space="preserve"> </w:t>
      </w:r>
      <w:r>
        <w:t xml:space="preserve">must stay under SnakeYAML’s</w:t>
      </w:r>
      <w:r>
        <w:t xml:space="preserve"> </w:t>
      </w:r>
      <w:r>
        <w:t xml:space="preserve">3,145,728 code-point limit or</w:t>
      </w:r>
      <w:r>
        <w:t xml:space="preserve"> </w:t>
      </w:r>
      <w:r>
        <w:rPr>
          <w:rStyle w:val="VerbatimChar"/>
        </w:rPr>
        <w:t xml:space="preserve">validateSwaggerApi_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openApiGenerate_</w:t>
      </w:r>
      <w:r>
        <w:t xml:space="preserve"> </w:t>
      </w:r>
      <w:r>
        <w:t xml:space="preserve">fail. It was already at</w:t>
      </w:r>
      <w:r>
        <w:t xml:space="preserve"> </w:t>
      </w:r>
      <w:r>
        <w:t xml:space="preserve">~81% before any enrichment; the prototype lands at ~0.5% headroom. Verified by bytecode inspection</w:t>
      </w:r>
      <w:r>
        <w:t xml:space="preserve"> </w:t>
      </w:r>
      <w:r>
        <w:t xml:space="preserve">that the limit is SnakeYAML’s own</w:t>
      </w:r>
      <w:r>
        <w:t xml:space="preserve"> </w:t>
      </w:r>
      <w:r>
        <w:rPr>
          <w:rStyle w:val="VerbatimChar"/>
        </w:rPr>
        <w:t xml:space="preserve">LoaderOptions</w:t>
      </w:r>
      <w:r>
        <w:t xml:space="preserve"> </w:t>
      </w:r>
      <w:r>
        <w:t xml:space="preserve">default, identical in 1.33 and 2.5, and that</w:t>
      </w:r>
      <w:r>
        <w:t xml:space="preserve"> </w:t>
      </w:r>
      <w:r>
        <w:t xml:space="preserve">neither</w:t>
      </w:r>
      <w:r>
        <w:t xml:space="preserve"> </w:t>
      </w:r>
      <w:r>
        <w:rPr>
          <w:rStyle w:val="VerbatimChar"/>
        </w:rPr>
        <w:t xml:space="preserve">jackson-dataformat-yaml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swagger-core</w:t>
      </w:r>
      <w:r>
        <w:t xml:space="preserve"> </w:t>
      </w:r>
      <w:r>
        <w:t xml:space="preserve">ever calls</w:t>
      </w:r>
      <w:r>
        <w:t xml:space="preserve"> </w:t>
      </w:r>
      <w:r>
        <w:rPr>
          <w:rStyle w:val="VerbatimChar"/>
        </w:rPr>
        <w:t xml:space="preserve">setCodePointLimit</w:t>
      </w:r>
      <w:r>
        <w:t xml:space="preserve">. It is only</w:t>
      </w:r>
      <w:r>
        <w:t xml:space="preserve"> </w:t>
      </w:r>
      <w:r>
        <w:t xml:space="preserve">configurable from swagger-parser-v3 ≥ 2.1.43, absent from the 2.1.2 pinned by openapi-generator</w:t>
      </w:r>
      <w:r>
        <w:t xml:space="preserve"> </w:t>
      </w:r>
      <w:r>
        <w:t xml:space="preserve">6.3.0.</w:t>
      </w:r>
      <w:r>
        <w:t xml:space="preserve"> </w:t>
      </w:r>
      <w:r>
        <w:rPr>
          <w:b/>
          <w:bCs/>
        </w:rPr>
        <w:t xml:space="preserve">Bumping openapi-generator alone does nothing</w:t>
      </w:r>
      <w:r>
        <w:t xml:space="preserve"> </w:t>
      </w:r>
      <w:r>
        <w:t xml:space="preserve">— it needs the bump plus a</w:t>
      </w:r>
      <w:r>
        <w:t xml:space="preserve"> </w:t>
      </w:r>
      <w:r>
        <w:rPr>
          <w:rStyle w:val="VerbatimChar"/>
        </w:rPr>
        <w:t xml:space="preserve">maxYamlCodePoints</w:t>
      </w:r>
      <w:r>
        <w:t xml:space="preserve"> </w:t>
      </w:r>
      <w:r>
        <w:t xml:space="preserve">system property, or descriptions stripped from the codegen input only.</w:t>
      </w:r>
    </w:p>
    <w:p>
      <w:pPr>
        <w:pStyle w:val="BodyText"/>
      </w:pPr>
      <w:r>
        <w:rPr>
          <w:b/>
          <w:bCs/>
        </w:rPr>
        <w:t xml:space="preserve">A breaking-change trap for description work.</w:t>
      </w:r>
      <w:r>
        <w:t xml:space="preserve"> </w:t>
      </w:r>
      <w:r>
        <w:rPr>
          <w:rStyle w:val="VerbatimChar"/>
        </w:rPr>
        <w:t xml:space="preserve">UpdateComplianceJobRequest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pre_script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post_script</w:t>
      </w:r>
      <w:r>
        <w:t xml:space="preserve"> </w:t>
      </w:r>
      <w:r>
        <w:t xml:space="preserve">as two byte-identical inline schemas sharing</w:t>
      </w:r>
      <w:r>
        <w:t xml:space="preserve"> </w:t>
      </w:r>
      <w:r>
        <w:rPr>
          <w:rStyle w:val="VerbatimChar"/>
        </w:rPr>
        <w:t xml:space="preserve">title: UpdateComplianceJobScript</w:t>
      </w:r>
      <w:r>
        <w:t xml:space="preserve">,</w:t>
      </w:r>
      <w:r>
        <w:t xml:space="preserve"> </w:t>
      </w:r>
      <w:r>
        <w:t xml:space="preserve">which openapi-generator deduplicates into one model class. Giving them different descriptions</w:t>
      </w:r>
      <w:r>
        <w:t xml:space="preserve"> </w:t>
      </w:r>
      <w:r>
        <w:t xml:space="preserve">splits it into</w:t>
      </w:r>
      <w:r>
        <w:t xml:space="preserve"> </w:t>
      </w:r>
      <w:r>
        <w:rPr>
          <w:rStyle w:val="VerbatimChar"/>
        </w:rPr>
        <w:t xml:space="preserve">UpdateComplianceJobScript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UpdateComplianceJobScript1</w:t>
      </w:r>
      <w:r>
        <w:t xml:space="preserve"> </w:t>
      </w:r>
      <w:r>
        <w:t xml:space="preserve">and changes the type of</w:t>
      </w:r>
      <w:r>
        <w:t xml:space="preserve"> </w:t>
      </w:r>
      <w:r>
        <w:rPr>
          <w:rStyle w:val="VerbatimChar"/>
        </w:rPr>
        <w:t xml:space="preserve">postScript</w:t>
      </w:r>
      <w:r>
        <w:t xml:space="preserve"> </w:t>
      </w:r>
      <w:r>
        <w:t xml:space="preserve">— breaking for every published client library. Caught by generating Java before and</w:t>
      </w:r>
      <w:r>
        <w:t xml:space="preserve"> </w:t>
      </w:r>
      <w:r>
        <w:t xml:space="preserve">after and diffing all 1,534 files; fixed by giving both identical text. It is the only such case</w:t>
      </w:r>
      <w:r>
        <w:t xml:space="preserve"> </w:t>
      </w:r>
      <w:r>
        <w:t xml:space="preserve">across the five source specs today, but the pattern will recur.</w:t>
      </w:r>
    </w:p>
    <w:p>
      <w:r>
        <w:pict>
          <v:rect style="width:0;height:1.5pt" o:hralign="center" o:hrstd="t" o:hr="t"/>
        </w:pict>
      </w:r>
    </w:p>
    <w:bookmarkEnd w:id="19"/>
    <w:bookmarkStart w:id="20" w:name="proposed-shape"/>
    <w:p>
      <w:pPr>
        <w:pStyle w:val="Heading2"/>
      </w:pPr>
      <w:r>
        <w:t xml:space="preserve">Proposed shape</w:t>
      </w:r>
    </w:p>
    <w:p>
      <w:pPr>
        <w:pStyle w:val="FirstParagraph"/>
      </w:pPr>
      <w:r>
        <w:rPr>
          <w:b/>
          <w:bCs/>
        </w:rPr>
        <w:t xml:space="preserve">One PPM.</w:t>
      </w:r>
      <w:r>
        <w:t xml:space="preserve"> </w:t>
      </w:r>
      <w:r>
        <w:t xml:space="preserve">Retitle PPM-1129 to</w:t>
      </w:r>
      <w:r>
        <w:t xml:space="preserve"> </w:t>
      </w:r>
      <w:r>
        <w:rPr>
          <w:i/>
          <w:iCs/>
        </w:rPr>
        <w:t xml:space="preserve">“AI Assistant (GA) — Agent-Ready API Surface: Vocabulary &amp;</w:t>
      </w:r>
      <w:r>
        <w:rPr>
          <w:i/>
          <w:iCs/>
        </w:rPr>
        <w:t xml:space="preserve"> </w:t>
      </w:r>
      <w:r>
        <w:rPr>
          <w:i/>
          <w:iCs/>
        </w:rPr>
        <w:t xml:space="preserve">Domain Model”</w:t>
      </w:r>
      <w:r>
        <w:t xml:space="preserve">. Fold row 6’s intent into it and update the GA page so rows 5 and 6 both reference</w:t>
      </w:r>
      <w:r>
        <w:t xml:space="preserve"> </w:t>
      </w:r>
      <w:r>
        <w:t xml:space="preserve">it. One ARB, one CTC, one set of Design reviewers.</w:t>
      </w:r>
    </w:p>
    <w:p>
      <w:pPr>
        <w:pStyle w:val="BodyText"/>
      </w:pPr>
      <w:r>
        <w:rPr>
          <w:b/>
          <w:bCs/>
        </w:rPr>
        <w:t xml:space="preserve">Two delivery epics</w:t>
      </w:r>
      <w:r>
        <w:t xml:space="preserve">, because the risk profiles differ sharply: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3232"/>
        <w:gridCol w:w="2101"/>
        <w:gridCol w:w="9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Rough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MCP-side (</w:t>
            </w:r>
            <w:r>
              <w:rPr>
                <w:rStyle w:val="VerbatimChar"/>
              </w:rPr>
              <w:t xml:space="preserve">dxi-mcp-server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server_instructions</w:t>
            </w:r>
            <w:r>
              <w:t xml:space="preserve"> </w:t>
            </w:r>
            <w:r>
              <w:t xml:space="preserve">wired into</w:t>
            </w:r>
            <w:r>
              <w:t xml:space="preserve"> </w:t>
            </w:r>
            <w:r>
              <w:rPr>
                <w:rStyle w:val="VerbatimChar"/>
              </w:rPr>
              <w:t xml:space="preserve">FastMCP(...)</w:t>
            </w:r>
            <w:r>
              <w:t xml:space="preserve">; vocabulary pass over the 79</w:t>
            </w:r>
            <w:r>
              <w:t xml:space="preserve"> </w:t>
            </w:r>
            <w:r>
              <w:rPr>
                <w:rStyle w:val="VerbatimChar"/>
              </w:rPr>
              <w:t xml:space="preserve">manual_confirmation.txt</w:t>
            </w:r>
            <w:r>
              <w:t xml:space="preserve"> </w:t>
            </w:r>
            <w:r>
              <w:t xml:space="preserve">templates; error-message translation layer; BYO AI provider startup notice (PPM-1077)</w:t>
            </w:r>
          </w:p>
        </w:tc>
        <w:tc>
          <w:tcPr/>
          <w:p>
            <w:pPr>
              <w:pStyle w:val="Compact"/>
            </w:pPr>
            <w:r>
              <w:t xml:space="preserve">None known. No cross-team dependency, no version bump.</w:t>
            </w:r>
          </w:p>
        </w:tc>
        <w:tc>
          <w:tcPr/>
          <w:p>
            <w:pPr>
              <w:pStyle w:val="Compact"/>
            </w:pPr>
            <w:r>
              <w:t xml:space="preserve">~1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DCT-side (</w:t>
            </w:r>
            <w:r>
              <w:rPr>
                <w:rStyle w:val="VerbatimChar"/>
              </w:rPr>
              <w:t xml:space="preserve">apigw-services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DLPXECO-14529 un-deferred: description coverage to 100%, synonyms into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filter_expression</w:t>
            </w:r>
            <w:r>
              <w:t xml:space="preserve"> </w:t>
            </w:r>
            <w:r>
              <w:t xml:space="preserve">grammar, per-endpoint filterable fields, agent-affordance annotations</w:t>
            </w:r>
          </w:p>
        </w:tc>
        <w:tc>
          <w:tcPr/>
          <w:p>
            <w:pPr>
              <w:pStyle w:val="Compact"/>
            </w:pPr>
            <w:r>
              <w:t xml:space="preserve">SnakeYAML ceiling; codegen model-split trap; needs DCT team capacity</w:t>
            </w:r>
          </w:p>
        </w:tc>
        <w:tc>
          <w:tcPr/>
          <w:p>
            <w:pPr>
              <w:pStyle w:val="Compact"/>
            </w:pPr>
            <w:r>
              <w:t xml:space="preserve">Prototyped; needs re-estimation after the ceiling decision</w:t>
            </w:r>
          </w:p>
        </w:tc>
      </w:tr>
    </w:tbl>
    <w:p>
      <w:pPr>
        <w:pStyle w:val="BodyText"/>
      </w:pPr>
      <w:r>
        <w:t xml:space="preserve">Splitting this way means a build-toolchain problem gates only its own epic, not the November date</w:t>
      </w:r>
      <w:r>
        <w:t xml:space="preserve"> </w:t>
      </w:r>
      <w:r>
        <w:t xml:space="preserve">for both.</w:t>
      </w:r>
    </w:p>
    <w:p>
      <w:r>
        <w:pict>
          <v:rect style="width:0;height:1.5pt" o:hralign="center" o:hrstd="t" o:hr="t"/>
        </w:pict>
      </w:r>
    </w:p>
    <w:bookmarkEnd w:id="20"/>
    <w:bookmarkStart w:id="21" w:name="sequencing"/>
    <w:p>
      <w:pPr>
        <w:pStyle w:val="Heading2"/>
      </w:pPr>
      <w:r>
        <w:t xml:space="preserve">Sequencing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Now, unblocked:</w:t>
      </w:r>
      <w:r>
        <w:t xml:space="preserve"> </w:t>
      </w:r>
      <w:r>
        <w:t xml:space="preserve">MCP-side epic. Nothing outside this repo is required.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needed early:</w:t>
      </w:r>
      <w:r>
        <w:t xml:space="preserve"> </w:t>
      </w:r>
      <w:r>
        <w:t xml:space="preserve">how to clear the 3 MB ceiling — lift it deliberately (generator bump</w:t>
      </w:r>
      <w:r>
        <w:t xml:space="preserve"> </w:t>
      </w:r>
      <w:r>
        <w:t xml:space="preserve">plus system property) or strip descriptions from the codegen input. This determines whether the</w:t>
      </w:r>
      <w:r>
        <w:t xml:space="preserve"> </w:t>
      </w:r>
      <w:r>
        <w:t xml:space="preserve">DCT-side epic fits the November release at 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input needed before the spec pass is finalised:</w:t>
      </w:r>
      <w:r>
        <w:t xml:space="preserve"> </w:t>
      </w:r>
      <w:r>
        <w:t xml:space="preserve">connector vs. connection/subconnection</w:t>
      </w:r>
      <w:r>
        <w:t xml:space="preserve"> </w:t>
      </w:r>
      <w:r>
        <w:t xml:space="preserve">timing, glossary hosting. (dSource deprecation direction is resolved — see below.) Reviewers</w:t>
      </w:r>
      <w:r>
        <w:t xml:space="preserve"> </w:t>
      </w:r>
      <w:r>
        <w:t xml:space="preserve">named in PPM-1129 are Jake Smith and Brian Deverter.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Downstream:</w:t>
      </w:r>
      <w:r>
        <w:t xml:space="preserve"> </w:t>
      </w:r>
      <w:r>
        <w:t xml:space="preserve">PPM-1174 Phase 2 (semantic search tool) depends on this landing. The fuzzy</w:t>
      </w:r>
      <w:r>
        <w:t xml:space="preserve"> </w:t>
      </w:r>
      <w:r>
        <w:t xml:space="preserve">ranker that would back it already exists at</w:t>
      </w:r>
      <w:r>
        <w:t xml:space="preserve"> </w:t>
      </w:r>
      <w:r>
        <w:rPr>
          <w:rStyle w:val="VerbatimChar"/>
        </w:rPr>
        <w:t xml:space="preserve">tools/core/endpoint_discovery.py</w:t>
      </w:r>
      <w:r>
        <w:t xml:space="preserve"> </w:t>
      </w:r>
      <w:r>
        <w:t xml:space="preserve">but is dormant —</w:t>
      </w:r>
      <w:r>
        <w:t xml:space="preserve"> </w:t>
      </w:r>
      <w:r>
        <w:t xml:space="preserve">imported only by</w:t>
      </w:r>
      <w:r>
        <w:t xml:space="preserve"> </w:t>
      </w:r>
      <w:r>
        <w:rPr>
          <w:rStyle w:val="VerbatimChar"/>
        </w:rPr>
        <w:t xml:space="preserve">meta_tools.py</w:t>
      </w:r>
      <w:r>
        <w:t xml:space="preserve">, which is not registered as MCP tools. It ranks on the same</w:t>
      </w:r>
      <w:r>
        <w:t xml:space="preserve"> </w:t>
      </w:r>
      <w:r>
        <w:t xml:space="preserve">thin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/</w:t>
      </w:r>
      <w:r>
        <w:rPr>
          <w:rStyle w:val="VerbatimChar"/>
        </w:rPr>
        <w:t xml:space="preserve">path</w:t>
      </w:r>
      <w:r>
        <w:t xml:space="preserve"> </w:t>
      </w:r>
      <w:r>
        <w:t xml:space="preserve">tokens, which is precisely why it returns noise without this work. The</w:t>
      </w:r>
      <w:r>
        <w:t xml:space="preserve"> </w:t>
      </w:r>
      <w:r>
        <w:t xml:space="preserve">prerequisite claim in PPM-1129 checks out.</w:t>
      </w:r>
    </w:p>
    <w:p>
      <w:r>
        <w:pict>
          <v:rect style="width:0;height:1.5pt" o:hralign="center" o:hrstd="t" o:hr="t"/>
        </w:pict>
      </w:r>
    </w:p>
    <w:bookmarkEnd w:id="21"/>
    <w:bookmarkStart w:id="22" w:name="Xbc1609052ed1295da6be1fbb224510d0366303a"/>
    <w:p>
      <w:pPr>
        <w:pStyle w:val="Heading2"/>
      </w:pPr>
      <w:r>
        <w:t xml:space="preserve">Release note: breaking tool and action renames (Lever 1)</w:t>
      </w:r>
    </w:p>
    <w:p>
      <w:pPr>
        <w:pStyle w:val="FirstParagraph"/>
      </w:pPr>
      <w:r>
        <w:rPr>
          <w:b/>
          <w:bCs/>
        </w:rPr>
        <w:t xml:space="preserve">Breaking change, no compatibility aliases.</w:t>
      </w:r>
      <w:r>
        <w:t xml:space="preserve"> </w:t>
      </w:r>
      <w:r>
        <w:t xml:space="preserve">Lever 1 renamed every persona-toolset tool and</w:t>
      </w:r>
      <w:r>
        <w:t xml:space="preserve"> </w:t>
      </w:r>
      <w:r>
        <w:t xml:space="preserve">action whose name carried retired terminology. The old names are gone – there are deliberately</w:t>
      </w:r>
      <w:r>
        <w:t xml:space="preserve"> </w:t>
      </w:r>
      <w:r>
        <w:t xml:space="preserve">no aliases, because an alias keeps the retired word in the surface the model reads. Anything</w:t>
      </w:r>
      <w:r>
        <w:t xml:space="preserve"> </w:t>
      </w:r>
      <w:r>
        <w:t xml:space="preserve">that calls these tools by name (scripts, saved prompts, agent configurations, tests against a</w:t>
      </w:r>
      <w:r>
        <w:t xml:space="preserve"> </w:t>
      </w:r>
      <w:r>
        <w:t xml:space="preserve">persona toolset) must be updated before upgrading. The underlying DCT API paths are unchanged,</w:t>
      </w:r>
      <w:r>
        <w:t xml:space="preserve"> </w:t>
      </w:r>
      <w:r>
        <w:t xml:space="preserve">and the default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toolset (</w:t>
      </w:r>
      <w:r>
        <w:rPr>
          <w:rStyle w:val="VerbatimChar"/>
        </w:rPr>
        <w:t xml:space="preserve">discovery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) is not affected.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Old name</w:t>
            </w:r>
          </w:p>
        </w:tc>
        <w:tc>
          <w:tcPr/>
          <w:p>
            <w:pPr>
              <w:pStyle w:val="Compact"/>
            </w:pPr>
            <w:r>
              <w:t xml:space="preserve">New name</w:t>
            </w:r>
          </w:p>
        </w:tc>
        <w:tc>
          <w:tcPr/>
          <w:p>
            <w:pPr>
              <w:pStyle w:val="Compact"/>
            </w:pPr>
            <w:r>
              <w:t xml:space="preserve">Toolsets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timeflow_tool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timeline_tool</w:t>
            </w:r>
          </w:p>
        </w:tc>
        <w:tc>
          <w:tcPr/>
          <w:p>
            <w:pPr>
              <w:pStyle w:val="Compact"/>
            </w:pPr>
            <w:r>
              <w:t xml:space="preserve">continuous_data_admin, self_service, self_service_provision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toolkit_tool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connector_schema_tool</w:t>
            </w:r>
          </w:p>
        </w:tc>
        <w:tc>
          <w:tcPr/>
          <w:p>
            <w:pPr>
              <w:pStyle w:val="Compact"/>
            </w:pPr>
            <w:r>
              <w:t xml:space="preserve">continuous_data_admin, platform_admin, self_service_provision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database_template_tool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vdb_template_tool</w:t>
            </w:r>
          </w:p>
        </w:tc>
        <w:tc>
          <w:tcPr/>
          <w:p>
            <w:pPr>
              <w:pStyle w:val="Compact"/>
            </w:pPr>
            <w:r>
              <w:t xml:space="preserve">continuous_data_admin, reporting_insights, self_service_provision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(</w:t>
            </w:r>
            <w:r>
              <w:rPr>
                <w:rStyle w:val="VerbatimChar"/>
              </w:rPr>
              <w:t xml:space="preserve">connector_schema_tool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upload_toolkit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delete_toolkit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upload_connector_schema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delete_connector_schema</w:t>
            </w:r>
          </w:p>
        </w:tc>
        <w:tc>
          <w:tcPr/>
          <w:p>
            <w:pPr>
              <w:pStyle w:val="Compact"/>
            </w:pPr>
            <w:r>
              <w:t xml:space="preserve">continuous_data_admin, platform_admin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(</w:t>
            </w:r>
            <w:r>
              <w:rPr>
                <w:rStyle w:val="VerbatimChar"/>
              </w:rPr>
              <w:t xml:space="preserve">data_tool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dsource_link_appdata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dsource_link_connector</w:t>
            </w:r>
          </w:p>
        </w:tc>
        <w:tc>
          <w:tcPr/>
          <w:p>
            <w:pPr>
              <w:pStyle w:val="Compact"/>
            </w:pPr>
            <w:r>
              <w:t xml:space="preserve">continuous_data_admin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(</w:t>
            </w:r>
            <w:r>
              <w:rPr>
                <w:rStyle w:val="VerbatimChar"/>
              </w:rPr>
              <w:t xml:space="preserve">data_tool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dsource_link_appdata_defaults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dsource_link_connector_defaults</w:t>
            </w:r>
          </w:p>
        </w:tc>
        <w:tc>
          <w:tcPr/>
          <w:p>
            <w:pPr>
              <w:pStyle w:val="Compact"/>
            </w:pPr>
            <w:r>
              <w:t xml:space="preserve">continuous_data_admin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(</w:t>
            </w:r>
            <w:r>
              <w:rPr>
                <w:rStyle w:val="VerbatimChar"/>
              </w:rPr>
              <w:t xml:space="preserve">data_tool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update_appdata_dsource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update_connector_dsource</w:t>
            </w:r>
          </w:p>
        </w:tc>
        <w:tc>
          <w:tcPr/>
          <w:p>
            <w:pPr>
              <w:pStyle w:val="Compact"/>
            </w:pPr>
            <w:r>
              <w:t xml:space="preserve">continuous_data_admin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(</w:t>
            </w:r>
            <w:r>
              <w:rPr>
                <w:rStyle w:val="VerbatimChar"/>
              </w:rPr>
              <w:t xml:space="preserve">data_tool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switch_vdb_timeflow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switch_vdb_timeline</w:t>
            </w:r>
          </w:p>
        </w:tc>
        <w:tc>
          <w:tcPr/>
          <w:p>
            <w:pPr>
              <w:pStyle w:val="Compact"/>
            </w:pPr>
            <w:r>
              <w:t xml:space="preserve">continuous_data_admin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(</w:t>
            </w:r>
            <w:r>
              <w:rPr>
                <w:rStyle w:val="VerbatimChar"/>
              </w:rPr>
              <w:t xml:space="preserve">vdb_tool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switch_timeflow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switch_timeline</w:t>
            </w:r>
          </w:p>
        </w:tc>
        <w:tc>
          <w:tcPr/>
          <w:p>
            <w:pPr>
              <w:pStyle w:val="Compact"/>
            </w:pPr>
            <w:r>
              <w:t xml:space="preserve">self_service_provision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(</w:t>
            </w:r>
            <w:r>
              <w:rPr>
                <w:rStyle w:val="VerbatimChar"/>
              </w:rPr>
              <w:t xml:space="preserve">environment_source_tool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create_appdata_source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update_appdata_source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create_connector_source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update_connector_source</w:t>
            </w:r>
          </w:p>
        </w:tc>
        <w:tc>
          <w:tcPr/>
          <w:p>
            <w:pPr>
              <w:pStyle w:val="Compact"/>
            </w:pPr>
            <w:r>
              <w:t xml:space="preserve">continuous_data_admin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(</w:t>
            </w:r>
            <w:r>
              <w:rPr>
                <w:rStyle w:val="VerbatimChar"/>
              </w:rPr>
              <w:t xml:space="preserve">snapshot_bookmark_tool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get_snapshot_timeflow_range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get_snapshot_timeline_range</w:t>
            </w:r>
          </w:p>
        </w:tc>
        <w:tc>
          <w:tcPr/>
          <w:p>
            <w:pPr>
              <w:pStyle w:val="Compact"/>
            </w:pPr>
            <w:r>
              <w:t xml:space="preserve">continuous_data_admin, reporting_insights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(</w:t>
            </w:r>
            <w:r>
              <w:rPr>
                <w:rStyle w:val="VerbatimChar"/>
              </w:rPr>
              <w:t xml:space="preserve">snapshot_tool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get_timeflow_range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get_timeline_range</w:t>
            </w:r>
          </w:p>
        </w:tc>
        <w:tc>
          <w:tcPr/>
          <w:p>
            <w:pPr>
              <w:pStyle w:val="Compact"/>
            </w:pPr>
            <w:r>
              <w:t xml:space="preserve">self_service (and self_service_provision, which inherits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(</w:t>
            </w:r>
            <w:r>
              <w:rPr>
                <w:rStyle w:val="VerbatimChar"/>
              </w:rPr>
              <w:t xml:space="preserve">diagnostic_tool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check_database_connectivity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check_connectivity</w:t>
            </w:r>
          </w:p>
        </w:tc>
        <w:tc>
          <w:tcPr/>
          <w:p>
            <w:pPr>
              <w:pStyle w:val="Compact"/>
            </w:pPr>
            <w:r>
              <w:t xml:space="preserve">continuous_data_admin, platform_admin</w:t>
            </w:r>
          </w:p>
        </w:tc>
      </w:tr>
    </w:tbl>
    <w:p>
      <w:pPr>
        <w:pStyle w:val="BodyText"/>
      </w:pPr>
      <w:r>
        <w:t xml:space="preserve">Also user-visible, not breaking: pre-built tools now report a DCT API failure as an MCP 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isError: true</w:t>
      </w:r>
      <w:r>
        <w:t xml:space="preserve">) whose text is the raw upstream message, followed by a</w:t>
      </w:r>
      <w:r>
        <w:t xml:space="preserve"> </w:t>
      </w:r>
      <w:r>
        <w:rPr>
          <w:rStyle w:val="VerbatimChar"/>
        </w:rPr>
        <w:t xml:space="preserve">message_for_user:</w:t>
      </w:r>
      <w:r>
        <w:t xml:space="preserve"> </w:t>
      </w:r>
      <w:r>
        <w:t xml:space="preserve">line</w:t>
      </w:r>
      <w:r>
        <w:t xml:space="preserve"> </w:t>
      </w:r>
      <w:r>
        <w:t xml:space="preserve">in canonical vocabulary when translation changed it.</w:t>
      </w:r>
    </w:p>
    <w:bookmarkEnd w:id="22"/>
    <w:bookmarkStart w:id="23" w:name="open-questions-carried-forward"/>
    <w:p>
      <w:pPr>
        <w:pStyle w:val="Heading2"/>
      </w:pPr>
      <w:r>
        <w:t xml:space="preserve">Open questions carried forward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Glossary hosting and Design review.</w:t>
      </w:r>
      <w:r>
        <w:t xml:space="preserve"> </w:t>
      </w:r>
      <w:r>
        <w:t xml:space="preserve">Glossary v1.2 (32 canonical-term rows, 169 synonym rows,</w:t>
      </w:r>
      <w:r>
        <w:t xml:space="preserve"> </w:t>
      </w:r>
      <w:r>
        <w:t xml:space="preserve">three sheets) exists only as</w:t>
      </w:r>
      <w:r>
        <w:t xml:space="preserve"> </w:t>
      </w:r>
      <w:r>
        <w:rPr>
          <w:rStyle w:val="VerbatimChar"/>
        </w:rPr>
        <w:t xml:space="preserve">DCT_MCP_Server_Vocabulary_Glossary_v1.2.xlsx</w:t>
      </w:r>
      <w:r>
        <w:t xml:space="preserve"> </w:t>
      </w:r>
      <w:r>
        <w:t xml:space="preserve">and is not in any</w:t>
      </w:r>
      <w:r>
        <w:t xml:space="preserve"> </w:t>
      </w:r>
      <w:r>
        <w:t xml:space="preserve">repo. PPM-1129 recommends hosting the MCP-specific layer as a PDUX Confluence page linked to</w:t>
      </w:r>
      <w:r>
        <w:t xml:space="preserve"> </w:t>
      </w:r>
      <w:r>
        <w:t xml:space="preserve">canonical Delphix terminology, the Perforce Lexicon and the Design System Glossary. Blocks the</w:t>
      </w:r>
      <w:r>
        <w:t xml:space="preserve"> </w:t>
      </w:r>
      <w:r>
        <w:t xml:space="preserve">spec pass;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block the MCP-side epic.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dSource deprecation direction — resolved.</w:t>
      </w:r>
      <w:r>
        <w:t xml:space="preserve"> </w:t>
      </w:r>
      <w:r>
        <w:t xml:space="preserve">The Design System Glossary recommends deprecating</w:t>
      </w:r>
      <w:r>
        <w:t xml:space="preserve"> </w:t>
      </w:r>
      <w:r>
        <w:t xml:space="preserve">customer-facing</w:t>
      </w:r>
      <w:r>
        <w:t xml:space="preserve"> </w:t>
      </w:r>
      <w:r>
        <w:rPr>
          <w:i/>
          <w:iCs/>
        </w:rPr>
        <w:t xml:space="preserve">dSource</w:t>
      </w:r>
      <w:r>
        <w:t xml:space="preserve">; Glossary v1.2 retains it because no clean replacement exists. Product</w:t>
      </w:r>
      <w:r>
        <w:t xml:space="preserve"> </w:t>
      </w:r>
      <w:r>
        <w:t xml:space="preserve">has confirmed (PPM-1129, 2026-10-12): deprecation is deferred to a future initiative, and dSource</w:t>
      </w:r>
      <w:r>
        <w:t xml:space="preserve"> </w:t>
      </w:r>
      <w:r>
        <w:t xml:space="preserve">stays canonical for this PPM. No code change was required — the vocabulary layer already treats</w:t>
      </w:r>
      <w:r>
        <w:t xml:space="preserve"> </w:t>
      </w:r>
      <w:r>
        <w:t xml:space="preserve">dSource as canonical throughout.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Connector vs. connection/subconnection.</w:t>
      </w:r>
      <w:r>
        <w:t xml:space="preserve"> </w:t>
      </w:r>
      <w:r>
        <w:rPr>
          <w:i/>
          <w:iCs/>
        </w:rPr>
        <w:t xml:space="preserve">Connector</w:t>
      </w:r>
      <w:r>
        <w:t xml:space="preserve"> </w:t>
      </w:r>
      <w:r>
        <w:t xml:space="preserve">has dual meanings and Delphix is moving</w:t>
      </w:r>
      <w:r>
        <w:t xml:space="preserve"> </w:t>
      </w:r>
      <w:r>
        <w:t xml:space="preserve">toward connection/subconnection. Need Design confirmation of timing before renaming anything.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Raw API error translation layer — resolved.</w:t>
      </w:r>
      <w:r>
        <w:t xml:space="preserve"> </w:t>
      </w:r>
      <w:r>
        <w:rPr>
          <w:rStyle w:val="VerbatimChar"/>
        </w:rPr>
        <w:t xml:space="preserve">tools/core/vocabulary.py:to_canonical()</w:t>
      </w:r>
      <w:r>
        <w:t xml:space="preserve">,</w:t>
      </w:r>
      <w:r>
        <w:t xml:space="preserve"> </w:t>
      </w:r>
      <w:r>
        <w:t xml:space="preserve">driven by</w:t>
      </w:r>
      <w:r>
        <w:t xml:space="preserve"> </w:t>
      </w:r>
      <w:r>
        <w:rPr>
          <w:rStyle w:val="VerbatimChar"/>
        </w:rPr>
        <w:t xml:space="preserve">config/mappings/vocabulary.txt</w:t>
      </w:r>
      <w:r>
        <w:t xml:space="preserve">, translates raw DCT/engine error bodies in both the</w:t>
      </w:r>
      <w:r>
        <w:t xml:space="preserve"> </w:t>
      </w:r>
      <w:r>
        <w:t xml:space="preserve">dynamic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tool and the pre-built tools (</w:t>
      </w:r>
      <w:r>
        <w:rPr>
          <w:rStyle w:val="VerbatimChar"/>
        </w:rPr>
        <w:t xml:space="preserve">core/decorators.py</w:t>
      </w:r>
      <w:r>
        <w:t xml:space="preserve">), additively as</w:t>
      </w:r>
      <w:r>
        <w:t xml:space="preserve"> </w:t>
      </w:r>
      <w:r>
        <w:rPr>
          <w:rStyle w:val="VerbatimChar"/>
        </w:rPr>
        <w:t xml:space="preserve">message_for_user</w:t>
      </w:r>
      <w:r>
        <w:t xml:space="preserve">. It never rewrites paths, URLs or IDs, and skips words with an unrelated</w:t>
      </w:r>
      <w:r>
        <w:t xml:space="preserve"> </w:t>
      </w:r>
      <w:r>
        <w:t xml:space="preserve">meaning (Oracle</w:t>
      </w:r>
      <w:r>
        <w:t xml:space="preserve"> </w:t>
      </w:r>
      <w:r>
        <w:t xml:space="preserve">“container database”</w:t>
      </w:r>
      <w:r>
        <w:t xml:space="preserve">,</w:t>
      </w:r>
      <w:r>
        <w:t xml:space="preserve"> </w:t>
      </w:r>
      <w:r>
        <w:t xml:space="preserve">“VDB inventory report”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Terminology not yet applied by the prototype — since applied.</w:t>
      </w:r>
      <w:r>
        <w:t xml:space="preserve"> </w:t>
      </w:r>
      <w:r>
        <w:rPr>
          <w:rStyle w:val="VerbatimChar"/>
        </w:rPr>
        <w:t xml:space="preserve">timeflow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timeline</w:t>
      </w:r>
      <w:r>
        <w:t xml:space="preserve">;</w:t>
      </w:r>
      <w:r>
        <w:t xml:space="preserve"> </w:t>
      </w:r>
      <w:r>
        <w:t xml:space="preserve">VDB Group ↔</w:t>
      </w:r>
      <w:r>
        <w:t xml:space="preserve"> </w:t>
      </w:r>
      <w:r>
        <w:t xml:space="preserve">“container”</w:t>
      </w:r>
      <w:r>
        <w:t xml:space="preserve">; environment/host/machine synonyms; hiding the AppData vs. native</w:t>
      </w:r>
      <w:r>
        <w:t xml:space="preserve"> </w:t>
      </w:r>
      <w:r>
        <w:t xml:space="preserve">connector split; unqualified</w:t>
      </w:r>
      <w:r>
        <w:t xml:space="preserve"> </w:t>
      </w:r>
      <w:r>
        <w:t xml:space="preserve">“engine”</w:t>
      </w:r>
      <w:r>
        <w:t xml:space="preserve"> </w:t>
      </w:r>
      <w:r>
        <w:t xml:space="preserve">vs. DCT. These were PPM-1129’s headline items; they have</w:t>
      </w:r>
      <w:r>
        <w:t xml:space="preserve"> </w:t>
      </w:r>
      <w:r>
        <w:t xml:space="preserve">since been reconciled against the real Glossary v1.2 and applied in</w:t>
      </w:r>
      <w:r>
        <w:t xml:space="preserve"> </w:t>
      </w:r>
      <w:r>
        <w:rPr>
          <w:rStyle w:val="VerbatimChar"/>
        </w:rPr>
        <w:t xml:space="preserve">server_instructions.md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vocabulary.txt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manual_confirmation.txt</w:t>
      </w:r>
      <w:r>
        <w:t xml:space="preserve">, and the toolset/tool names and docstrings.</w:t>
      </w:r>
    </w:p>
    <w:p>
      <w:r>
        <w:pict>
          <v:rect style="width:0;height:1.5pt" o:hralign="center" o:hrstd="t" o:hr="t"/>
        </w:pict>
      </w:r>
    </w:p>
    <w:bookmarkEnd w:id="23"/>
    <w:bookmarkStart w:id="24" w:name="explicitly-out-of-scope"/>
    <w:p>
      <w:pPr>
        <w:pStyle w:val="Heading2"/>
      </w:pPr>
      <w:r>
        <w:t xml:space="preserve">Explicitly out of scope</w:t>
      </w:r>
    </w:p>
    <w:p>
      <w:pPr>
        <w:pStyle w:val="Compact"/>
        <w:numPr>
          <w:ilvl w:val="0"/>
          <w:numId w:val="1005"/>
        </w:numPr>
      </w:pPr>
      <w:r>
        <w:t xml:space="preserve">Renaming API endpoints or OpenAPI tags. A tag rename also renames the generated client class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Connectors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ConnectorsApi</w:t>
      </w:r>
      <w:r>
        <w:t xml:space="preserve">), which is breaking.</w:t>
      </w:r>
    </w:p>
    <w:p>
      <w:pPr>
        <w:pStyle w:val="Compact"/>
        <w:numPr>
          <w:ilvl w:val="0"/>
          <w:numId w:val="1005"/>
        </w:numPr>
      </w:pPr>
      <w:r>
        <w:t xml:space="preserve">An API version bump. The structural diff is descriptions and summaries only, consistent with the</w:t>
      </w:r>
      <w:r>
        <w:t xml:space="preserve"> </w:t>
      </w:r>
      <w:r>
        <w:t xml:space="preserve">PPM-1124 precedent.</w:t>
      </w:r>
    </w:p>
    <w:p>
      <w:pPr>
        <w:pStyle w:val="Compact"/>
        <w:numPr>
          <w:ilvl w:val="0"/>
          <w:numId w:val="1005"/>
        </w:numPr>
      </w:pPr>
      <w:r>
        <w:t xml:space="preserve">Full Continuous Compliance terminology reconciliation.</w:t>
      </w:r>
    </w:p>
    <w:p>
      <w:pPr>
        <w:pStyle w:val="Compact"/>
        <w:numPr>
          <w:ilvl w:val="0"/>
          <w:numId w:val="1005"/>
        </w:numPr>
      </w:pPr>
      <w:r>
        <w:t xml:space="preserve">Customer-facing glossary publication.</w:t>
      </w:r>
    </w:p>
    <w:p>
      <w:pPr>
        <w:pStyle w:val="Compact"/>
        <w:numPr>
          <w:ilvl w:val="0"/>
          <w:numId w:val="1005"/>
        </w:numPr>
      </w:pPr>
      <w:r>
        <w:t xml:space="preserve">The post-GA</w:t>
      </w:r>
      <w:r>
        <w:t xml:space="preserve"> </w:t>
      </w:r>
      <w:r>
        <w:t xml:space="preserve">“Guidance for AI Agents”</w:t>
      </w:r>
      <w:r>
        <w:t xml:space="preserve"> </w:t>
      </w:r>
      <w:r>
        <w:t xml:space="preserve">documentation page — revisit once 3–6 months of real agent</w:t>
      </w:r>
      <w:r>
        <w:t xml:space="preserve"> </w:t>
      </w:r>
      <w:r>
        <w:t xml:space="preserve">interaction data exist.</w:t>
      </w:r>
    </w:p>
    <w:p>
      <w:r>
        <w:pict>
          <v:rect style="width:0;height:1.5pt" o:hralign="center" o:hrstd="t" o:hr="t"/>
        </w:pict>
      </w:r>
    </w:p>
    <w:bookmarkEnd w:id="24"/>
    <w:bookmarkStart w:id="25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6"/>
        </w:numPr>
      </w:pPr>
      <w:r>
        <w:t xml:space="preserve">PPM-1129 description (Ready to Review, 18 pts, target 2026-11-24)</w:t>
      </w:r>
    </w:p>
    <w:p>
      <w:pPr>
        <w:pStyle w:val="Compact"/>
        <w:numPr>
          <w:ilvl w:val="0"/>
          <w:numId w:val="1006"/>
        </w:numPr>
      </w:pPr>
      <w:r>
        <w:t xml:space="preserve">DLPXECO-14529 description — measurements, prototype results, blockers</w:t>
      </w:r>
    </w:p>
    <w:p>
      <w:pPr>
        <w:pStyle w:val="Compact"/>
        <w:numPr>
          <w:ilvl w:val="0"/>
          <w:numId w:val="1006"/>
        </w:numPr>
      </w:pPr>
      <w:r>
        <w:t xml:space="preserve">GA planning page, rows 5 and 6, last edited 2026-09-23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dxi-mcp-server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7f2f4da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config/config.py:28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main.py:69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tools/core/spec_cache.py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tools/core/dynamic.py:1197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config/mappings/manual_confirmation.txt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config/toolsets/*.txt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tools/core/endpoint_discovery.py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erforce.atlassian.net/wiki/spaces/DLXEN/pages/35705980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erforce.atlassian.net/wiki/spaces/DLXEN/pages/35705980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2026-10-13T15:10:36Z</dcterms:created>
  <dcterms:modified xsi:type="dcterms:W3CDTF">2026-10-13T15:10:36Z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