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36D60" w:rsidRDefault="00136D60" w:rsidP="00176C85">
      <w:pPr>
        <w:spacing w:line="360" w:lineRule="auto"/>
        <w:rPr>
          <w:rFonts w:ascii="Bell MT" w:hAnsi="Bell MT"/>
        </w:rPr>
      </w:pPr>
    </w:p>
    <w:p w:rsidR="00136D60" w:rsidRDefault="00136D60" w:rsidP="00176C85">
      <w:pPr>
        <w:spacing w:line="360" w:lineRule="auto"/>
        <w:rPr>
          <w:rFonts w:ascii="Bell MT" w:hAnsi="Bell MT"/>
        </w:rPr>
      </w:pPr>
    </w:p>
    <w:p w:rsidR="00136D60" w:rsidRPr="00136D60" w:rsidRDefault="00136D60" w:rsidP="00136D60">
      <w:pPr>
        <w:spacing w:line="360" w:lineRule="auto"/>
        <w:rPr>
          <w:rFonts w:ascii="Bell MT" w:hAnsi="Bell MT"/>
        </w:rPr>
      </w:pPr>
      <w:r w:rsidRPr="00136D60">
        <w:rPr>
          <w:rFonts w:ascii="Bell MT" w:hAnsi="Bell MT"/>
        </w:rPr>
        <w:t>GDP – Gross Domestic Product</w:t>
      </w:r>
    </w:p>
    <w:p w:rsidR="00136D60" w:rsidRPr="00136D60" w:rsidRDefault="00136D60" w:rsidP="00136D60">
      <w:pPr>
        <w:spacing w:line="360" w:lineRule="auto"/>
        <w:rPr>
          <w:rFonts w:ascii="Bell MT" w:hAnsi="Bell MT"/>
        </w:rPr>
      </w:pPr>
      <w:r w:rsidRPr="00136D60">
        <w:rPr>
          <w:rFonts w:ascii="Bell MT" w:hAnsi="Bell MT"/>
        </w:rPr>
        <w:t>IMF - International Monetary Fund</w:t>
      </w:r>
    </w:p>
    <w:p w:rsidR="00136D60" w:rsidRDefault="00136D60" w:rsidP="00136D60">
      <w:pPr>
        <w:spacing w:line="360" w:lineRule="auto"/>
        <w:rPr>
          <w:rFonts w:ascii="Bell MT" w:hAnsi="Bell MT"/>
        </w:rPr>
      </w:pPr>
      <w:r w:rsidRPr="00136D60">
        <w:rPr>
          <w:rFonts w:ascii="Bell MT" w:hAnsi="Bell MT"/>
        </w:rPr>
        <w:t xml:space="preserve">UB – University of </w:t>
      </w:r>
      <w:proofErr w:type="spellStart"/>
      <w:r w:rsidRPr="00136D60">
        <w:rPr>
          <w:rFonts w:ascii="Bell MT" w:hAnsi="Bell MT"/>
        </w:rPr>
        <w:t>Buea</w:t>
      </w:r>
      <w:proofErr w:type="spellEnd"/>
    </w:p>
    <w:p w:rsidR="00136D60" w:rsidRDefault="00136D60" w:rsidP="00136D60">
      <w:pPr>
        <w:spacing w:line="360" w:lineRule="auto"/>
        <w:rPr>
          <w:rFonts w:ascii="Bell MT" w:hAnsi="Bell MT"/>
        </w:rPr>
      </w:pPr>
    </w:p>
    <w:p w:rsidR="008036B0" w:rsidRDefault="00176C85" w:rsidP="00136D60">
      <w:pPr>
        <w:spacing w:line="360" w:lineRule="auto"/>
        <w:rPr>
          <w:rFonts w:ascii="Bell MT" w:hAnsi="Bell MT"/>
        </w:rPr>
      </w:pPr>
      <w:r w:rsidRPr="00176C85">
        <w:rPr>
          <w:rFonts w:ascii="Bell MT" w:hAnsi="Bell MT"/>
        </w:rPr>
        <w:t xml:space="preserve">Chapter 1: Human </w:t>
      </w:r>
      <w:proofErr w:type="spellStart"/>
      <w:r w:rsidRPr="00176C85">
        <w:rPr>
          <w:rFonts w:ascii="Bell MT" w:hAnsi="Bell MT"/>
        </w:rPr>
        <w:t>Psycology</w:t>
      </w:r>
      <w:proofErr w:type="spellEnd"/>
    </w:p>
    <w:p w:rsidR="008036B0" w:rsidRPr="00176C85" w:rsidRDefault="008036B0" w:rsidP="00176C85">
      <w:pPr>
        <w:spacing w:line="360" w:lineRule="auto"/>
        <w:rPr>
          <w:rFonts w:ascii="Bell MT" w:hAnsi="Bell MT"/>
        </w:rPr>
      </w:pPr>
      <w:r>
        <w:rPr>
          <w:rFonts w:ascii="Bell MT" w:hAnsi="Bell MT"/>
        </w:rPr>
        <w:t>1.1 Introduction</w:t>
      </w:r>
    </w:p>
    <w:p w:rsidR="00FC3CB2" w:rsidRPr="00176C85" w:rsidRDefault="00FC3CB2" w:rsidP="00176C85">
      <w:pPr>
        <w:spacing w:line="360" w:lineRule="auto"/>
        <w:rPr>
          <w:rFonts w:ascii="Bell MT" w:hAnsi="Bell MT"/>
          <w:sz w:val="20"/>
        </w:rPr>
      </w:pPr>
      <w:r w:rsidRPr="00176C85">
        <w:rPr>
          <w:rFonts w:ascii="Bell MT" w:hAnsi="Bell MT"/>
        </w:rPr>
        <w:t>statistical analysis. Results revealed that Gender disparities in labor force participation negatively impact economic stability.</w:t>
      </w:r>
    </w:p>
    <w:p w:rsidR="00FC3CB2" w:rsidRPr="00176C85" w:rsidRDefault="00FC3CB2" w:rsidP="00176C85">
      <w:pPr>
        <w:spacing w:line="360" w:lineRule="auto"/>
        <w:rPr>
          <w:rFonts w:ascii="Bell MT" w:hAnsi="Bell MT"/>
          <w:sz w:val="20"/>
        </w:rPr>
      </w:pPr>
      <w:r w:rsidRPr="00176C85">
        <w:rPr>
          <w:rFonts w:ascii="Bell MT" w:hAnsi="Bell MT"/>
        </w:rPr>
        <w:t>Educational Inequality and Economic Stability</w:t>
      </w:r>
    </w:p>
    <w:p w:rsidR="00FC3CB2" w:rsidRPr="00176C85" w:rsidRDefault="00FC3CB2" w:rsidP="00176C85">
      <w:pPr>
        <w:rPr>
          <w:rFonts w:ascii="Bell MT" w:hAnsi="Bell MT"/>
          <w:sz w:val="20"/>
        </w:rPr>
      </w:pPr>
    </w:p>
    <w:p w:rsidR="00FC3CB2" w:rsidRPr="00176C85" w:rsidRDefault="00FC3CB2" w:rsidP="00176C85">
      <w:pPr>
        <w:spacing w:line="360" w:lineRule="auto"/>
        <w:rPr>
          <w:rFonts w:ascii="Bell MT" w:hAnsi="Bell MT"/>
          <w:sz w:val="20"/>
        </w:rPr>
      </w:pPr>
      <w:proofErr w:type="spellStart"/>
      <w:r w:rsidRPr="00176C85">
        <w:rPr>
          <w:rFonts w:ascii="Bell MT" w:hAnsi="Bell MT"/>
        </w:rPr>
        <w:t>Psacharopoulos</w:t>
      </w:r>
      <w:proofErr w:type="spellEnd"/>
      <w:r w:rsidRPr="00176C85">
        <w:rPr>
          <w:rFonts w:ascii="Bell MT" w:hAnsi="Bell MT"/>
        </w:rPr>
        <w:t xml:space="preserve"> and </w:t>
      </w:r>
      <w:proofErr w:type="spellStart"/>
      <w:r w:rsidRPr="00176C85">
        <w:rPr>
          <w:rFonts w:ascii="Bell MT" w:hAnsi="Bell MT"/>
        </w:rPr>
        <w:t>Patrinos</w:t>
      </w:r>
      <w:proofErr w:type="spellEnd"/>
      <w:r w:rsidRPr="00176C85">
        <w:rPr>
          <w:rFonts w:ascii="Bell MT" w:hAnsi="Bell MT"/>
        </w:rPr>
        <w:t xml:space="preserve"> (2018) assessed the effect educational inequality on economic returns to education adopting a quantitative approach. Educational inequality was captured using enrollment rates by gender while economic returns to education by income level. The study targeted students in developing countries collecting secondary data from Bank education statistics. The collected data was </w:t>
      </w:r>
      <w:proofErr w:type="spellStart"/>
      <w:r w:rsidRPr="00176C85">
        <w:rPr>
          <w:rFonts w:ascii="Bell MT" w:hAnsi="Bell MT"/>
        </w:rPr>
        <w:t>analysed</w:t>
      </w:r>
      <w:proofErr w:type="spellEnd"/>
      <w:r w:rsidRPr="00176C85">
        <w:rPr>
          <w:rFonts w:ascii="Bell MT" w:hAnsi="Bell MT"/>
        </w:rPr>
        <w:t xml:space="preserve"> using econometric analysis. Findings revealed that educational disparities significantly affect economic stability and growth prospects.</w:t>
      </w:r>
    </w:p>
    <w:p w:rsidR="00FC3CB2" w:rsidRPr="00176C85" w:rsidRDefault="00FC3CB2" w:rsidP="00176C85">
      <w:pPr>
        <w:spacing w:line="360" w:lineRule="auto"/>
        <w:rPr>
          <w:rFonts w:ascii="Bell MT" w:hAnsi="Bell MT"/>
          <w:sz w:val="20"/>
        </w:rPr>
      </w:pPr>
      <w:proofErr w:type="spellStart"/>
      <w:r w:rsidRPr="00176C85">
        <w:rPr>
          <w:rFonts w:ascii="Bell MT" w:hAnsi="Bell MT"/>
        </w:rPr>
        <w:t>Hanushek</w:t>
      </w:r>
      <w:proofErr w:type="spellEnd"/>
      <w:r w:rsidRPr="00176C85">
        <w:rPr>
          <w:rFonts w:ascii="Bell MT" w:hAnsi="Bell MT"/>
        </w:rPr>
        <w:t xml:space="preserve"> and </w:t>
      </w:r>
      <w:proofErr w:type="spellStart"/>
      <w:r w:rsidRPr="00176C85">
        <w:rPr>
          <w:rFonts w:ascii="Bell MT" w:hAnsi="Bell MT"/>
        </w:rPr>
        <w:t>Woessmann</w:t>
      </w:r>
      <w:proofErr w:type="spellEnd"/>
      <w:r w:rsidRPr="00176C85">
        <w:rPr>
          <w:rFonts w:ascii="Bell MT" w:hAnsi="Bell MT"/>
        </w:rPr>
        <w:t xml:space="preserve"> (2015) investigated the effect of educational attainment, economic growth using Meta-analysis. Educational attainment was measured using years of schooling while economic growth through GDP growth rate. The study targeted countries worldwide collecting secondary data through OECD databases and </w:t>
      </w:r>
      <w:proofErr w:type="spellStart"/>
      <w:r w:rsidRPr="00176C85">
        <w:rPr>
          <w:rFonts w:ascii="Bell MT" w:hAnsi="Bell MT"/>
        </w:rPr>
        <w:t>analysed</w:t>
      </w:r>
      <w:proofErr w:type="spellEnd"/>
      <w:r w:rsidRPr="00176C85">
        <w:rPr>
          <w:rFonts w:ascii="Bell MT" w:hAnsi="Bell MT"/>
        </w:rPr>
        <w:t xml:space="preserve"> using regression analysis. Findings revealed that educational attainment leads to stronger economic performance.</w:t>
      </w:r>
    </w:p>
    <w:p w:rsidR="002D5B00" w:rsidRDefault="002D5B0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r>
        <w:rPr>
          <w:rFonts w:ascii="Bell MT" w:hAnsi="Bell MT"/>
          <w:sz w:val="20"/>
        </w:rPr>
        <w:t>Chapter 2: Literature Review</w:t>
      </w:r>
    </w:p>
    <w:p w:rsidR="008036B0" w:rsidRDefault="008036B0" w:rsidP="00176C85">
      <w:pPr>
        <w:rPr>
          <w:rFonts w:ascii="Bell MT" w:hAnsi="Bell MT"/>
          <w:sz w:val="20"/>
        </w:rPr>
      </w:pPr>
      <w:r>
        <w:rPr>
          <w:rFonts w:ascii="Bell MT" w:hAnsi="Bell MT"/>
          <w:sz w:val="20"/>
        </w:rPr>
        <w:t>2.1 Background</w:t>
      </w:r>
    </w:p>
    <w:p w:rsidR="008036B0" w:rsidRDefault="008036B0" w:rsidP="00176C85">
      <w:pPr>
        <w:rPr>
          <w:rFonts w:ascii="Bell MT" w:hAnsi="Bell MT"/>
        </w:rPr>
      </w:pPr>
      <w:r w:rsidRPr="00176C85">
        <w:rPr>
          <w:rFonts w:ascii="Bell MT" w:hAnsi="Bell MT"/>
        </w:rPr>
        <w:t xml:space="preserve">The study targeted students in developing countries collecting secondary data from Bank education statistics. The collected data was </w:t>
      </w:r>
      <w:proofErr w:type="spellStart"/>
      <w:r w:rsidRPr="00176C85">
        <w:rPr>
          <w:rFonts w:ascii="Bell MT" w:hAnsi="Bell MT"/>
        </w:rPr>
        <w:t>analysed</w:t>
      </w:r>
      <w:proofErr w:type="spellEnd"/>
      <w:r w:rsidRPr="00176C85">
        <w:rPr>
          <w:rFonts w:ascii="Bell MT" w:hAnsi="Bell MT"/>
        </w:rPr>
        <w:t xml:space="preserve"> using econometric analysis. Findings revealed that educational disparities significantly affect economic stability and growth prospects.</w:t>
      </w:r>
    </w:p>
    <w:p w:rsidR="002D5F88" w:rsidRDefault="002D5F88" w:rsidP="00176C85">
      <w:pPr>
        <w:rPr>
          <w:rFonts w:ascii="Bell MT" w:hAnsi="Bell MT"/>
        </w:rPr>
      </w:pPr>
    </w:p>
    <w:p w:rsidR="002D5F88" w:rsidRDefault="002D5F88" w:rsidP="00176C85">
      <w:pPr>
        <w:rPr>
          <w:rFonts w:ascii="Bell MT" w:hAnsi="Bell MT"/>
        </w:rPr>
      </w:pPr>
    </w:p>
    <w:tbl>
      <w:tblPr>
        <w:tblStyle w:val="TableGrid"/>
        <w:tblW w:w="0" w:type="auto"/>
        <w:tblLook w:val="04A0" w:firstRow="1" w:lastRow="0" w:firstColumn="1" w:lastColumn="0" w:noHBand="0" w:noVBand="1"/>
      </w:tblPr>
      <w:tblGrid>
        <w:gridCol w:w="4675"/>
        <w:gridCol w:w="4675"/>
      </w:tblGrid>
      <w:tr w:rsidR="002D5F88" w:rsidTr="002D5F88">
        <w:tc>
          <w:tcPr>
            <w:tcW w:w="4675" w:type="dxa"/>
          </w:tcPr>
          <w:p w:rsidR="002D5F88" w:rsidRDefault="002D5F88" w:rsidP="00176C85">
            <w:pPr>
              <w:rPr>
                <w:rFonts w:ascii="Bell MT" w:hAnsi="Bell MT"/>
                <w:sz w:val="20"/>
              </w:rPr>
            </w:pPr>
          </w:p>
        </w:tc>
        <w:tc>
          <w:tcPr>
            <w:tcW w:w="4675" w:type="dxa"/>
          </w:tcPr>
          <w:p w:rsidR="002D5F88" w:rsidRDefault="002D5F88" w:rsidP="00176C85">
            <w:pPr>
              <w:rPr>
                <w:rFonts w:ascii="Bell MT" w:hAnsi="Bell MT"/>
                <w:sz w:val="20"/>
              </w:rPr>
            </w:pPr>
          </w:p>
        </w:tc>
      </w:tr>
      <w:tr w:rsidR="002D5F88" w:rsidTr="002D5F88">
        <w:tc>
          <w:tcPr>
            <w:tcW w:w="4675" w:type="dxa"/>
          </w:tcPr>
          <w:p w:rsidR="002D5F88" w:rsidRDefault="002D5F88" w:rsidP="00176C85">
            <w:pPr>
              <w:rPr>
                <w:rFonts w:ascii="Bell MT" w:hAnsi="Bell MT"/>
                <w:sz w:val="20"/>
              </w:rPr>
            </w:pPr>
          </w:p>
        </w:tc>
        <w:tc>
          <w:tcPr>
            <w:tcW w:w="4675" w:type="dxa"/>
          </w:tcPr>
          <w:p w:rsidR="002D5F88" w:rsidRDefault="002D5F88" w:rsidP="00176C85">
            <w:pPr>
              <w:rPr>
                <w:rFonts w:ascii="Bell MT" w:hAnsi="Bell MT"/>
                <w:sz w:val="20"/>
              </w:rPr>
            </w:pPr>
          </w:p>
        </w:tc>
      </w:tr>
      <w:tr w:rsidR="002D5F88" w:rsidTr="002D5F88">
        <w:tc>
          <w:tcPr>
            <w:tcW w:w="4675" w:type="dxa"/>
          </w:tcPr>
          <w:p w:rsidR="002D5F88" w:rsidRDefault="002D5F88" w:rsidP="00176C85">
            <w:pPr>
              <w:rPr>
                <w:rFonts w:ascii="Bell MT" w:hAnsi="Bell MT"/>
                <w:sz w:val="20"/>
              </w:rPr>
            </w:pPr>
          </w:p>
        </w:tc>
        <w:tc>
          <w:tcPr>
            <w:tcW w:w="4675" w:type="dxa"/>
          </w:tcPr>
          <w:p w:rsidR="002D5F88" w:rsidRDefault="002D5F88" w:rsidP="00176C85">
            <w:pPr>
              <w:rPr>
                <w:rFonts w:ascii="Bell MT" w:hAnsi="Bell MT"/>
                <w:sz w:val="20"/>
              </w:rPr>
            </w:pPr>
          </w:p>
        </w:tc>
      </w:tr>
      <w:tr w:rsidR="002D5F88" w:rsidTr="002D5F88">
        <w:tc>
          <w:tcPr>
            <w:tcW w:w="4675" w:type="dxa"/>
          </w:tcPr>
          <w:p w:rsidR="002D5F88" w:rsidRDefault="002D5F88" w:rsidP="00176C85">
            <w:pPr>
              <w:rPr>
                <w:rFonts w:ascii="Bell MT" w:hAnsi="Bell MT"/>
                <w:sz w:val="20"/>
              </w:rPr>
            </w:pPr>
          </w:p>
        </w:tc>
        <w:tc>
          <w:tcPr>
            <w:tcW w:w="4675" w:type="dxa"/>
          </w:tcPr>
          <w:p w:rsidR="002D5F88" w:rsidRDefault="002D5F88" w:rsidP="00176C85">
            <w:pPr>
              <w:rPr>
                <w:rFonts w:ascii="Bell MT" w:hAnsi="Bell MT"/>
                <w:sz w:val="20"/>
              </w:rPr>
            </w:pPr>
          </w:p>
        </w:tc>
      </w:tr>
    </w:tbl>
    <w:p w:rsidR="002D5F88" w:rsidRDefault="002D5F88" w:rsidP="00176C85">
      <w:pPr>
        <w:rPr>
          <w:rFonts w:ascii="Bell MT" w:hAnsi="Bell MT"/>
          <w:sz w:val="20"/>
        </w:rPr>
      </w:pPr>
      <w:r>
        <w:rPr>
          <w:rFonts w:ascii="Bell MT" w:hAnsi="Bell MT"/>
          <w:sz w:val="20"/>
        </w:rPr>
        <w:t>Table 1: Concepts</w:t>
      </w:r>
    </w:p>
    <w:p w:rsidR="002D5F88" w:rsidRDefault="002D5F88" w:rsidP="00176C85">
      <w:pPr>
        <w:rPr>
          <w:rFonts w:ascii="Bell MT" w:hAnsi="Bell MT"/>
          <w:sz w:val="20"/>
        </w:rPr>
      </w:pPr>
    </w:p>
    <w:p w:rsidR="002D5F88" w:rsidRDefault="002D5F88" w:rsidP="00176C85">
      <w:pPr>
        <w:rPr>
          <w:rFonts w:ascii="Bell MT" w:hAnsi="Bell MT"/>
          <w:sz w:val="20"/>
        </w:rPr>
      </w:pPr>
    </w:p>
    <w:p w:rsidR="002D5F88" w:rsidRDefault="008511F6" w:rsidP="00176C85">
      <w:pPr>
        <w:rPr>
          <w:rFonts w:ascii="Bell MT" w:hAnsi="Bell MT"/>
          <w:sz w:val="20"/>
        </w:rPr>
      </w:pPr>
      <w:r>
        <w:rPr>
          <w:rFonts w:ascii="Bell MT" w:hAnsi="Bell MT"/>
          <w:sz w:val="20"/>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2pt;height:350.4pt">
            <v:imagedata r:id="rId5" o:title="IMG_9473"/>
          </v:shape>
        </w:pict>
      </w:r>
    </w:p>
    <w:p w:rsidR="002D5F88" w:rsidRDefault="002D5F88" w:rsidP="00176C85">
      <w:pPr>
        <w:rPr>
          <w:rFonts w:ascii="Bell MT" w:hAnsi="Bell MT"/>
          <w:sz w:val="20"/>
        </w:rPr>
      </w:pPr>
      <w:r>
        <w:rPr>
          <w:rFonts w:ascii="Bell MT" w:hAnsi="Bell MT"/>
          <w:sz w:val="20"/>
        </w:rPr>
        <w:t>Figure 1: hair</w:t>
      </w:r>
    </w:p>
    <w:p w:rsidR="008511F6" w:rsidRDefault="008511F6" w:rsidP="00176C85">
      <w:pPr>
        <w:rPr>
          <w:rFonts w:ascii="Bell MT" w:hAnsi="Bell MT"/>
          <w:sz w:val="20"/>
        </w:rPr>
      </w:pPr>
    </w:p>
    <w:p w:rsidR="008511F6" w:rsidRDefault="008511F6" w:rsidP="00176C85">
      <w:pPr>
        <w:rPr>
          <w:rFonts w:ascii="Bell MT" w:hAnsi="Bell MT"/>
          <w:sz w:val="20"/>
        </w:rPr>
      </w:pPr>
    </w:p>
    <w:p w:rsidR="008511F6" w:rsidRDefault="008511F6" w:rsidP="00176C85">
      <w:pPr>
        <w:rPr>
          <w:rFonts w:ascii="Bell MT" w:hAnsi="Bell MT"/>
          <w:sz w:val="20"/>
        </w:rPr>
      </w:pPr>
    </w:p>
    <w:p w:rsidR="008511F6" w:rsidRDefault="008511F6" w:rsidP="00176C85">
      <w:pPr>
        <w:rPr>
          <w:rFonts w:ascii="Bell MT" w:hAnsi="Bell MT"/>
          <w:sz w:val="20"/>
        </w:rPr>
      </w:pPr>
    </w:p>
    <w:p w:rsidR="008511F6" w:rsidRDefault="008511F6" w:rsidP="00176C85">
      <w:pPr>
        <w:rPr>
          <w:rFonts w:ascii="Bell MT" w:hAnsi="Bell MT"/>
          <w:sz w:val="20"/>
        </w:rPr>
      </w:pPr>
    </w:p>
    <w:p w:rsidR="008511F6" w:rsidRDefault="008511F6" w:rsidP="00176C85">
      <w:pPr>
        <w:rPr>
          <w:rFonts w:ascii="Bell MT" w:hAnsi="Bell MT"/>
          <w:sz w:val="20"/>
        </w:rPr>
      </w:pPr>
    </w:p>
    <w:p w:rsidR="008511F6" w:rsidRDefault="008511F6" w:rsidP="00176C85">
      <w:pPr>
        <w:rPr>
          <w:rFonts w:ascii="Bell MT" w:hAnsi="Bell MT"/>
          <w:sz w:val="20"/>
        </w:rPr>
      </w:pPr>
    </w:p>
    <w:p w:rsidR="008511F6" w:rsidRDefault="008511F6" w:rsidP="00176C85">
      <w:pPr>
        <w:rPr>
          <w:rFonts w:ascii="Bell MT" w:hAnsi="Bell MT"/>
          <w:sz w:val="20"/>
        </w:rPr>
      </w:pPr>
    </w:p>
    <w:p w:rsidR="008511F6" w:rsidRDefault="008511F6" w:rsidP="00176C85">
      <w:pPr>
        <w:rPr>
          <w:rFonts w:ascii="Bell MT" w:hAnsi="Bell MT"/>
          <w:sz w:val="20"/>
        </w:rPr>
      </w:pPr>
    </w:p>
    <w:p w:rsidR="008511F6" w:rsidRDefault="008511F6" w:rsidP="00176C85">
      <w:pPr>
        <w:rPr>
          <w:rFonts w:ascii="Bell MT" w:hAnsi="Bell MT"/>
          <w:sz w:val="20"/>
        </w:rPr>
      </w:pPr>
    </w:p>
    <w:p w:rsidR="008511F6" w:rsidRDefault="008511F6" w:rsidP="00176C85">
      <w:pPr>
        <w:rPr>
          <w:rFonts w:ascii="Bell MT" w:hAnsi="Bell MT"/>
          <w:sz w:val="20"/>
        </w:rPr>
      </w:pPr>
    </w:p>
    <w:p w:rsidR="008511F6" w:rsidRDefault="008511F6" w:rsidP="00176C85">
      <w:pPr>
        <w:rPr>
          <w:rFonts w:ascii="Bell MT" w:hAnsi="Bell MT"/>
          <w:sz w:val="20"/>
        </w:rPr>
      </w:pPr>
    </w:p>
    <w:p w:rsidR="008511F6" w:rsidRDefault="008511F6" w:rsidP="00176C85">
      <w:pPr>
        <w:rPr>
          <w:rFonts w:ascii="Bell MT" w:hAnsi="Bell MT"/>
          <w:sz w:val="20"/>
        </w:rPr>
      </w:pPr>
    </w:p>
    <w:p w:rsidR="008511F6" w:rsidRDefault="008511F6" w:rsidP="008511F6">
      <w:pPr>
        <w:spacing w:after="120" w:line="360" w:lineRule="auto"/>
        <w:jc w:val="both"/>
        <w:rPr>
          <w:rFonts w:ascii="Bell MT" w:hAnsi="Bell MT"/>
        </w:rPr>
      </w:pPr>
      <w:r w:rsidRPr="00176C85">
        <w:rPr>
          <w:rFonts w:ascii="Times New Roman" w:hAnsi="Times New Roman" w:cs="Times New Roman"/>
          <w:sz w:val="24"/>
        </w:rPr>
        <w:lastRenderedPageBreak/>
        <w:t xml:space="preserve">The study targeted students in developing countries collecting secondary data from Bank education statistics. The collected data was </w:t>
      </w:r>
      <w:proofErr w:type="spellStart"/>
      <w:r w:rsidRPr="00176C85">
        <w:rPr>
          <w:rFonts w:ascii="Times New Roman" w:hAnsi="Times New Roman" w:cs="Times New Roman"/>
          <w:sz w:val="24"/>
        </w:rPr>
        <w:t>analysed</w:t>
      </w:r>
      <w:proofErr w:type="spellEnd"/>
      <w:r w:rsidRPr="00176C85">
        <w:rPr>
          <w:rFonts w:ascii="Times New Roman" w:hAnsi="Times New Roman" w:cs="Times New Roman"/>
          <w:sz w:val="24"/>
        </w:rPr>
        <w:t xml:space="preserve"> using econometric analysis. Findings revealed that educational disparities significantly affect economic stability and growth prospects.</w:t>
      </w:r>
    </w:p>
    <w:p w:rsidR="008511F6" w:rsidRPr="00176C85" w:rsidRDefault="008511F6" w:rsidP="00176C85">
      <w:pPr>
        <w:rPr>
          <w:rFonts w:ascii="Bell MT" w:hAnsi="Bell MT"/>
          <w:sz w:val="20"/>
        </w:rPr>
      </w:pPr>
      <w:bookmarkStart w:id="0" w:name="_GoBack"/>
      <w:bookmarkEnd w:id="0"/>
    </w:p>
    <w:sectPr w:rsidR="008511F6" w:rsidRPr="00176C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ell MT">
    <w:panose1 w:val="02020503060305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6E038A6"/>
    <w:multiLevelType w:val="multilevel"/>
    <w:tmpl w:val="DFB6D4E8"/>
    <w:lvl w:ilvl="0">
      <w:start w:val="2"/>
      <w:numFmt w:val="decimal"/>
      <w:lvlText w:val="%1"/>
      <w:lvlJc w:val="left"/>
      <w:pPr>
        <w:ind w:left="540" w:hanging="420"/>
        <w:jc w:val="left"/>
      </w:pPr>
      <w:rPr>
        <w:rFonts w:hint="default"/>
        <w:lang w:val="en-US" w:eastAsia="en-US" w:bidi="ar-SA"/>
      </w:rPr>
    </w:lvl>
    <w:lvl w:ilvl="1">
      <w:start w:val="1"/>
      <w:numFmt w:val="decimal"/>
      <w:lvlText w:val="%1.%2"/>
      <w:lvlJc w:val="left"/>
      <w:pPr>
        <w:ind w:left="540" w:hanging="420"/>
        <w:jc w:val="righ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3741" w:hanging="771"/>
        <w:jc w:val="left"/>
      </w:pPr>
      <w:rPr>
        <w:rFonts w:ascii="Times New Roman" w:eastAsia="Times New Roman" w:hAnsi="Times New Roman" w:cs="Times New Roman" w:hint="default"/>
        <w:b/>
        <w:bCs/>
        <w:i w:val="0"/>
        <w:iCs w:val="0"/>
        <w:spacing w:val="-3"/>
        <w:w w:val="100"/>
        <w:sz w:val="28"/>
        <w:szCs w:val="28"/>
        <w:lang w:val="en-US" w:eastAsia="en-US" w:bidi="ar-SA"/>
      </w:rPr>
    </w:lvl>
    <w:lvl w:ilvl="3">
      <w:start w:val="1"/>
      <w:numFmt w:val="decimal"/>
      <w:lvlText w:val="%1.%2.%3.%4"/>
      <w:lvlJc w:val="left"/>
      <w:pPr>
        <w:ind w:left="960" w:hanging="840"/>
        <w:jc w:val="left"/>
      </w:pPr>
      <w:rPr>
        <w:rFonts w:ascii="Times New Roman" w:eastAsia="Times New Roman" w:hAnsi="Times New Roman" w:cs="Times New Roman" w:hint="default"/>
        <w:b/>
        <w:bCs/>
        <w:i w:val="0"/>
        <w:iCs w:val="0"/>
        <w:spacing w:val="-3"/>
        <w:w w:val="100"/>
        <w:sz w:val="28"/>
        <w:szCs w:val="28"/>
        <w:lang w:val="en-US" w:eastAsia="en-US" w:bidi="ar-SA"/>
      </w:rPr>
    </w:lvl>
    <w:lvl w:ilvl="4">
      <w:start w:val="1"/>
      <w:numFmt w:val="lowerLetter"/>
      <w:lvlText w:val="%5)"/>
      <w:lvlJc w:val="left"/>
      <w:pPr>
        <w:ind w:left="840" w:hanging="360"/>
        <w:jc w:val="left"/>
      </w:pPr>
      <w:rPr>
        <w:rFonts w:ascii="Times New Roman" w:eastAsia="Times New Roman" w:hAnsi="Times New Roman" w:cs="Times New Roman" w:hint="default"/>
        <w:b/>
        <w:bCs/>
        <w:i w:val="0"/>
        <w:iCs w:val="0"/>
        <w:spacing w:val="0"/>
        <w:w w:val="100"/>
        <w:sz w:val="28"/>
        <w:szCs w:val="28"/>
        <w:lang w:val="en-US" w:eastAsia="en-US" w:bidi="ar-SA"/>
      </w:rPr>
    </w:lvl>
    <w:lvl w:ilvl="5">
      <w:numFmt w:val="bullet"/>
      <w:lvlText w:val="•"/>
      <w:lvlJc w:val="left"/>
      <w:pPr>
        <w:ind w:left="2521" w:hanging="360"/>
      </w:pPr>
      <w:rPr>
        <w:rFonts w:hint="default"/>
        <w:lang w:val="en-US" w:eastAsia="en-US" w:bidi="ar-SA"/>
      </w:rPr>
    </w:lvl>
    <w:lvl w:ilvl="6">
      <w:numFmt w:val="bullet"/>
      <w:lvlText w:val="•"/>
      <w:lvlJc w:val="left"/>
      <w:pPr>
        <w:ind w:left="4082" w:hanging="360"/>
      </w:pPr>
      <w:rPr>
        <w:rFonts w:hint="default"/>
        <w:lang w:val="en-US" w:eastAsia="en-US" w:bidi="ar-SA"/>
      </w:rPr>
    </w:lvl>
    <w:lvl w:ilvl="7">
      <w:numFmt w:val="bullet"/>
      <w:lvlText w:val="•"/>
      <w:lvlJc w:val="left"/>
      <w:pPr>
        <w:ind w:left="5643" w:hanging="360"/>
      </w:pPr>
      <w:rPr>
        <w:rFonts w:hint="default"/>
        <w:lang w:val="en-US" w:eastAsia="en-US" w:bidi="ar-SA"/>
      </w:rPr>
    </w:lvl>
    <w:lvl w:ilvl="8">
      <w:numFmt w:val="bullet"/>
      <w:lvlText w:val="•"/>
      <w:lvlJc w:val="left"/>
      <w:pPr>
        <w:ind w:left="7204" w:hanging="360"/>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5B00"/>
    <w:rsid w:val="00136D60"/>
    <w:rsid w:val="00176C85"/>
    <w:rsid w:val="002D5B00"/>
    <w:rsid w:val="002D5F88"/>
    <w:rsid w:val="00775C5F"/>
    <w:rsid w:val="008036B0"/>
    <w:rsid w:val="008511F6"/>
    <w:rsid w:val="00C337DD"/>
    <w:rsid w:val="00EB4E19"/>
    <w:rsid w:val="00EF5E87"/>
    <w:rsid w:val="00FC3C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7AE67C"/>
  <w15:chartTrackingRefBased/>
  <w15:docId w15:val="{6C940BDF-7465-4F25-A09B-5EF5CAC35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D5F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295</Words>
  <Characters>1683</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diakov.net</Company>
  <LinksUpToDate>false</LinksUpToDate>
  <CharactersWithSpaces>1975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Cephas</dc:creator>
  <cp:keywords/>
  <dc:description/>
  <cp:lastModifiedBy>Cephas</cp:lastModifiedBy>
  <cp:revision>6</cp:revision>
  <dcterms:created xsi:type="dcterms:W3CDTF">2025-11-20T02:53:00Z</dcterms:created>
  <dcterms:modified xsi:type="dcterms:W3CDTF">2025-11-21T04:09:00Z</dcterms:modified>
</cp:coreProperties>
</file>