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jc w:val="center"/>
      </w:pPr>
      <w:r>
        <w:rPr>
          <w:rFonts w:ascii="Times New Roman" w:hAnsi="Times New Roman"/>
          <w:b/>
          <w:sz w:val="32"/>
        </w:rPr>
        <w:t>PROJECT PROPOSAL / SYNOPSIS</w:t>
      </w:r>
    </w:p>
    <w:p>
      <w:pPr>
        <w:spacing w:line="360" w:lineRule="auto" w:after="160"/>
        <w:jc w:val="center"/>
      </w:pPr>
      <w:r>
        <w:rPr>
          <w:rFonts w:ascii="Times New Roman" w:hAnsi="Times New Roman"/>
          <w:b/>
          <w:sz w:val="28"/>
        </w:rPr>
        <w:t>INDIRA GANDHI NATIONAL OPEN UNIVERSITY</w:t>
      </w:r>
    </w:p>
    <w:p>
      <w:pPr>
        <w:spacing w:line="360" w:lineRule="auto" w:after="160"/>
        <w:jc w:val="center"/>
      </w:pPr>
      <w:r>
        <w:rPr>
          <w:rFonts w:ascii="Times New Roman" w:hAnsi="Times New Roman"/>
          <w:b/>
          <w:sz w:val="26"/>
        </w:rPr>
        <w:t>B.A. TOURISM STUDIES (BTS)</w:t>
      </w:r>
    </w:p>
    <w:p>
      <w:pPr>
        <w:pStyle w:val="Heading1"/>
        <w:spacing w:after="160"/>
        <w:jc w:val="left"/>
      </w:pPr>
      <w:r>
        <w:rPr>
          <w:rFonts w:ascii="Times New Roman" w:hAnsi="Times New Roman"/>
          <w:b/>
          <w:sz w:val="30"/>
        </w:rPr>
        <w:t>Candidate Information (to be filled by the candidate)</w:t>
      </w:r>
    </w:p>
    <w:p>
      <w:pPr>
        <w:spacing w:line="360" w:lineRule="auto" w:after="160"/>
        <w:jc w:val="left"/>
      </w:pPr>
      <w:r>
        <w:rPr>
          <w:rFonts w:ascii="Times New Roman" w:hAnsi="Times New Roman"/>
          <w:b w:val="0"/>
          <w:sz w:val="24"/>
        </w:rPr>
        <w:t>Date: ____________________</w:t>
      </w:r>
    </w:p>
    <w:p>
      <w:pPr>
        <w:spacing w:line="360" w:lineRule="auto" w:after="160"/>
        <w:jc w:val="left"/>
      </w:pPr>
      <w:r>
        <w:rPr>
          <w:rFonts w:ascii="Times New Roman" w:hAnsi="Times New Roman"/>
          <w:b w:val="0"/>
          <w:sz w:val="24"/>
        </w:rPr>
        <w:t>Name: ____________________</w:t>
      </w:r>
    </w:p>
    <w:p>
      <w:pPr>
        <w:spacing w:line="360" w:lineRule="auto" w:after="160"/>
        <w:jc w:val="left"/>
      </w:pPr>
      <w:r>
        <w:rPr>
          <w:rFonts w:ascii="Times New Roman" w:hAnsi="Times New Roman"/>
          <w:b w:val="0"/>
          <w:sz w:val="24"/>
        </w:rPr>
        <w:t>Programme Code: BTS    Course Code: PTS-1</w:t>
      </w:r>
    </w:p>
    <w:p>
      <w:pPr>
        <w:spacing w:line="360" w:lineRule="auto" w:after="160"/>
        <w:jc w:val="left"/>
      </w:pPr>
      <w:r>
        <w:rPr>
          <w:rFonts w:ascii="Times New Roman" w:hAnsi="Times New Roman"/>
          <w:b w:val="0"/>
          <w:sz w:val="24"/>
        </w:rPr>
        <w:t>Enrolment No.: ____________________</w:t>
      </w:r>
    </w:p>
    <w:p>
      <w:pPr>
        <w:spacing w:line="360" w:lineRule="auto" w:after="160"/>
        <w:jc w:val="left"/>
      </w:pPr>
      <w:r>
        <w:rPr>
          <w:rFonts w:ascii="Times New Roman" w:hAnsi="Times New Roman"/>
          <w:b w:val="0"/>
          <w:sz w:val="24"/>
        </w:rPr>
        <w:t>Address: ____________________</w:t>
      </w:r>
    </w:p>
    <w:p>
      <w:pPr>
        <w:spacing w:line="360" w:lineRule="auto" w:after="160"/>
        <w:jc w:val="left"/>
      </w:pPr>
      <w:r>
        <w:rPr>
          <w:rFonts w:ascii="Times New Roman" w:hAnsi="Times New Roman"/>
          <w:b w:val="0"/>
          <w:sz w:val="24"/>
        </w:rPr>
        <w:t>Regional Centre: ____________________</w:t>
      </w:r>
    </w:p>
    <w:p>
      <w:pPr>
        <w:spacing w:line="360" w:lineRule="auto" w:after="160"/>
        <w:jc w:val="left"/>
      </w:pPr>
      <w:r>
        <w:rPr>
          <w:rFonts w:ascii="Times New Roman" w:hAnsi="Times New Roman"/>
          <w:b w:val="0"/>
          <w:sz w:val="24"/>
        </w:rPr>
        <w:t>Study Centre Name and Code: ____________________</w:t>
      </w:r>
    </w:p>
    <w:p>
      <w:pPr>
        <w:pStyle w:val="Heading1"/>
        <w:spacing w:after="160"/>
        <w:jc w:val="left"/>
      </w:pPr>
      <w:r>
        <w:rPr>
          <w:rFonts w:ascii="Times New Roman" w:hAnsi="Times New Roman"/>
          <w:b/>
          <w:sz w:val="30"/>
        </w:rPr>
        <w:t>Project Proposal - Topic</w:t>
      </w:r>
    </w:p>
    <w:p>
      <w:pPr>
        <w:spacing w:line="360" w:lineRule="auto" w:after="160"/>
        <w:jc w:val="left"/>
      </w:pPr>
      <w:r>
        <w:rPr>
          <w:rFonts w:ascii="Times New Roman" w:hAnsi="Times New Roman"/>
          <w:b w:val="0"/>
          <w:sz w:val="24"/>
        </w:rPr>
        <w:t>Role of Salugara Monastery in Promoting Buddhist Cultural Tourism in Siliguri Region</w:t>
      </w:r>
    </w:p>
    <w:p>
      <w:r>
        <w:br w:type="page"/>
      </w:r>
    </w:p>
    <w:p>
      <w:pPr>
        <w:pStyle w:val="Heading1"/>
        <w:spacing w:after="160"/>
        <w:jc w:val="left"/>
      </w:pPr>
      <w:r>
        <w:rPr>
          <w:rFonts w:ascii="Times New Roman" w:hAnsi="Times New Roman"/>
          <w:b/>
          <w:sz w:val="30"/>
        </w:rPr>
        <w:t>TABLE OF CONTENTS</w:t>
      </w:r>
    </w:p>
    <w:p>
      <w:pPr>
        <w:spacing w:line="360" w:lineRule="auto" w:after="160"/>
        <w:jc w:val="left"/>
      </w:pPr>
      <w:r>
        <w:rPr>
          <w:rFonts w:ascii="Times New Roman" w:hAnsi="Times New Roman"/>
          <w:b w:val="0"/>
          <w:sz w:val="24"/>
        </w:rPr>
        <w:t>Introduction ........................................ 1 (1 page)</w:t>
      </w:r>
    </w:p>
    <w:p>
      <w:pPr>
        <w:spacing w:line="360" w:lineRule="auto" w:after="160"/>
        <w:jc w:val="left"/>
      </w:pPr>
      <w:r>
        <w:rPr>
          <w:rFonts w:ascii="Times New Roman" w:hAnsi="Times New Roman"/>
          <w:b w:val="0"/>
          <w:sz w:val="24"/>
        </w:rPr>
        <w:t>Review of Literature ........................................ 2 (2 pages)</w:t>
      </w:r>
    </w:p>
    <w:p>
      <w:pPr>
        <w:spacing w:line="360" w:lineRule="auto" w:after="160"/>
        <w:jc w:val="left"/>
      </w:pPr>
      <w:r>
        <w:rPr>
          <w:rFonts w:ascii="Times New Roman" w:hAnsi="Times New Roman"/>
          <w:b w:val="0"/>
          <w:sz w:val="24"/>
        </w:rPr>
        <w:t>Objective of the Study ........................................ 4 (1 page)</w:t>
      </w:r>
    </w:p>
    <w:p>
      <w:pPr>
        <w:spacing w:line="360" w:lineRule="auto" w:after="160"/>
        <w:jc w:val="left"/>
      </w:pPr>
      <w:r>
        <w:rPr>
          <w:rFonts w:ascii="Times New Roman" w:hAnsi="Times New Roman"/>
          <w:b w:val="0"/>
          <w:sz w:val="24"/>
        </w:rPr>
        <w:t>Methodology ........................................ 5 (2 pages)</w:t>
      </w:r>
    </w:p>
    <w:p>
      <w:pPr>
        <w:spacing w:line="360" w:lineRule="auto" w:after="160"/>
        <w:jc w:val="left"/>
      </w:pPr>
      <w:r>
        <w:rPr>
          <w:rFonts w:ascii="Times New Roman" w:hAnsi="Times New Roman"/>
          <w:b w:val="0"/>
          <w:sz w:val="24"/>
        </w:rPr>
        <w:t>Conclusion ........................................ 7 (1 page)</w:t>
      </w:r>
    </w:p>
    <w:p>
      <w:pPr>
        <w:spacing w:line="360" w:lineRule="auto" w:after="160"/>
        <w:jc w:val="left"/>
      </w:pPr>
      <w:r>
        <w:rPr>
          <w:rFonts w:ascii="Times New Roman" w:hAnsi="Times New Roman"/>
          <w:b w:val="0"/>
          <w:sz w:val="24"/>
        </w:rPr>
        <w:t>Reference ........................................ 8 (1 page)</w:t>
      </w:r>
    </w:p>
    <w:p>
      <w:pPr>
        <w:spacing w:line="360" w:lineRule="auto" w:after="160"/>
        <w:jc w:val="left"/>
      </w:pPr>
      <w:r>
        <w:rPr>
          <w:rFonts w:ascii="Times New Roman" w:hAnsi="Times New Roman"/>
          <w:b w:val="0"/>
          <w:sz w:val="24"/>
        </w:rPr>
        <w:t>Annexure ........................................ 9</w:t>
      </w:r>
    </w:p>
    <w:p>
      <w:r>
        <w:br w:type="page"/>
      </w:r>
    </w:p>
    <w:p>
      <w:pPr>
        <w:pStyle w:val="Heading1"/>
        <w:spacing w:after="160"/>
        <w:jc w:val="left"/>
      </w:pPr>
      <w:r>
        <w:rPr>
          <w:rFonts w:ascii="Times New Roman" w:hAnsi="Times New Roman"/>
          <w:b/>
          <w:sz w:val="30"/>
        </w:rPr>
        <w:t>Introduction</w:t>
      </w:r>
    </w:p>
    <w:p>
      <w:pPr>
        <w:spacing w:line="360" w:lineRule="auto" w:after="160"/>
        <w:jc w:val="left"/>
      </w:pPr>
      <w:r>
        <w:rPr>
          <w:rFonts w:ascii="Times New Roman" w:hAnsi="Times New Roman"/>
          <w:b w:val="0"/>
          <w:sz w:val="24"/>
        </w:rPr>
        <w:t>Project Proposal - Topic: Role of Salugara Monastery in Promoting Buddhist Cultural Tourism in Siliguri Region</w:t>
      </w:r>
    </w:p>
    <w:p>
      <w:pPr>
        <w:spacing w:line="360" w:lineRule="auto" w:after="160"/>
        <w:jc w:val="both"/>
      </w:pPr>
      <w:r>
        <w:rPr>
          <w:rFonts w:ascii="Times New Roman" w:hAnsi="Times New Roman"/>
          <w:b w:val="0"/>
          <w:sz w:val="24"/>
        </w:rPr>
        <w:t>Tourism in contemporary India increasingly values experience quality, heritage meaning, and local cultural authenticity. Within this context, Buddhist cultural tourism has emerged as an important segment because it combines pilgrimage, spiritual travel, heritage learning, and intercultural contact. The Siliguri region is strategically located as a movement gateway toward Darjeeling hills, Kalimpong, Sikkim, and adjoining Himalayan circuits. This mobility context gives religious-cultural destinations in and around Siliguri high tourism potential, even when they are not formally marketed as major stand-alone attractions.</w:t>
      </w:r>
    </w:p>
    <w:p>
      <w:pPr>
        <w:spacing w:line="360" w:lineRule="auto" w:after="160"/>
        <w:jc w:val="both"/>
      </w:pPr>
      <w:r>
        <w:rPr>
          <w:rFonts w:ascii="Times New Roman" w:hAnsi="Times New Roman"/>
          <w:b w:val="0"/>
          <w:sz w:val="24"/>
        </w:rPr>
        <w:t>Salugara Monastery, known for its visible stupa and spiritual environment, is one such destination that attracts diverse visitor groups. These include practicing Buddhists, peace-seeking domestic travelers, architecture-curious visitors, and transit tourists who stop for short visits while moving to nearby hill destinations. Local residents and small businesses also interact with this visitor flow, creating social and economic linkages that deserve closer academic examination. However, much of the narrative around the site remains informal, and there is limited student-level field documentation integrating culture, tourism behaviour, and community outcomes in one framework.</w:t>
      </w:r>
    </w:p>
    <w:p>
      <w:pPr>
        <w:spacing w:line="360" w:lineRule="auto" w:after="160"/>
        <w:jc w:val="both"/>
      </w:pPr>
      <w:r>
        <w:rPr>
          <w:rFonts w:ascii="Times New Roman" w:hAnsi="Times New Roman"/>
          <w:b w:val="0"/>
          <w:sz w:val="24"/>
        </w:rPr>
        <w:t>The proposed study is designed as a focused case-based investigation under the PTS-1 theme of Indian Culture, Environment and Tourism. It aims to understand how Salugara Monastery contributes to Buddhist cultural tourism and how its strengths can be supported through respectful destination practices. The study is guided by the principle that sacred institutions should not be treated as commercial attractions in a conventional sense; tourism interventions should therefore protect sanctity while improving visitor understanding and local benefit.</w:t>
      </w:r>
    </w:p>
    <w:p>
      <w:r>
        <w:br w:type="page"/>
      </w:r>
    </w:p>
    <w:p>
      <w:pPr>
        <w:pStyle w:val="Heading1"/>
        <w:spacing w:after="160"/>
        <w:jc w:val="left"/>
      </w:pPr>
      <w:r>
        <w:rPr>
          <w:rFonts w:ascii="Times New Roman" w:hAnsi="Times New Roman"/>
          <w:b/>
          <w:sz w:val="30"/>
        </w:rPr>
        <w:t>Review of Literature</w:t>
      </w:r>
    </w:p>
    <w:p>
      <w:pPr>
        <w:spacing w:line="360" w:lineRule="auto" w:after="160"/>
        <w:jc w:val="both"/>
      </w:pPr>
      <w:r>
        <w:rPr>
          <w:rFonts w:ascii="Times New Roman" w:hAnsi="Times New Roman"/>
          <w:b w:val="0"/>
          <w:sz w:val="24"/>
        </w:rPr>
        <w:t>Literature on cultural tourism argues that destinations perform best when tangible heritage and intangible practices are interpreted together. In religious contexts, visitor satisfaction is shaped not only by architecture and visuals but also by ritual atmosphere, authenticity, and emotional safety. Several scholars in heritage tourism have emphasized that sacred sites are living institutions; therefore, visitor management must respect site-specific codes rather than apply generic mass-tourism models.</w:t>
      </w:r>
    </w:p>
    <w:p>
      <w:pPr>
        <w:spacing w:line="360" w:lineRule="auto" w:after="160"/>
        <w:jc w:val="both"/>
      </w:pPr>
      <w:r>
        <w:rPr>
          <w:rFonts w:ascii="Times New Roman" w:hAnsi="Times New Roman"/>
          <w:b w:val="0"/>
          <w:sz w:val="24"/>
        </w:rPr>
        <w:t>Pilgrimage tourism studies show that motivation is often layered: devotion may coexist with curiosity, personal reflection, and educational intent. This mixed motivation pattern is important for monasteries, where some visitors seek formal prayer engagement while others seek peace, quiet, and cultural learning. Existing work in religious tourism also indicates that first-time visitors benefit significantly from clear interpretation support, especially when local symbols and ritual etiquette are unfamiliar.</w:t>
      </w:r>
    </w:p>
    <w:p>
      <w:pPr>
        <w:spacing w:line="360" w:lineRule="auto" w:after="160"/>
        <w:jc w:val="both"/>
      </w:pPr>
      <w:r>
        <w:rPr>
          <w:rFonts w:ascii="Times New Roman" w:hAnsi="Times New Roman"/>
          <w:b w:val="0"/>
          <w:sz w:val="24"/>
        </w:rPr>
        <w:t>Tourism planning literature on medium-scale gateway cities suggests that transit geography can create under-recognized opportunities. Sites that are not primary endpoints can still become meaningful stops if route readability, communication quality, and local partnerships are improved. In the Siliguri context, this insight is relevant because many tourists are already in motion across regional circuits. A monastery such as Salugara can therefore serve both as a destination and as a meaningful cultural pause-point.</w:t>
      </w:r>
    </w:p>
    <w:p>
      <w:pPr>
        <w:spacing w:line="360" w:lineRule="auto" w:after="160"/>
        <w:jc w:val="both"/>
      </w:pPr>
      <w:r>
        <w:rPr>
          <w:rFonts w:ascii="Times New Roman" w:hAnsi="Times New Roman"/>
          <w:b w:val="0"/>
          <w:sz w:val="24"/>
        </w:rPr>
        <w:t>Sustainable tourism scholarship adds that local acceptance depends on perceived fairness of benefit distribution and visible management of externalities. Around religious destinations, recurring challenges include unstructured parking, litter pressure, unclear wayfinding, and etiquette non-compliance by uninformed visitors. Studies suggest that small but consistent measures such as multilingual signage, visitor orientation, and coordinated cleanliness routines can substantially improve experience quality.</w:t>
      </w:r>
    </w:p>
    <w:p>
      <w:r>
        <w:br w:type="page"/>
      </w:r>
    </w:p>
    <w:p>
      <w:pPr>
        <w:pStyle w:val="Heading1"/>
        <w:spacing w:after="160"/>
        <w:jc w:val="left"/>
      </w:pPr>
      <w:r>
        <w:rPr>
          <w:rFonts w:ascii="Times New Roman" w:hAnsi="Times New Roman"/>
          <w:b/>
          <w:sz w:val="30"/>
        </w:rPr>
        <w:t>Review of Literature (continued)</w:t>
      </w:r>
    </w:p>
    <w:p>
      <w:pPr>
        <w:spacing w:line="360" w:lineRule="auto" w:after="160"/>
        <w:jc w:val="both"/>
      </w:pPr>
      <w:r>
        <w:rPr>
          <w:rFonts w:ascii="Times New Roman" w:hAnsi="Times New Roman"/>
          <w:b w:val="0"/>
          <w:sz w:val="24"/>
        </w:rPr>
        <w:t>Policy-level references from Government of India indicate continued attention toward Buddhist tourism development through thematic circuit initiatives. While large circuit schemes often focus on major nodes, local-level feeder destinations remain crucial to broadening access and dispersing visitor flow. This creates a policy-practice gap where smaller cultural sites can benefit from locally tailored planning even without large capital projects.</w:t>
      </w:r>
    </w:p>
    <w:p>
      <w:pPr>
        <w:spacing w:line="360" w:lineRule="auto" w:after="160"/>
        <w:jc w:val="both"/>
      </w:pPr>
      <w:r>
        <w:rPr>
          <w:rFonts w:ascii="Times New Roman" w:hAnsi="Times New Roman"/>
          <w:b w:val="0"/>
          <w:sz w:val="24"/>
        </w:rPr>
        <w:t>Research on community-linked tourism indicates that micro-economies around sacred destinations often grow through transport services, food outlets, local retail, and short-duration purchases. However, these gains remain fragmented when destinations lack coordinated packaging and interpretation. From a case-study perspective, Salugara provides an opportunity to test how sacred integrity, visitor literacy, and local economic linkages can be aligned through practical, low-cost interventions.</w:t>
      </w:r>
    </w:p>
    <w:p>
      <w:pPr>
        <w:spacing w:line="360" w:lineRule="auto" w:after="160"/>
        <w:jc w:val="both"/>
      </w:pPr>
      <w:r>
        <w:rPr>
          <w:rFonts w:ascii="Times New Roman" w:hAnsi="Times New Roman"/>
          <w:b w:val="0"/>
          <w:sz w:val="24"/>
        </w:rPr>
        <w:t>The literature therefore supports a multi-dimensional framework for the present synopsis: sacred authenticity, visitor profile, interpretation quality, local livelihood linkage, governance coordination, and environmental responsibility. This framework guides the proposed data tools and chapter-level analysis.</w:t>
      </w:r>
    </w:p>
    <w:p>
      <w:r>
        <w:br w:type="page"/>
      </w:r>
    </w:p>
    <w:p>
      <w:pPr>
        <w:pStyle w:val="Heading1"/>
        <w:spacing w:after="160"/>
        <w:jc w:val="left"/>
      </w:pPr>
      <w:r>
        <w:rPr>
          <w:rFonts w:ascii="Times New Roman" w:hAnsi="Times New Roman"/>
          <w:b/>
          <w:sz w:val="30"/>
        </w:rPr>
        <w:t>Objective of the Study</w:t>
      </w:r>
    </w:p>
    <w:p>
      <w:pPr>
        <w:spacing w:line="360" w:lineRule="auto" w:after="160"/>
        <w:jc w:val="both"/>
      </w:pPr>
      <w:r>
        <w:rPr>
          <w:rFonts w:ascii="Times New Roman" w:hAnsi="Times New Roman"/>
          <w:b w:val="0"/>
          <w:sz w:val="24"/>
        </w:rPr>
        <w:t>Primary Objective: To examine the role of Salugara Monastery in promoting Buddhist cultural tourism in the Siliguri region and to develop recommendations for respectful and sustainable destination improvement.</w:t>
      </w:r>
    </w:p>
    <w:p>
      <w:pPr>
        <w:spacing w:line="360" w:lineRule="auto" w:after="160"/>
        <w:jc w:val="both"/>
      </w:pPr>
      <w:r>
        <w:rPr>
          <w:rFonts w:ascii="Times New Roman" w:hAnsi="Times New Roman"/>
          <w:b w:val="0"/>
          <w:sz w:val="24"/>
        </w:rPr>
        <w:t>Specific Objectives: 1. To profile the types of visitors, their motivations, and movement patterns at Salugara Monastery. 2. To assess how the monastery communicates and preserves Buddhist cultural values for visitors. 3. To identify local economic linkages associated with monastery-related visitor flow. 4. To evaluate infrastructure, interpretation, and management gaps affecting visitor experience. 5. To formulate practical recommendations that balance sanctity, learning, and tourism utility.</w:t>
      </w:r>
    </w:p>
    <w:p>
      <w:pPr>
        <w:spacing w:line="360" w:lineRule="auto" w:after="160"/>
        <w:jc w:val="both"/>
      </w:pPr>
      <w:r>
        <w:rPr>
          <w:rFonts w:ascii="Times New Roman" w:hAnsi="Times New Roman"/>
          <w:b w:val="0"/>
          <w:sz w:val="24"/>
        </w:rPr>
        <w:t>Scope and Delimitation: The study focuses on Salugara as the main case and uses nearby monastery references only where useful for contextual comparison. The work is designed for academic analysis and does not include financial auditing of religious institutions. Findings will be interpreted as grounded case evidence rather than universal claims for all Buddhist destinations.</w:t>
      </w:r>
    </w:p>
    <w:p>
      <w:r>
        <w:br w:type="page"/>
      </w:r>
    </w:p>
    <w:p>
      <w:pPr>
        <w:pStyle w:val="Heading1"/>
        <w:spacing w:after="160"/>
        <w:jc w:val="left"/>
      </w:pPr>
      <w:r>
        <w:rPr>
          <w:rFonts w:ascii="Times New Roman" w:hAnsi="Times New Roman"/>
          <w:b/>
          <w:sz w:val="30"/>
        </w:rPr>
        <w:t>Methodology</w:t>
      </w:r>
    </w:p>
    <w:p>
      <w:pPr>
        <w:spacing w:line="360" w:lineRule="auto" w:after="160"/>
        <w:jc w:val="both"/>
      </w:pPr>
      <w:r>
        <w:rPr>
          <w:rFonts w:ascii="Times New Roman" w:hAnsi="Times New Roman"/>
          <w:b w:val="0"/>
          <w:sz w:val="24"/>
        </w:rPr>
        <w:t>Research Design: The proposed design is mixed-method, combining quantitative survey inputs with qualitative interviews and structured observation. This approach is suitable because the topic includes measurable indicators (visitor profile, satisfaction cues, spending tendency) and interpretive dimensions (sacred boundaries, cultural understanding, local perceptions).</w:t>
      </w:r>
    </w:p>
    <w:p>
      <w:pPr>
        <w:spacing w:line="360" w:lineRule="auto" w:after="160"/>
        <w:jc w:val="both"/>
      </w:pPr>
      <w:r>
        <w:rPr>
          <w:rFonts w:ascii="Times New Roman" w:hAnsi="Times New Roman"/>
          <w:b w:val="0"/>
          <w:sz w:val="24"/>
        </w:rPr>
        <w:t>Data Sources: Primary data will be collected through visitor questionnaires, stakeholder interviews, and observational field notes. Secondary data will include IGNOU materials, official tourism statistics, policy notes, and selected published literature relevant to cultural and religious tourism.</w:t>
      </w:r>
    </w:p>
    <w:p>
      <w:pPr>
        <w:spacing w:line="360" w:lineRule="auto" w:after="160"/>
        <w:jc w:val="both"/>
      </w:pPr>
      <w:r>
        <w:rPr>
          <w:rFonts w:ascii="Times New Roman" w:hAnsi="Times New Roman"/>
          <w:b w:val="0"/>
          <w:sz w:val="24"/>
        </w:rPr>
        <w:t>Indicative Sampling Plan: - Visitor survey respondents at site entry/exit windows. - Monastic/management interviews for institutional perspective. - Local business and resident interviews for community linkage evidence. - Observations across weekday and weekend periods to capture variation.</w:t>
      </w:r>
    </w:p>
    <w:p>
      <w:pPr>
        <w:spacing w:line="360" w:lineRule="auto" w:after="160"/>
        <w:jc w:val="both"/>
      </w:pPr>
      <w:r>
        <w:rPr>
          <w:rFonts w:ascii="Times New Roman" w:hAnsi="Times New Roman"/>
          <w:b w:val="0"/>
          <w:sz w:val="24"/>
        </w:rPr>
        <w:t>Tools: Annexure-linked tools will be used: visitor questionnaire, monastic interview schedule, local stakeholder interview schedule, and structured observation checklist. These tools are attached in synopsis annexure so that supervisor can review methodological fit before field deployment.</w:t>
      </w:r>
    </w:p>
    <w:p>
      <w:r>
        <w:br w:type="page"/>
      </w:r>
    </w:p>
    <w:p>
      <w:pPr>
        <w:pStyle w:val="Heading1"/>
        <w:spacing w:after="160"/>
        <w:jc w:val="left"/>
      </w:pPr>
      <w:r>
        <w:rPr>
          <w:rFonts w:ascii="Times New Roman" w:hAnsi="Times New Roman"/>
          <w:b/>
          <w:sz w:val="30"/>
        </w:rPr>
        <w:t>Methodology (continued)</w:t>
      </w:r>
    </w:p>
    <w:p>
      <w:pPr>
        <w:spacing w:line="360" w:lineRule="auto" w:after="160"/>
        <w:jc w:val="both"/>
      </w:pPr>
      <w:r>
        <w:rPr>
          <w:rFonts w:ascii="Times New Roman" w:hAnsi="Times New Roman"/>
          <w:b w:val="0"/>
          <w:sz w:val="24"/>
        </w:rPr>
        <w:t>Data Handling and Analysis: Survey entries will be tabulated and interpreted through basic percentage logic. Interview notes will be coded into themes such as heritage meaning, visitor conduct, infrastructure concern, and economic linkage. Observational inputs will be used to validate or challenge respondent perceptions. Contradictory findings will be documented rather than removed to preserve analytical integrity.</w:t>
      </w:r>
    </w:p>
    <w:p>
      <w:pPr>
        <w:spacing w:line="360" w:lineRule="auto" w:after="160"/>
        <w:jc w:val="both"/>
      </w:pPr>
      <w:r>
        <w:rPr>
          <w:rFonts w:ascii="Times New Roman" w:hAnsi="Times New Roman"/>
          <w:b w:val="0"/>
          <w:sz w:val="24"/>
        </w:rPr>
        <w:t>Work Plan: Stage 1: Tool finalization and supervisor consultation. Stage 2: Field data collection and concurrent field notes. Stage 3: Data classification, thematic coding, and chapter drafting. Stage 4: Final writing, bibliography completion, annexure alignment, and formatting.</w:t>
      </w:r>
    </w:p>
    <w:p>
      <w:pPr>
        <w:spacing w:line="360" w:lineRule="auto" w:after="160"/>
        <w:jc w:val="both"/>
      </w:pPr>
      <w:r>
        <w:rPr>
          <w:rFonts w:ascii="Times New Roman" w:hAnsi="Times New Roman"/>
          <w:b w:val="0"/>
          <w:sz w:val="24"/>
        </w:rPr>
        <w:t>Ethical and Practical Considerations: Interactions will be voluntary and non-intrusive. No personal-sensitive details will be published without consent. Ritual spaces will be approached respectfully, and data collection will avoid prayer disruption. The methodology is designed to produce academically valid yet practically usable findings for BTS-level project evaluation.</w:t>
      </w:r>
    </w:p>
    <w:p>
      <w:r>
        <w:br w:type="page"/>
      </w:r>
    </w:p>
    <w:p>
      <w:pPr>
        <w:pStyle w:val="Heading1"/>
        <w:spacing w:after="160"/>
        <w:jc w:val="left"/>
      </w:pPr>
      <w:r>
        <w:rPr>
          <w:rFonts w:ascii="Times New Roman" w:hAnsi="Times New Roman"/>
          <w:b/>
          <w:sz w:val="30"/>
        </w:rPr>
        <w:t>Conclusion</w:t>
      </w:r>
    </w:p>
    <w:p>
      <w:pPr>
        <w:spacing w:line="360" w:lineRule="auto" w:after="160"/>
        <w:jc w:val="both"/>
      </w:pPr>
      <w:r>
        <w:rPr>
          <w:rFonts w:ascii="Times New Roman" w:hAnsi="Times New Roman"/>
          <w:b w:val="0"/>
          <w:sz w:val="24"/>
        </w:rPr>
        <w:t>The proposed study is academically relevant and operationally feasible within the BTS framework. It aligns with PTS-1 expectations by linking Indian cultural context, fieldwork evidence, and practical tourism analysis. Salugara Monastery offers a strong case context because it combines sacred identity, tourism visibility, and local socio-economic interaction in a compact regional setting.</w:t>
      </w:r>
    </w:p>
    <w:p>
      <w:pPr>
        <w:spacing w:line="360" w:lineRule="auto" w:after="160"/>
        <w:jc w:val="both"/>
      </w:pPr>
      <w:r>
        <w:rPr>
          <w:rFonts w:ascii="Times New Roman" w:hAnsi="Times New Roman"/>
          <w:b w:val="0"/>
          <w:sz w:val="24"/>
        </w:rPr>
        <w:t>The synopsis argues that meaningful Buddhist cultural tourism development must follow a sacred-first logic: cultural dignity and monastic norms remain central, while visitor interpretation and community participation are strengthened through careful planning. The project is expected to generate recommendations that are realistic for local stakeholders and useful for future student research.</w:t>
      </w:r>
    </w:p>
    <w:p>
      <w:pPr>
        <w:spacing w:line="360" w:lineRule="auto" w:after="160"/>
        <w:jc w:val="both"/>
      </w:pPr>
      <w:r>
        <w:rPr>
          <w:rFonts w:ascii="Times New Roman" w:hAnsi="Times New Roman"/>
          <w:b w:val="0"/>
          <w:sz w:val="24"/>
        </w:rPr>
        <w:t>In summary, the proposal is designed to move from descriptive narration to evidence-based analysis. By integrating visitor behaviour, institutional perspective, and local linkage data, the study intends to provide a balanced and responsible tourism framework for Salugara and comparable cultural destinations.</w:t>
      </w:r>
    </w:p>
    <w:p>
      <w:r>
        <w:br w:type="page"/>
      </w:r>
    </w:p>
    <w:p>
      <w:pPr>
        <w:pStyle w:val="Heading1"/>
        <w:spacing w:after="160"/>
        <w:jc w:val="left"/>
      </w:pPr>
      <w:r>
        <w:rPr>
          <w:rFonts w:ascii="Times New Roman" w:hAnsi="Times New Roman"/>
          <w:b/>
          <w:sz w:val="30"/>
        </w:rPr>
        <w:t>Reference</w:t>
      </w:r>
    </w:p>
    <w:p>
      <w:pPr>
        <w:spacing w:line="360" w:lineRule="auto" w:after="160"/>
        <w:jc w:val="both"/>
      </w:pPr>
      <w:r>
        <w:rPr>
          <w:rFonts w:ascii="Times New Roman" w:hAnsi="Times New Roman"/>
          <w:b w:val="0"/>
          <w:sz w:val="24"/>
        </w:rPr>
        <w:t>1. IGNOU. Project Guide BTS (PTS-1, PTS-2), valid from July 2021 session. 2. Ministry of Tourism, Government of India. State/UT-wise Domestic and Foreign Tourist Visits (2021-2022). 3. PIB, Government of India. Buddhist Thematic Circuit under Swadesh Darshan Scheme (2025 release). 4. PIB, Ministry of Tourism. Attracting Tourists to Buddhist Circuits (2026 release). 5. Richards, G. Cultural Tourism: Trends and Research Perspectives. 6. Timothy, D. and Boyd, S. Heritage Tourism. Routledge. 7. Swarbrooke, J. Sustainable Tourism Management. CABI. 8. UNWTO publications on culture-linked and religious tourism. 9. Selected field preparation notes and draft tool schedules prepared by researcher.</w:t>
      </w:r>
    </w:p>
    <w:p>
      <w:r>
        <w:br w:type="page"/>
      </w:r>
    </w:p>
    <w:p>
      <w:pPr>
        <w:pStyle w:val="Heading1"/>
        <w:spacing w:after="160"/>
        <w:jc w:val="left"/>
      </w:pPr>
      <w:r>
        <w:rPr>
          <w:rFonts w:ascii="Times New Roman" w:hAnsi="Times New Roman"/>
          <w:b/>
          <w:sz w:val="30"/>
        </w:rPr>
        <w:t>ANNEXURE TO SYNOPSIS</w:t>
      </w:r>
    </w:p>
    <w:p>
      <w:pPr>
        <w:spacing w:line="360" w:lineRule="auto" w:after="160"/>
        <w:jc w:val="left"/>
      </w:pPr>
      <w:r>
        <w:rPr>
          <w:rFonts w:ascii="Times New Roman" w:hAnsi="Times New Roman"/>
          <w:b w:val="0"/>
          <w:sz w:val="24"/>
        </w:rPr>
        <w:t>Annexure to Synopsis (Proposed Research Tools): - Annexure A: Visitor Questionnaire - Annexure B: Monastic/Management Interview Schedule - Annexure C: Local Business and Resident Interview Schedule - Annexure D: Structured Observation Checklist</w:t>
      </w:r>
    </w:p>
    <w:p>
      <w:pPr>
        <w:spacing w:line="360" w:lineRule="auto" w:after="160"/>
        <w:jc w:val="left"/>
      </w:pPr>
      <w:r>
        <w:rPr>
          <w:rFonts w:ascii="Times New Roman" w:hAnsi="Times New Roman"/>
          <w:b w:val="0"/>
          <w:sz w:val="24"/>
        </w:rPr>
        <w:t>Note: These tools are attached for supervisor review at synopsis stage. Final project annexure will include revised versions actually used in fieldwork.</w:t>
      </w:r>
    </w:p>
    <w:p>
      <w:r>
        <w:br w:type="page"/>
      </w:r>
    </w:p>
    <w:p>
      <w:pPr>
        <w:pStyle w:val="Heading1"/>
        <w:spacing w:after="160"/>
        <w:jc w:val="left"/>
      </w:pPr>
      <w:r>
        <w:rPr>
          <w:rFonts w:ascii="Times New Roman" w:hAnsi="Times New Roman"/>
          <w:b/>
          <w:sz w:val="30"/>
        </w:rPr>
        <w:t>LETTER/CERTIFICATE OF APPROVAL (By the Supervisor)</w:t>
      </w:r>
    </w:p>
    <w:p>
      <w:pPr>
        <w:spacing w:line="360" w:lineRule="auto" w:after="160"/>
        <w:jc w:val="left"/>
      </w:pPr>
      <w:r>
        <w:rPr>
          <w:rFonts w:ascii="Times New Roman" w:hAnsi="Times New Roman"/>
          <w:b w:val="0"/>
          <w:sz w:val="24"/>
        </w:rPr>
        <w:t>I hereby certify that the proposal for the Project entitled ____________________ by ____________________ has been prepared after due consultation with me. The proposal has my approval and has, to my knowledge, the potential of developing into a comprehensive Project Work. I also agree to supervise the above mentioned Project till its completion.</w:t>
      </w:r>
    </w:p>
    <w:p>
      <w:pPr>
        <w:spacing w:line="360" w:lineRule="auto" w:after="160"/>
        <w:jc w:val="left"/>
      </w:pPr>
      <w:r>
        <w:rPr>
          <w:rFonts w:ascii="Times New Roman" w:hAnsi="Times New Roman"/>
          <w:b w:val="0"/>
          <w:sz w:val="24"/>
        </w:rPr>
        <w:t>Signature of the Supervisor: ____________________ Name: ____________________ Designation: ____________________ Address: ____________________</w:t>
      </w:r>
    </w:p>
    <w:p>
      <w:pPr>
        <w:spacing w:line="360" w:lineRule="auto" w:after="160"/>
        <w:jc w:val="left"/>
      </w:pPr>
      <w:r>
        <w:rPr>
          <w:rFonts w:ascii="Times New Roman" w:hAnsi="Times New Roman"/>
          <w:b w:val="0"/>
          <w:sz w:val="24"/>
        </w:rPr>
        <w:t>Checklist: Keep one copy with yourself. Submit one signed proposal copy to Programme Coordinator (BTS/BAVTM), SOTHSM, IGNOU.</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